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333-279275</w:t>
      </w:r>
    </w:p>
    <w:p>
      <w:pPr>
        <w:spacing w:after="0" w:line="141" w:lineRule="exact"/>
        <w:rPr>
          <w:sz w:val="24"/>
          <w:szCs w:val="24"/>
          <w:color w:val="auto"/>
        </w:rPr>
      </w:pPr>
    </w:p>
    <w:p>
      <w:pPr>
        <w:ind w:left="120" w:right="100"/>
        <w:spacing w:after="0" w:line="249" w:lineRule="auto"/>
        <w:rPr>
          <w:sz w:val="20"/>
          <w:szCs w:val="20"/>
          <w:color w:val="auto"/>
        </w:rPr>
      </w:pPr>
      <w:r>
        <w:rPr>
          <w:rFonts w:ascii="Arial" w:cs="Arial" w:eastAsia="Arial" w:hAnsi="Arial"/>
          <w:sz w:val="18"/>
          <w:szCs w:val="18"/>
          <w:b w:val="1"/>
          <w:bCs w:val="1"/>
          <w:i w:val="1"/>
          <w:iCs w:val="1"/>
          <w:color w:val="8B3F4E"/>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jurisdiction where the offer or sale is not permitted.</w:t>
      </w:r>
    </w:p>
    <w:p>
      <w:pPr>
        <w:spacing w:after="0" w:line="241"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8B3F4E"/>
        </w:rPr>
        <w:t>SUBJECT TO COMPLETION, DATED FEBRUARY 25, 2026</w:t>
      </w:r>
    </w:p>
    <w:p>
      <w:pPr>
        <w:spacing w:after="0" w:line="135"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auto"/>
        </w:rPr>
        <w:t>PRELIMINARY PROSPECTUS SUPPLEMENT</w:t>
      </w:r>
    </w:p>
    <w:p>
      <w:pPr>
        <w:spacing w:after="0" w:line="121"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auto"/>
        </w:rPr>
        <w:t>(To Prospectus dated May 24, 2024)</w:t>
      </w:r>
    </w:p>
    <w:p>
      <w:pPr>
        <w:spacing w:after="0" w:line="135"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auto"/>
        </w:rPr>
        <w:t>$75,000,000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1920240"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120"/>
        <w:spacing w:after="0"/>
        <w:rPr>
          <w:sz w:val="20"/>
          <w:szCs w:val="20"/>
          <w:color w:val="auto"/>
        </w:rPr>
      </w:pPr>
      <w:r>
        <w:rPr>
          <w:rFonts w:ascii="Arial" w:cs="Arial" w:eastAsia="Arial" w:hAnsi="Arial"/>
          <w:sz w:val="22"/>
          <w:szCs w:val="22"/>
          <w:b w:val="1"/>
          <w:bCs w:val="1"/>
          <w:color w:val="auto"/>
        </w:rPr>
        <w:t>Shares of Common Stock</w:t>
      </w:r>
    </w:p>
    <w:p>
      <w:pPr>
        <w:spacing w:after="0" w:line="139" w:lineRule="exact"/>
        <w:rPr>
          <w:sz w:val="24"/>
          <w:szCs w:val="24"/>
          <w:color w:val="auto"/>
        </w:rPr>
      </w:pPr>
    </w:p>
    <w:p>
      <w:pPr>
        <w:ind w:left="120"/>
        <w:spacing w:after="0"/>
        <w:rPr>
          <w:sz w:val="20"/>
          <w:szCs w:val="20"/>
          <w:color w:val="auto"/>
        </w:rPr>
      </w:pPr>
      <w:r>
        <w:rPr>
          <w:rFonts w:ascii="Arial" w:cs="Arial" w:eastAsia="Arial" w:hAnsi="Arial"/>
          <w:sz w:val="22"/>
          <w:szCs w:val="22"/>
          <w:b w:val="1"/>
          <w:bCs w:val="1"/>
          <w:color w:val="auto"/>
        </w:rPr>
        <w:t>Pre-Funded Warrants to Purchase up to            Shares of Common Stock</w:t>
      </w:r>
    </w:p>
    <w:p>
      <w:pPr>
        <w:spacing w:after="0" w:line="139" w:lineRule="exact"/>
        <w:rPr>
          <w:sz w:val="24"/>
          <w:szCs w:val="24"/>
          <w:color w:val="auto"/>
        </w:rPr>
      </w:pPr>
    </w:p>
    <w:p>
      <w:pPr>
        <w:ind w:left="120" w:right="40"/>
        <w:spacing w:after="0" w:line="252" w:lineRule="auto"/>
        <w:rPr>
          <w:sz w:val="20"/>
          <w:szCs w:val="20"/>
          <w:color w:val="auto"/>
        </w:rPr>
      </w:pPr>
      <w:r>
        <w:rPr>
          <w:rFonts w:ascii="Arial" w:cs="Arial" w:eastAsia="Arial" w:hAnsi="Arial"/>
          <w:sz w:val="16"/>
          <w:szCs w:val="16"/>
          <w:color w:val="auto"/>
        </w:rPr>
        <w:t>We are offering $75.0 million of shares of our common stock and, in lieu of offering shares of our common stock to certain investors, pre-funded warrants, or Pre-Funded Warrants, to purchase shares of our common stock. A holder of Pre-Funded Warrants will not have the right to exercise any portion of its Pre-Funded Warrants if the holder, together with its affiliates and certain related parties, would beneficially own in excess of 4.99% (or, at the election of the holder, 9.99%) of the number of shares of our common stock outstanding immediately after giving effect to such exercise. Each Pre-Funded Warrant is exercisable for one share of our common stock. The purchase price of each Pre-Funded Warrant is equal to the price at which a share of our common stock is sold to the public in this offering, minus $0.001, which is the exercise price of each Pre-Funded Warrant. The Pre-Funded Warrants are immediately exercisable and may be exercised at any time until all of the Pre-Funded Warrants are exercised in full. This prospectus supplement also relates to the offering by us of our common stock issuable upon exercise of such Pre-Funded Warrants.</w:t>
      </w:r>
    </w:p>
    <w:p>
      <w:pPr>
        <w:spacing w:after="0" w:line="115" w:lineRule="exact"/>
        <w:rPr>
          <w:sz w:val="24"/>
          <w:szCs w:val="24"/>
          <w:color w:val="auto"/>
        </w:rPr>
      </w:pPr>
    </w:p>
    <w:p>
      <w:pPr>
        <w:ind w:left="120" w:right="200"/>
        <w:spacing w:after="0" w:line="266" w:lineRule="auto"/>
        <w:rPr>
          <w:sz w:val="20"/>
          <w:szCs w:val="20"/>
          <w:color w:val="auto"/>
        </w:rPr>
      </w:pPr>
      <w:r>
        <w:rPr>
          <w:rFonts w:ascii="Arial" w:cs="Arial" w:eastAsia="Arial" w:hAnsi="Arial"/>
          <w:sz w:val="16"/>
          <w:szCs w:val="16"/>
          <w:color w:val="auto"/>
        </w:rPr>
        <w:t>There is no established public trading market for the Pre-Funded Warrants, and we do not expect a market to develop. We do not intend to apply for listing of the Pre-Funded Warrants on The Nasdaq Global Market or any securities exchange or nationally recognized trading system. Without an active trading market, the liquidity of the Pre-Funded Warrants will be limited.</w:t>
      </w:r>
    </w:p>
    <w:p>
      <w:pPr>
        <w:spacing w:after="0" w:line="104" w:lineRule="exact"/>
        <w:rPr>
          <w:sz w:val="24"/>
          <w:szCs w:val="24"/>
          <w:color w:val="auto"/>
        </w:rPr>
      </w:pPr>
    </w:p>
    <w:p>
      <w:pPr>
        <w:ind w:left="120" w:right="20"/>
        <w:spacing w:after="0" w:line="253" w:lineRule="auto"/>
        <w:rPr>
          <w:sz w:val="20"/>
          <w:szCs w:val="20"/>
          <w:color w:val="auto"/>
        </w:rPr>
      </w:pPr>
      <w:r>
        <w:rPr>
          <w:rFonts w:ascii="Arial" w:cs="Arial" w:eastAsia="Arial" w:hAnsi="Arial"/>
          <w:sz w:val="16"/>
          <w:szCs w:val="16"/>
          <w:color w:val="auto"/>
        </w:rPr>
        <w:t>Deerfield Management Company, L.P., which we refer to as Deerfield Management, our largest stockholder, and/or certain of its affiliates, which we refer to collectively with Deerfield Management as the Deerfield Funds, have indicated an interest in purchasing shares of our common stock in this offering. In addition, certain of our directors have also indicated an interest in purchasing shares of our common stock in this offering. The amount of such investment could be a significant portion of the securities sold in this offering. However, because indications of interest are not binding agreements or commitments to purchase, such directors or the Deerfield Funds may decide not to purchase any shares of our common stock in this offering or they could purchase fewer shares of our common stock than indicated. In addition, the underwriters could determine to sell fewer or not to sell any shares of our common stock to such directors or the Deerfield Funds.</w:t>
      </w:r>
    </w:p>
    <w:p>
      <w:pPr>
        <w:spacing w:after="0" w:line="100" w:lineRule="exact"/>
        <w:rPr>
          <w:sz w:val="24"/>
          <w:szCs w:val="24"/>
          <w:color w:val="auto"/>
        </w:rPr>
      </w:pPr>
    </w:p>
    <w:p>
      <w:pPr>
        <w:ind w:left="120" w:right="180"/>
        <w:spacing w:after="0" w:line="286" w:lineRule="auto"/>
        <w:rPr>
          <w:sz w:val="20"/>
          <w:szCs w:val="20"/>
          <w:color w:val="auto"/>
        </w:rPr>
      </w:pPr>
      <w:r>
        <w:rPr>
          <w:rFonts w:ascii="Arial" w:cs="Arial" w:eastAsia="Arial" w:hAnsi="Arial"/>
          <w:sz w:val="16"/>
          <w:szCs w:val="16"/>
          <w:color w:val="auto"/>
        </w:rPr>
        <w:t>Our common stock is listed on The Nasdaq Global Market under the symbol “LRMR.” On February 24, 2026, the last reported sale price of our common stock was $3.69 per share.</w:t>
      </w:r>
    </w:p>
    <w:p>
      <w:pPr>
        <w:spacing w:after="0" w:line="88" w:lineRule="exact"/>
        <w:rPr>
          <w:sz w:val="24"/>
          <w:szCs w:val="24"/>
          <w:color w:val="auto"/>
        </w:rPr>
      </w:pPr>
    </w:p>
    <w:p>
      <w:pPr>
        <w:ind w:left="120" w:right="480"/>
        <w:spacing w:after="0" w:line="296" w:lineRule="auto"/>
        <w:rPr>
          <w:sz w:val="20"/>
          <w:szCs w:val="20"/>
          <w:color w:val="auto"/>
        </w:rPr>
      </w:pPr>
      <w:r>
        <w:rPr>
          <w:rFonts w:ascii="Arial" w:cs="Arial" w:eastAsia="Arial" w:hAnsi="Arial"/>
          <w:sz w:val="16"/>
          <w:szCs w:val="16"/>
          <w:b w:val="1"/>
          <w:bCs w:val="1"/>
          <w:color w:val="auto"/>
        </w:rPr>
        <w:t>Investing in our securities involves risks. See the “</w:t>
      </w:r>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color w:val="auto"/>
        </w:rPr>
        <w:t>” beginning on page S-8 of this prospectus supplement, as well as in the documents incorporated or deemed to be incorporated by reference into this prospectus supplement and the accompanying prospectus.</w:t>
      </w:r>
    </w:p>
    <w:p>
      <w:pPr>
        <w:spacing w:after="0" w:line="73" w:lineRule="exact"/>
        <w:rPr>
          <w:sz w:val="24"/>
          <w:szCs w:val="24"/>
          <w:color w:val="auto"/>
        </w:rPr>
      </w:pPr>
    </w:p>
    <w:p>
      <w:pPr>
        <w:ind w:left="120" w:right="20"/>
        <w:spacing w:after="0" w:line="27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or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4"/>
          <w:szCs w:val="24"/>
          <w:color w:val="auto"/>
        </w:rPr>
      </w:pPr>
    </w:p>
    <w:tbl>
      <w:tblPr>
        <w:tblLayout w:type="fixed"/>
        <w:tblInd w:w="12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6"/>
                <w:szCs w:val="16"/>
                <w:b w:val="1"/>
                <w:bCs w:val="1"/>
                <w:color w:val="auto"/>
              </w:rPr>
              <w:t>Per</w:t>
            </w:r>
          </w:p>
        </w:tc>
        <w:tc>
          <w:tcPr>
            <w:tcW w:w="240" w:type="dxa"/>
            <w:vAlign w:val="bottom"/>
          </w:tcPr>
          <w:p>
            <w:pPr>
              <w:spacing w:after="0"/>
              <w:rPr>
                <w:sz w:val="16"/>
                <w:szCs w:val="16"/>
                <w:color w:val="auto"/>
              </w:rPr>
            </w:pPr>
          </w:p>
        </w:tc>
        <w:tc>
          <w:tcPr>
            <w:tcW w:w="1600" w:type="dxa"/>
            <w:vAlign w:val="bottom"/>
            <w:gridSpan w:val="5"/>
          </w:tcPr>
          <w:p>
            <w:pPr>
              <w:ind w:left="380"/>
              <w:spacing w:after="0"/>
              <w:rPr>
                <w:sz w:val="20"/>
                <w:szCs w:val="20"/>
                <w:color w:val="auto"/>
              </w:rPr>
            </w:pPr>
            <w:r>
              <w:rPr>
                <w:rFonts w:ascii="Arial" w:cs="Arial" w:eastAsia="Arial" w:hAnsi="Arial"/>
                <w:sz w:val="16"/>
                <w:szCs w:val="16"/>
                <w:b w:val="1"/>
                <w:bCs w:val="1"/>
                <w:color w:val="auto"/>
              </w:rPr>
              <w:t>Per Pre-Funded</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76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Share</w:t>
            </w:r>
          </w:p>
        </w:tc>
        <w:tc>
          <w:tcPr>
            <w:tcW w:w="112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Warrant</w:t>
            </w: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b w:val="1"/>
                <w:bCs w:val="1"/>
                <w:color w:val="auto"/>
              </w:rPr>
              <w:t>Total</w:t>
            </w:r>
          </w:p>
        </w:tc>
      </w:tr>
      <w:tr>
        <w:trPr>
          <w:trHeight w:val="48"/>
        </w:trPr>
        <w:tc>
          <w:tcPr>
            <w:tcW w:w="7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2"/>
        </w:trPr>
        <w:tc>
          <w:tcPr>
            <w:tcW w:w="7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 </w:t>
            </w:r>
          </w:p>
        </w:tc>
        <w:tc>
          <w:tcPr>
            <w:tcW w:w="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 xml:space="preserve">     </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3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c>
          <w:tcPr>
            <w:tcW w:w="6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 xml:space="preserve">$ </w:t>
            </w:r>
          </w:p>
        </w:tc>
        <w:tc>
          <w:tcPr>
            <w:tcW w:w="3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r>
      <w:tr>
        <w:trPr>
          <w:trHeight w:val="270"/>
        </w:trPr>
        <w:tc>
          <w:tcPr>
            <w:tcW w:w="794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commissions(1)</w:t>
            </w:r>
          </w:p>
        </w:tc>
        <w:tc>
          <w:tcPr>
            <w:tcW w:w="280" w:type="dxa"/>
            <w:vAlign w:val="bottom"/>
          </w:tcPr>
          <w:p>
            <w:pPr>
              <w:spacing w:after="0"/>
              <w:rPr>
                <w:sz w:val="20"/>
                <w:szCs w:val="20"/>
                <w:color w:val="auto"/>
              </w:rPr>
            </w:pPr>
            <w:r>
              <w:rPr>
                <w:rFonts w:ascii="Arial" w:cs="Arial" w:eastAsia="Arial" w:hAnsi="Arial"/>
                <w:sz w:val="18"/>
                <w:szCs w:val="18"/>
                <w:color w:val="auto"/>
              </w:rPr>
              <w:t xml:space="preserve">$ </w:t>
            </w:r>
          </w:p>
        </w:tc>
        <w:tc>
          <w:tcPr>
            <w:tcW w:w="240" w:type="dxa"/>
            <w:vAlign w:val="bottom"/>
          </w:tcPr>
          <w:p>
            <w:pPr>
              <w:ind w:left="20"/>
              <w:spacing w:after="0"/>
              <w:rPr>
                <w:sz w:val="20"/>
                <w:szCs w:val="20"/>
                <w:color w:val="auto"/>
              </w:rPr>
            </w:pPr>
            <w:r>
              <w:rPr>
                <w:rFonts w:ascii="Arial" w:cs="Arial" w:eastAsia="Arial" w:hAnsi="Arial"/>
                <w:sz w:val="18"/>
                <w:szCs w:val="18"/>
                <w:color w:val="auto"/>
              </w:rPr>
              <w:t> </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300" w:type="dxa"/>
            <w:vAlign w:val="bottom"/>
          </w:tcPr>
          <w:p>
            <w:pPr>
              <w:ind w:left="60"/>
              <w:spacing w:after="0"/>
              <w:rPr>
                <w:sz w:val="20"/>
                <w:szCs w:val="20"/>
                <w:color w:val="auto"/>
              </w:rPr>
            </w:pPr>
            <w:r>
              <w:rPr>
                <w:rFonts w:ascii="Arial" w:cs="Arial" w:eastAsia="Arial" w:hAnsi="Arial"/>
                <w:sz w:val="18"/>
                <w:szCs w:val="18"/>
                <w:color w:val="auto"/>
              </w:rPr>
              <w:t> </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 xml:space="preserve">$ </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 </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xml:space="preserve">$ </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r>
      <w:tr>
        <w:trPr>
          <w:trHeight w:val="20"/>
        </w:trPr>
        <w:tc>
          <w:tcPr>
            <w:tcW w:w="7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8" w:lineRule="exact"/>
        <w:rPr>
          <w:sz w:val="24"/>
          <w:szCs w:val="24"/>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“Underwriting” beginning on page S-30 of this prospectus supplement for additional information regarding underwriting compensation.</w:t>
      </w:r>
    </w:p>
    <w:p>
      <w:pPr>
        <w:spacing w:after="0" w:line="146" w:lineRule="exact"/>
        <w:rPr>
          <w:sz w:val="24"/>
          <w:szCs w:val="24"/>
          <w:color w:val="auto"/>
        </w:rPr>
      </w:pPr>
    </w:p>
    <w:p>
      <w:pPr>
        <w:ind w:left="120" w:right="360"/>
        <w:spacing w:after="0" w:line="286" w:lineRule="auto"/>
        <w:rPr>
          <w:sz w:val="20"/>
          <w:szCs w:val="20"/>
          <w:color w:val="auto"/>
        </w:rPr>
      </w:pPr>
      <w:r>
        <w:rPr>
          <w:rFonts w:ascii="Arial" w:cs="Arial" w:eastAsia="Arial" w:hAnsi="Arial"/>
          <w:sz w:val="16"/>
          <w:szCs w:val="16"/>
          <w:color w:val="auto"/>
        </w:rPr>
        <w:t>We have granted the underwriters an option for a period of up to 30 days from the date of this prospectus supplement to purchase up to an additional $11.25 million of shares of our common stock at the public offering price, less the underwriting discounts and commissions.</w:t>
      </w:r>
    </w:p>
    <w:p>
      <w:pPr>
        <w:spacing w:after="0" w:line="8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Delivery of the securities is expected to be made on or about        , 2026.</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22"/>
          <w:szCs w:val="22"/>
          <w:i w:val="1"/>
          <w:iCs w:val="1"/>
          <w:color w:val="auto"/>
        </w:rPr>
        <w:t>Joint Bookrunning Managers</w:t>
      </w:r>
    </w:p>
    <w:p>
      <w:pPr>
        <w:spacing w:after="0" w:line="141" w:lineRule="exact"/>
        <w:rPr>
          <w:sz w:val="24"/>
          <w:szCs w:val="24"/>
          <w:color w:val="auto"/>
        </w:rPr>
      </w:pPr>
    </w:p>
    <w:p>
      <w:pPr>
        <w:ind w:left="2240"/>
        <w:spacing w:after="0"/>
        <w:tabs>
          <w:tab w:leader="none" w:pos="7120" w:val="left"/>
        </w:tabs>
        <w:rPr>
          <w:sz w:val="20"/>
          <w:szCs w:val="20"/>
          <w:color w:val="auto"/>
        </w:rPr>
      </w:pP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5"/>
          <w:szCs w:val="25"/>
          <w:b w:val="1"/>
          <w:bCs w:val="1"/>
          <w:color w:val="auto"/>
        </w:rPr>
        <w:t>Guggenheim Securities</w:t>
      </w:r>
    </w:p>
    <w:p>
      <w:pPr>
        <w:sectPr>
          <w:pgSz w:w="11900" w:h="16838" w:orient="portrait"/>
          <w:cols w:equalWidth="0" w:num="1">
            <w:col w:w="11140"/>
          </w:cols>
          <w:pgMar w:left="320" w:top="225" w:right="439" w:bottom="1440" w:gutter="0" w:footer="0" w:header="0"/>
        </w:sectPr>
      </w:pPr>
    </w:p>
    <w:p>
      <w:pPr>
        <w:spacing w:after="0" w:line="150"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Prospectus Supplement dated February    , 2026</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TABLE OF CONTENTS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PROSPECTUS SUPPLEMENT</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6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ABOUT THIS PROSPECTUS SUPPLEMENT</w:t>
            </w:r>
          </w:p>
        </w:tc>
        <w:tc>
          <w:tcPr>
            <w:tcW w:w="6020" w:type="dxa"/>
            <w:vAlign w:val="bottom"/>
            <w:gridSpan w:val="7"/>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50"/>
        </w:trPr>
        <w:tc>
          <w:tcPr>
            <w:tcW w:w="34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PROSPECTUS SUPPLEMENT SUMMARY</w:t>
            </w:r>
          </w:p>
        </w:tc>
        <w:tc>
          <w:tcPr>
            <w:tcW w:w="6180" w:type="dxa"/>
            <w:vAlign w:val="bottom"/>
            <w:gridSpan w:val="8"/>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S-3</w:t>
            </w:r>
          </w:p>
        </w:tc>
      </w:tr>
      <w:tr>
        <w:trPr>
          <w:trHeight w:val="250"/>
        </w:trPr>
        <w:tc>
          <w:tcPr>
            <w:tcW w:w="9660" w:type="dxa"/>
            <w:vAlign w:val="bottom"/>
            <w:gridSpan w:val="27"/>
          </w:tcPr>
          <w:p>
            <w:pPr>
              <w:spacing w:after="0"/>
              <w:rPr>
                <w:sz w:val="20"/>
                <w:szCs w:val="20"/>
                <w:color w:val="auto"/>
              </w:rPr>
            </w:pPr>
            <w:r>
              <w:rPr>
                <w:rFonts w:ascii="Arial" w:cs="Arial" w:eastAsia="Arial" w:hAnsi="Arial"/>
                <w:sz w:val="18"/>
                <w:szCs w:val="18"/>
                <w:color w:val="0000EE"/>
              </w:rPr>
              <w:t>COMPANY OVERVIEW</w:t>
            </w:r>
          </w:p>
        </w:tc>
        <w:tc>
          <w:tcPr>
            <w:tcW w:w="1300" w:type="dxa"/>
            <w:vAlign w:val="bottom"/>
          </w:tcPr>
          <w:p>
            <w:pPr>
              <w:jc w:val="right"/>
              <w:spacing w:after="0"/>
              <w:rPr>
                <w:sz w:val="20"/>
                <w:szCs w:val="20"/>
                <w:color w:val="auto"/>
              </w:rPr>
            </w:pPr>
            <w:r>
              <w:rPr>
                <w:rFonts w:ascii="Arial" w:cs="Arial" w:eastAsia="Arial" w:hAnsi="Arial"/>
                <w:sz w:val="18"/>
                <w:szCs w:val="18"/>
                <w:color w:val="auto"/>
              </w:rPr>
              <w:t>S-3</w:t>
            </w:r>
          </w:p>
        </w:tc>
      </w:tr>
      <w:tr>
        <w:trPr>
          <w:trHeight w:val="20"/>
        </w:trPr>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9660" w:type="dxa"/>
            <w:vAlign w:val="bottom"/>
            <w:gridSpan w:val="27"/>
          </w:tcPr>
          <w:p>
            <w:pPr>
              <w:spacing w:after="0"/>
              <w:rPr>
                <w:sz w:val="20"/>
                <w:szCs w:val="20"/>
                <w:color w:val="auto"/>
              </w:rPr>
            </w:pPr>
            <w:r>
              <w:rPr>
                <w:rFonts w:ascii="Arial" w:cs="Arial" w:eastAsia="Arial" w:hAnsi="Arial"/>
                <w:sz w:val="18"/>
                <w:szCs w:val="18"/>
                <w:color w:val="0000EE"/>
              </w:rPr>
              <w:t>RECENT DEVELOPMENTS</w:t>
            </w:r>
          </w:p>
        </w:tc>
        <w:tc>
          <w:tcPr>
            <w:tcW w:w="1300" w:type="dxa"/>
            <w:vAlign w:val="bottom"/>
          </w:tcPr>
          <w:p>
            <w:pPr>
              <w:jc w:val="right"/>
              <w:spacing w:after="0"/>
              <w:rPr>
                <w:sz w:val="20"/>
                <w:szCs w:val="20"/>
                <w:color w:val="auto"/>
              </w:rPr>
            </w:pPr>
            <w:r>
              <w:rPr>
                <w:rFonts w:ascii="Arial" w:cs="Arial" w:eastAsia="Arial" w:hAnsi="Arial"/>
                <w:sz w:val="18"/>
                <w:szCs w:val="18"/>
                <w:color w:val="auto"/>
              </w:rPr>
              <w:t>S-4</w:t>
            </w:r>
          </w:p>
        </w:tc>
      </w:tr>
      <w:tr>
        <w:trPr>
          <w:trHeight w:val="250"/>
        </w:trPr>
        <w:tc>
          <w:tcPr>
            <w:tcW w:w="226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COMPANY INFORMATION</w:t>
            </w:r>
          </w:p>
        </w:tc>
        <w:tc>
          <w:tcPr>
            <w:tcW w:w="7400" w:type="dxa"/>
            <w:vAlign w:val="bottom"/>
            <w:gridSpan w:val="13"/>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S-5</w:t>
            </w:r>
          </w:p>
        </w:tc>
      </w:tr>
      <w:tr>
        <w:trPr>
          <w:trHeight w:val="250"/>
        </w:trPr>
        <w:tc>
          <w:tcPr>
            <w:tcW w:w="13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8"/>
              </w:rPr>
              <w:t>THE OFFERING</w:t>
            </w:r>
          </w:p>
        </w:tc>
        <w:tc>
          <w:tcPr>
            <w:tcW w:w="840" w:type="dxa"/>
            <w:vAlign w:val="bottom"/>
            <w:tcBorders>
              <w:top w:val="single" w:sz="8" w:color="0000EE"/>
            </w:tcBorders>
            <w:gridSpan w:val="9"/>
          </w:tcPr>
          <w:p>
            <w:pPr>
              <w:spacing w:after="0"/>
              <w:rPr>
                <w:sz w:val="21"/>
                <w:szCs w:val="21"/>
                <w:color w:val="auto"/>
              </w:rPr>
            </w:pPr>
          </w:p>
        </w:tc>
        <w:tc>
          <w:tcPr>
            <w:tcW w:w="7480" w:type="dxa"/>
            <w:vAlign w:val="bottom"/>
            <w:gridSpan w:val="14"/>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S-6</w:t>
            </w:r>
          </w:p>
        </w:tc>
      </w:tr>
      <w:tr>
        <w:trPr>
          <w:trHeight w:val="250"/>
        </w:trPr>
        <w:tc>
          <w:tcPr>
            <w:tcW w:w="13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RISK FACTORS</w:t>
            </w:r>
          </w:p>
        </w:tc>
        <w:tc>
          <w:tcPr>
            <w:tcW w:w="8340" w:type="dxa"/>
            <w:vAlign w:val="bottom"/>
            <w:gridSpan w:val="24"/>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S-8</w:t>
            </w:r>
          </w:p>
        </w:tc>
      </w:tr>
      <w:tr>
        <w:trPr>
          <w:trHeight w:val="250"/>
        </w:trPr>
        <w:tc>
          <w:tcPr>
            <w:tcW w:w="9660" w:type="dxa"/>
            <w:vAlign w:val="bottom"/>
            <w:gridSpan w:val="27"/>
          </w:tcPr>
          <w:p>
            <w:pPr>
              <w:spacing w:after="0"/>
              <w:rPr>
                <w:sz w:val="20"/>
                <w:szCs w:val="20"/>
                <w:color w:val="auto"/>
              </w:rPr>
            </w:pPr>
            <w:r>
              <w:rPr>
                <w:rFonts w:ascii="Arial" w:cs="Arial" w:eastAsia="Arial" w:hAnsi="Arial"/>
                <w:sz w:val="18"/>
                <w:szCs w:val="18"/>
                <w:color w:val="0000EE"/>
              </w:rPr>
              <w:t>CAUTIONARY NOTE REGARDING FORWARD-LOOKING STATEMENTS</w:t>
            </w:r>
          </w:p>
        </w:tc>
        <w:tc>
          <w:tcPr>
            <w:tcW w:w="1300" w:type="dxa"/>
            <w:vAlign w:val="bottom"/>
          </w:tcPr>
          <w:p>
            <w:pPr>
              <w:jc w:val="right"/>
              <w:spacing w:after="0"/>
              <w:rPr>
                <w:sz w:val="20"/>
                <w:szCs w:val="20"/>
                <w:color w:val="auto"/>
              </w:rPr>
            </w:pPr>
            <w:r>
              <w:rPr>
                <w:rFonts w:ascii="Arial" w:cs="Arial" w:eastAsia="Arial" w:hAnsi="Arial"/>
                <w:sz w:val="18"/>
                <w:szCs w:val="18"/>
                <w:color w:val="auto"/>
              </w:rPr>
              <w:t>S-14</w:t>
            </w:r>
          </w:p>
        </w:tc>
      </w:tr>
      <w:tr>
        <w:trPr>
          <w:trHeight w:val="250"/>
        </w:trPr>
        <w:tc>
          <w:tcPr>
            <w:tcW w:w="5940" w:type="dxa"/>
            <w:vAlign w:val="bottom"/>
            <w:tcBorders>
              <w:top w:val="single" w:sz="8" w:color="0000EE"/>
            </w:tcBorders>
            <w:gridSpan w:val="25"/>
          </w:tcPr>
          <w:p>
            <w:pPr>
              <w:spacing w:after="0"/>
              <w:rPr>
                <w:sz w:val="20"/>
                <w:szCs w:val="20"/>
                <w:color w:val="auto"/>
              </w:rPr>
            </w:pPr>
            <w:r>
              <w:rPr>
                <w:rFonts w:ascii="Arial" w:cs="Arial" w:eastAsia="Arial" w:hAnsi="Arial"/>
                <w:sz w:val="18"/>
                <w:szCs w:val="18"/>
                <w:color w:val="0000EE"/>
              </w:rPr>
              <w:t>USE OF PROCEEDS</w:t>
            </w:r>
          </w:p>
        </w:tc>
        <w:tc>
          <w:tcPr>
            <w:tcW w:w="3720" w:type="dxa"/>
            <w:vAlign w:val="bottom"/>
            <w:gridSpan w:val="2"/>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S-17</w:t>
            </w:r>
          </w:p>
        </w:tc>
      </w:tr>
      <w:tr>
        <w:trPr>
          <w:trHeight w:val="250"/>
        </w:trPr>
        <w:tc>
          <w:tcPr>
            <w:tcW w:w="8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9"/>
              </w:rPr>
              <w:t>DILUTION</w:t>
            </w:r>
          </w:p>
        </w:tc>
        <w:tc>
          <w:tcPr>
            <w:tcW w:w="860" w:type="dxa"/>
            <w:vAlign w:val="bottom"/>
            <w:tcBorders>
              <w:top w:val="single" w:sz="8" w:color="0000EE"/>
            </w:tcBorders>
            <w:gridSpan w:val="7"/>
          </w:tcPr>
          <w:p>
            <w:pPr>
              <w:spacing w:after="0"/>
              <w:rPr>
                <w:sz w:val="21"/>
                <w:szCs w:val="21"/>
                <w:color w:val="auto"/>
              </w:rPr>
            </w:pPr>
          </w:p>
        </w:tc>
        <w:tc>
          <w:tcPr>
            <w:tcW w:w="7940" w:type="dxa"/>
            <w:vAlign w:val="bottom"/>
            <w:gridSpan w:val="18"/>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S-18</w:t>
            </w:r>
          </w:p>
        </w:tc>
      </w:tr>
      <w:tr>
        <w:trPr>
          <w:trHeight w:val="250"/>
        </w:trPr>
        <w:tc>
          <w:tcPr>
            <w:tcW w:w="9660" w:type="dxa"/>
            <w:vAlign w:val="bottom"/>
            <w:gridSpan w:val="27"/>
          </w:tcPr>
          <w:p>
            <w:pPr>
              <w:spacing w:after="0"/>
              <w:rPr>
                <w:sz w:val="20"/>
                <w:szCs w:val="20"/>
                <w:color w:val="auto"/>
              </w:rPr>
            </w:pPr>
            <w:r>
              <w:rPr>
                <w:rFonts w:ascii="Arial" w:cs="Arial" w:eastAsia="Arial" w:hAnsi="Arial"/>
                <w:sz w:val="18"/>
                <w:szCs w:val="18"/>
                <w:color w:val="0000EE"/>
              </w:rPr>
              <w:t>DESCRIPTION OF THE SECURITIES WE ARE OFFERING</w:t>
            </w:r>
          </w:p>
        </w:tc>
        <w:tc>
          <w:tcPr>
            <w:tcW w:w="1300" w:type="dxa"/>
            <w:vAlign w:val="bottom"/>
          </w:tcPr>
          <w:p>
            <w:pPr>
              <w:jc w:val="right"/>
              <w:spacing w:after="0"/>
              <w:rPr>
                <w:sz w:val="20"/>
                <w:szCs w:val="20"/>
                <w:color w:val="auto"/>
              </w:rPr>
            </w:pPr>
            <w:r>
              <w:rPr>
                <w:rFonts w:ascii="Arial" w:cs="Arial" w:eastAsia="Arial" w:hAnsi="Arial"/>
                <w:sz w:val="18"/>
                <w:szCs w:val="18"/>
                <w:color w:val="auto"/>
              </w:rPr>
              <w:t>S-20</w:t>
            </w:r>
          </w:p>
        </w:tc>
      </w:tr>
      <w:tr>
        <w:trPr>
          <w:trHeight w:val="250"/>
        </w:trPr>
        <w:tc>
          <w:tcPr>
            <w:tcW w:w="4800" w:type="dxa"/>
            <w:vAlign w:val="bottom"/>
            <w:tcBorders>
              <w:top w:val="single" w:sz="8" w:color="0000EE"/>
            </w:tcBorders>
            <w:gridSpan w:val="23"/>
          </w:tcPr>
          <w:p>
            <w:pPr>
              <w:spacing w:after="0"/>
              <w:rPr>
                <w:sz w:val="20"/>
                <w:szCs w:val="20"/>
                <w:color w:val="auto"/>
              </w:rPr>
            </w:pPr>
            <w:r>
              <w:rPr>
                <w:rFonts w:ascii="Arial" w:cs="Arial" w:eastAsia="Arial" w:hAnsi="Arial"/>
                <w:sz w:val="18"/>
                <w:szCs w:val="18"/>
                <w:color w:val="0000EE"/>
              </w:rPr>
              <w:t>DIVIDEND POLICY</w:t>
            </w:r>
          </w:p>
        </w:tc>
        <w:tc>
          <w:tcPr>
            <w:tcW w:w="4860" w:type="dxa"/>
            <w:vAlign w:val="bottom"/>
            <w:gridSpan w:val="4"/>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S-22</w:t>
            </w:r>
          </w:p>
        </w:tc>
      </w:tr>
      <w:tr>
        <w:trPr>
          <w:trHeight w:val="20"/>
        </w:trPr>
        <w:tc>
          <w:tcPr>
            <w:tcW w:w="8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9660" w:type="dxa"/>
            <w:vAlign w:val="bottom"/>
            <w:gridSpan w:val="27"/>
          </w:tcPr>
          <w:p>
            <w:pPr>
              <w:spacing w:after="0"/>
              <w:rPr>
                <w:sz w:val="20"/>
                <w:szCs w:val="20"/>
                <w:color w:val="auto"/>
              </w:rPr>
            </w:pPr>
            <w:r>
              <w:rPr>
                <w:rFonts w:ascii="Arial" w:cs="Arial" w:eastAsia="Arial" w:hAnsi="Arial"/>
                <w:sz w:val="18"/>
                <w:szCs w:val="18"/>
                <w:color w:val="0000EE"/>
              </w:rPr>
              <w:t>MATERIAL U.S. FEDERAL INCOME TAX CONSEQUENCES TO U.S. HOLDERS AND NON-U.S. 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S-23</w:t>
            </w:r>
          </w:p>
        </w:tc>
      </w:tr>
      <w:tr>
        <w:trPr>
          <w:trHeight w:val="250"/>
        </w:trPr>
        <w:tc>
          <w:tcPr>
            <w:tcW w:w="14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8"/>
              </w:rPr>
              <w:t>UNDERWRITING</w:t>
            </w:r>
          </w:p>
        </w:tc>
        <w:tc>
          <w:tcPr>
            <w:tcW w:w="7300" w:type="dxa"/>
            <w:vAlign w:val="bottom"/>
            <w:tcBorders>
              <w:top w:val="single" w:sz="8" w:color="0000EE"/>
            </w:tcBorders>
            <w:gridSpan w:val="21"/>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S-30</w:t>
            </w:r>
          </w:p>
        </w:tc>
      </w:tr>
      <w:tr>
        <w:trPr>
          <w:trHeight w:val="250"/>
        </w:trPr>
        <w:tc>
          <w:tcPr>
            <w:tcW w:w="14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7"/>
              </w:rPr>
              <w:t>LEGAL MATTERS</w:t>
            </w:r>
          </w:p>
        </w:tc>
        <w:tc>
          <w:tcPr>
            <w:tcW w:w="8180" w:type="dxa"/>
            <w:vAlign w:val="bottom"/>
            <w:gridSpan w:val="20"/>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S-43</w:t>
            </w:r>
          </w:p>
        </w:tc>
      </w:tr>
      <w:tr>
        <w:trPr>
          <w:trHeight w:val="250"/>
        </w:trPr>
        <w:tc>
          <w:tcPr>
            <w:tcW w:w="8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7"/>
              </w:rPr>
              <w:t>EXPERTS</w:t>
            </w:r>
          </w:p>
        </w:tc>
        <w:tc>
          <w:tcPr>
            <w:tcW w:w="8820" w:type="dxa"/>
            <w:vAlign w:val="bottom"/>
            <w:gridSpan w:val="26"/>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S-43</w:t>
            </w:r>
          </w:p>
        </w:tc>
      </w:tr>
      <w:tr>
        <w:trPr>
          <w:trHeight w:val="250"/>
        </w:trPr>
        <w:tc>
          <w:tcPr>
            <w:tcW w:w="39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WHERE YOU CAN FIND MORE INFORMATION</w:t>
            </w:r>
          </w:p>
        </w:tc>
        <w:tc>
          <w:tcPr>
            <w:tcW w:w="5760" w:type="dxa"/>
            <w:vAlign w:val="bottom"/>
            <w:gridSpan w:val="6"/>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S-43</w:t>
            </w:r>
          </w:p>
        </w:tc>
      </w:tr>
      <w:tr>
        <w:trPr>
          <w:trHeight w:val="250"/>
        </w:trPr>
        <w:tc>
          <w:tcPr>
            <w:tcW w:w="538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8"/>
              </w:rPr>
              <w:t>INCORPORATION OF CERTAIN INFORMATION BY REFERENCE</w:t>
            </w:r>
          </w:p>
        </w:tc>
        <w:tc>
          <w:tcPr>
            <w:tcW w:w="4280" w:type="dxa"/>
            <w:vAlign w:val="bottom"/>
            <w:gridSpan w:val="3"/>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S-43</w:t>
            </w:r>
          </w:p>
        </w:tc>
      </w:tr>
      <w:tr>
        <w:trPr>
          <w:trHeight w:val="425"/>
        </w:trPr>
        <w:tc>
          <w:tcPr>
            <w:tcW w:w="9660" w:type="dxa"/>
            <w:vAlign w:val="bottom"/>
            <w:gridSpan w:val="27"/>
          </w:tcPr>
          <w:p>
            <w:pPr>
              <w:spacing w:after="0"/>
              <w:rPr>
                <w:sz w:val="20"/>
                <w:szCs w:val="20"/>
                <w:color w:val="auto"/>
              </w:rPr>
            </w:pPr>
            <w:r>
              <w:rPr>
                <w:rFonts w:ascii="Arial" w:cs="Arial" w:eastAsia="Arial" w:hAnsi="Arial"/>
                <w:sz w:val="22"/>
                <w:szCs w:val="22"/>
                <w:b w:val="1"/>
                <w:bCs w:val="1"/>
                <w:color w:val="auto"/>
              </w:rPr>
              <w:t>PROSPECTUS</w:t>
            </w:r>
          </w:p>
        </w:tc>
        <w:tc>
          <w:tcPr>
            <w:tcW w:w="1300" w:type="dxa"/>
            <w:vAlign w:val="bottom"/>
          </w:tcPr>
          <w:p>
            <w:pPr>
              <w:spacing w:after="0"/>
              <w:rPr>
                <w:sz w:val="24"/>
                <w:szCs w:val="24"/>
                <w:color w:val="auto"/>
              </w:rPr>
            </w:pPr>
          </w:p>
        </w:tc>
      </w:tr>
      <w:tr>
        <w:trPr>
          <w:trHeight w:val="365"/>
        </w:trPr>
        <w:tc>
          <w:tcPr>
            <w:tcW w:w="9660" w:type="dxa"/>
            <w:vAlign w:val="bottom"/>
            <w:gridSpan w:val="27"/>
          </w:tcPr>
          <w:p>
            <w:pPr>
              <w:spacing w:after="0"/>
              <w:rPr>
                <w:sz w:val="20"/>
                <w:szCs w:val="20"/>
                <w:color w:val="auto"/>
              </w:rPr>
            </w:pPr>
            <w:r>
              <w:rPr>
                <w:rFonts w:ascii="Arial" w:cs="Arial" w:eastAsia="Arial" w:hAnsi="Arial"/>
                <w:sz w:val="18"/>
                <w:szCs w:val="18"/>
                <w:color w:val="0000EE"/>
              </w:rPr>
              <w:t>ABOUT THIS PROSPECTUS</w:t>
            </w: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6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39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WHERE YOU CAN FIND MORE INFORMATION</w:t>
            </w:r>
          </w:p>
        </w:tc>
        <w:tc>
          <w:tcPr>
            <w:tcW w:w="5760" w:type="dxa"/>
            <w:vAlign w:val="bottom"/>
            <w:gridSpan w:val="6"/>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538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8"/>
              </w:rPr>
              <w:t>INCORPORATION OF CERTAIN INFORMATION BY REFERENCE</w:t>
            </w:r>
          </w:p>
        </w:tc>
        <w:tc>
          <w:tcPr>
            <w:tcW w:w="4280" w:type="dxa"/>
            <w:vAlign w:val="bottom"/>
            <w:gridSpan w:val="3"/>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9660" w:type="dxa"/>
            <w:vAlign w:val="bottom"/>
            <w:gridSpan w:val="27"/>
          </w:tcPr>
          <w:p>
            <w:pPr>
              <w:spacing w:after="0"/>
              <w:rPr>
                <w:sz w:val="20"/>
                <w:szCs w:val="20"/>
                <w:color w:val="auto"/>
              </w:rPr>
            </w:pPr>
            <w:r>
              <w:rPr>
                <w:rFonts w:ascii="Arial" w:cs="Arial" w:eastAsia="Arial" w:hAnsi="Arial"/>
                <w:sz w:val="18"/>
                <w:szCs w:val="18"/>
                <w:color w:val="0000EE"/>
              </w:rPr>
              <w:t>CAUTIONARY NOTE REGARDING FORWARD-LOOKING STATEMENTS</w:t>
            </w: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5940" w:type="dxa"/>
            <w:vAlign w:val="bottom"/>
            <w:tcBorders>
              <w:top w:val="single" w:sz="8" w:color="0000EE"/>
            </w:tcBorders>
            <w:gridSpan w:val="25"/>
          </w:tcPr>
          <w:p>
            <w:pPr>
              <w:spacing w:after="0"/>
              <w:rPr>
                <w:sz w:val="20"/>
                <w:szCs w:val="20"/>
                <w:color w:val="auto"/>
              </w:rPr>
            </w:pPr>
            <w:r>
              <w:rPr>
                <w:rFonts w:ascii="Arial" w:cs="Arial" w:eastAsia="Arial" w:hAnsi="Arial"/>
                <w:sz w:val="18"/>
                <w:szCs w:val="18"/>
                <w:color w:val="0000EE"/>
              </w:rPr>
              <w:t>ABOUT LARIMAR</w:t>
            </w:r>
          </w:p>
        </w:tc>
        <w:tc>
          <w:tcPr>
            <w:tcW w:w="3720" w:type="dxa"/>
            <w:vAlign w:val="bottom"/>
            <w:gridSpan w:val="2"/>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13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7"/>
              </w:rPr>
              <w:t>RISK FACTORS</w:t>
            </w:r>
          </w:p>
        </w:tc>
        <w:tc>
          <w:tcPr>
            <w:tcW w:w="140" w:type="dxa"/>
            <w:vAlign w:val="bottom"/>
            <w:tcBorders>
              <w:top w:val="single" w:sz="8" w:color="0000EE"/>
            </w:tcBorders>
            <w:gridSpan w:val="3"/>
          </w:tcPr>
          <w:p>
            <w:pPr>
              <w:spacing w:after="0"/>
              <w:rPr>
                <w:sz w:val="21"/>
                <w:szCs w:val="21"/>
                <w:color w:val="auto"/>
              </w:rPr>
            </w:pPr>
          </w:p>
        </w:tc>
        <w:tc>
          <w:tcPr>
            <w:tcW w:w="8200" w:type="dxa"/>
            <w:vAlign w:val="bottom"/>
            <w:gridSpan w:val="21"/>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9660" w:type="dxa"/>
            <w:vAlign w:val="bottom"/>
            <w:gridSpan w:val="27"/>
          </w:tcPr>
          <w:p>
            <w:pPr>
              <w:spacing w:after="0"/>
              <w:rPr>
                <w:sz w:val="20"/>
                <w:szCs w:val="20"/>
                <w:color w:val="auto"/>
              </w:rPr>
            </w:pPr>
            <w:r>
              <w:rPr>
                <w:rFonts w:ascii="Arial" w:cs="Arial" w:eastAsia="Arial" w:hAnsi="Arial"/>
                <w:sz w:val="18"/>
                <w:szCs w:val="18"/>
                <w:color w:val="0000EE"/>
              </w:rPr>
              <w:t>USE OF PROCEEDS</w:t>
            </w: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720" w:type="dxa"/>
            <w:vAlign w:val="bottom"/>
            <w:gridSpan w:val="9"/>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56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29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8"/>
              </w:rPr>
              <w:t>DESCRIPTION OF CAPITAL STOCK</w:t>
            </w:r>
          </w:p>
        </w:tc>
        <w:tc>
          <w:tcPr>
            <w:tcW w:w="6680" w:type="dxa"/>
            <w:vAlign w:val="bottom"/>
            <w:gridSpan w:val="10"/>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9660" w:type="dxa"/>
            <w:vAlign w:val="bottom"/>
            <w:gridSpan w:val="27"/>
          </w:tcPr>
          <w:p>
            <w:pPr>
              <w:spacing w:after="0"/>
              <w:rPr>
                <w:sz w:val="20"/>
                <w:szCs w:val="20"/>
                <w:color w:val="auto"/>
              </w:rPr>
            </w:pPr>
            <w:r>
              <w:rPr>
                <w:rFonts w:ascii="Arial" w:cs="Arial" w:eastAsia="Arial" w:hAnsi="Arial"/>
                <w:sz w:val="18"/>
                <w:szCs w:val="18"/>
                <w:color w:val="0000EE"/>
              </w:rPr>
              <w:t>DESCRIPTION OF DEBT SECURITIES</w:t>
            </w: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260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98"/>
              </w:rPr>
              <w:t>DESCRIPTION OF WARRANTS</w:t>
            </w:r>
          </w:p>
        </w:tc>
        <w:tc>
          <w:tcPr>
            <w:tcW w:w="580" w:type="dxa"/>
            <w:vAlign w:val="bottom"/>
            <w:tcBorders>
              <w:top w:val="single" w:sz="8" w:color="0000EE"/>
            </w:tcBorders>
            <w:gridSpan w:val="2"/>
          </w:tcPr>
          <w:p>
            <w:pPr>
              <w:spacing w:after="0"/>
              <w:rPr>
                <w:sz w:val="21"/>
                <w:szCs w:val="21"/>
                <w:color w:val="auto"/>
              </w:rPr>
            </w:pPr>
          </w:p>
        </w:tc>
        <w:tc>
          <w:tcPr>
            <w:tcW w:w="6480" w:type="dxa"/>
            <w:vAlign w:val="bottom"/>
            <w:gridSpan w:val="9"/>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21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DESCRIPTION OF UNITS</w:t>
            </w:r>
          </w:p>
        </w:tc>
        <w:tc>
          <w:tcPr>
            <w:tcW w:w="7540" w:type="dxa"/>
            <w:vAlign w:val="bottom"/>
            <w:gridSpan w:val="15"/>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9660" w:type="dxa"/>
            <w:vAlign w:val="bottom"/>
            <w:gridSpan w:val="27"/>
          </w:tcPr>
          <w:p>
            <w:pPr>
              <w:spacing w:after="0"/>
              <w:rPr>
                <w:sz w:val="20"/>
                <w:szCs w:val="20"/>
                <w:color w:val="auto"/>
              </w:rPr>
            </w:pPr>
            <w:r>
              <w:rPr>
                <w:rFonts w:ascii="Arial" w:cs="Arial" w:eastAsia="Arial" w:hAnsi="Arial"/>
                <w:sz w:val="18"/>
                <w:szCs w:val="18"/>
                <w:color w:val="0000EE"/>
              </w:rPr>
              <w:t>DESCRIPTION OF OUR SUBSCRIPTION RIGHTS</w:t>
            </w: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4100" w:type="dxa"/>
            <w:vAlign w:val="bottom"/>
            <w:tcBorders>
              <w:top w:val="single" w:sz="8" w:color="0000EE"/>
            </w:tcBorders>
            <w:gridSpan w:val="22"/>
          </w:tcPr>
          <w:p>
            <w:pPr>
              <w:spacing w:after="0"/>
              <w:rPr>
                <w:sz w:val="20"/>
                <w:szCs w:val="20"/>
                <w:color w:val="auto"/>
              </w:rPr>
            </w:pPr>
            <w:r>
              <w:rPr>
                <w:rFonts w:ascii="Arial" w:cs="Arial" w:eastAsia="Arial" w:hAnsi="Arial"/>
                <w:sz w:val="18"/>
                <w:szCs w:val="18"/>
                <w:color w:val="0000EE"/>
              </w:rPr>
              <w:t>GLOBAL SECURITIES</w:t>
            </w:r>
          </w:p>
        </w:tc>
        <w:tc>
          <w:tcPr>
            <w:tcW w:w="5560" w:type="dxa"/>
            <w:vAlign w:val="bottom"/>
            <w:gridSpan w:val="5"/>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840" w:type="dxa"/>
            <w:vAlign w:val="bottom"/>
            <w:gridSpan w:val="10"/>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80" w:type="dxa"/>
            <w:vAlign w:val="bottom"/>
            <w:gridSpan w:val="1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9660" w:type="dxa"/>
            <w:vAlign w:val="bottom"/>
            <w:gridSpan w:val="27"/>
          </w:tcPr>
          <w:p>
            <w:pPr>
              <w:spacing w:after="0"/>
              <w:rPr>
                <w:sz w:val="20"/>
                <w:szCs w:val="20"/>
                <w:color w:val="auto"/>
              </w:rPr>
            </w:pPr>
            <w:r>
              <w:rPr>
                <w:rFonts w:ascii="Arial" w:cs="Arial" w:eastAsia="Arial" w:hAnsi="Arial"/>
                <w:sz w:val="18"/>
                <w:szCs w:val="18"/>
                <w:color w:val="0000EE"/>
              </w:rPr>
              <w:t>PLAN OF DISTRIBUTION</w:t>
            </w: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148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7"/>
              </w:rPr>
              <w:t>LEGAL MATTERS</w:t>
            </w:r>
          </w:p>
        </w:tc>
        <w:tc>
          <w:tcPr>
            <w:tcW w:w="600" w:type="dxa"/>
            <w:vAlign w:val="bottom"/>
            <w:tcBorders>
              <w:top w:val="single" w:sz="8" w:color="0000EE"/>
            </w:tcBorders>
            <w:gridSpan w:val="4"/>
          </w:tcPr>
          <w:p>
            <w:pPr>
              <w:spacing w:after="0"/>
              <w:rPr>
                <w:sz w:val="21"/>
                <w:szCs w:val="21"/>
                <w:color w:val="auto"/>
              </w:rPr>
            </w:pPr>
          </w:p>
        </w:tc>
        <w:tc>
          <w:tcPr>
            <w:tcW w:w="7580" w:type="dxa"/>
            <w:vAlign w:val="bottom"/>
            <w:gridSpan w:val="16"/>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8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7"/>
              </w:rPr>
              <w:t>EXPERTS</w:t>
            </w:r>
          </w:p>
        </w:tc>
        <w:tc>
          <w:tcPr>
            <w:tcW w:w="8820" w:type="dxa"/>
            <w:vAlign w:val="bottom"/>
            <w:gridSpan w:val="26"/>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ABOUT THIS PROSPECTUS SUPPLEMENT</w:t>
      </w:r>
    </w:p>
    <w:p>
      <w:pPr>
        <w:spacing w:after="0" w:line="154"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This prospectus supplement and the accompanying prospectus form part of a registration statement on Form S-3 that we filed with the Securities and Exchange Commission, or SEC,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w:t>
      </w:r>
    </w:p>
    <w:p>
      <w:pPr>
        <w:spacing w:after="0" w:line="11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You should rely only on the information that we have included or incorporated by reference in this prospectus supplement, the accompanying prospectus and any related free writing prospectus that we may authorize to be provided to you. We have not, and the underwriters have not, authorized anyone to give any information or to make any representation other than those contained or incorporated by reference in this prospectus supplement, the accompanying prospectus or any related free writing prospectus that we may authorize to be provided to you. You must not rely upon any information or representation not contained or incorporated by reference in this prospectus supplement, the accompanying prospectus or any related free writing prospectus. 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12"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w:t>
      </w:r>
    </w:p>
    <w:p>
      <w:pPr>
        <w:spacing w:after="0" w:line="95" w:lineRule="exact"/>
        <w:rPr>
          <w:sz w:val="20"/>
          <w:szCs w:val="20"/>
          <w:color w:val="auto"/>
        </w:rPr>
      </w:pPr>
    </w:p>
    <w:p>
      <w:pPr>
        <w:ind w:left="120" w:right="140"/>
        <w:spacing w:after="0" w:line="261" w:lineRule="auto"/>
        <w:rPr>
          <w:sz w:val="20"/>
          <w:szCs w:val="20"/>
          <w:color w:val="auto"/>
        </w:rPr>
      </w:pPr>
      <w:r>
        <w:rPr>
          <w:rFonts w:ascii="Arial" w:cs="Arial" w:eastAsia="Arial" w:hAnsi="Arial"/>
          <w:sz w:val="17"/>
          <w:szCs w:val="17"/>
          <w:color w:val="auto"/>
        </w:rPr>
        <w:t>This prospectus supplement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98" w:lineRule="exact"/>
        <w:rPr>
          <w:sz w:val="20"/>
          <w:szCs w:val="20"/>
          <w:color w:val="auto"/>
        </w:rPr>
      </w:pPr>
    </w:p>
    <w:p>
      <w:pPr>
        <w:ind w:left="120" w:right="140"/>
        <w:spacing w:after="0" w:line="301" w:lineRule="auto"/>
        <w:rPr>
          <w:sz w:val="20"/>
          <w:szCs w:val="20"/>
          <w:color w:val="auto"/>
        </w:rPr>
      </w:pPr>
      <w:r>
        <w:rPr>
          <w:rFonts w:ascii="Arial" w:cs="Arial" w:eastAsia="Arial" w:hAnsi="Arial"/>
          <w:sz w:val="17"/>
          <w:szCs w:val="17"/>
          <w:color w:val="auto"/>
        </w:rPr>
        <w:t>When we refer to “Larimar,” “we,” “our,” “us” and the “Company” in this prospectus supplement, we mean Larimar Therapeutics, Inc., and its subsidiary unless otherwise specified. When we refer to “you,” we mean the potential holders of the applicable series of securities.</w:t>
      </w:r>
    </w:p>
    <w:p>
      <w:pPr>
        <w:spacing w:after="0" w:line="50" w:lineRule="exact"/>
        <w:rPr>
          <w:sz w:val="20"/>
          <w:szCs w:val="20"/>
          <w:color w:val="auto"/>
        </w:rPr>
      </w:pPr>
    </w:p>
    <w:p>
      <w:pPr>
        <w:jc w:val="both"/>
        <w:ind w:left="120" w:right="380"/>
        <w:spacing w:after="0" w:line="216" w:lineRule="auto"/>
        <w:rPr>
          <w:sz w:val="20"/>
          <w:szCs w:val="20"/>
          <w:color w:val="auto"/>
        </w:rPr>
      </w:pPr>
      <w:r>
        <w:rPr>
          <w:rFonts w:ascii="Arial" w:cs="Arial" w:eastAsia="Arial" w:hAnsi="Arial"/>
          <w:sz w:val="18"/>
          <w:szCs w:val="18"/>
          <w:color w:val="auto"/>
        </w:rPr>
        <w:t>Larimar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our logo are some of our trademarks used in this prospectus supplement. This prospectus supplement may also include trademarks, tradenames, and service marks that are the property of other organizations. Solely for convenience, our trademarks and tradenames referred to in this prospectus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16" w:lineRule="auto"/>
        <w:rPr>
          <w:sz w:val="20"/>
          <w:szCs w:val="20"/>
          <w:color w:val="auto"/>
        </w:rPr>
      </w:pPr>
      <w:r>
        <w:rPr>
          <w:rFonts w:ascii="Arial" w:cs="Arial" w:eastAsia="Arial" w:hAnsi="Arial"/>
          <w:sz w:val="18"/>
          <w:szCs w:val="18"/>
          <w:color w:val="auto"/>
        </w:rPr>
        <w:t xml:space="preserve">supplement and the accompanying prospectus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60"/>
          </w:cols>
          <w:pgMar w:left="320" w:top="455"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99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PROSPECTUS SUPPLEMENT SUMMARY</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This summary description about us, our business and this offering highlights selected information contained elsewhere in this prospectus supplement and the accompanying prospectus or incorporated in this prospectus supplement and the accompanying prospectus by reference. This summary does not contain all of the information you should consider before deciding to invest in our securities. You should carefully read this entire prospectus supplement, the accompanying prospectus and any free writing prospectus with respect to this offering filed by us with the SEC, including each of the documents incorporated herein or therein by reference, before making an investment decision. Investors should carefully consider the information set forth under “Risk Factors” on page S-8 and in the documents incorporated by reference into this prospectus supplement and the accompanying prospectus.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COMPANY OVERVIEW</w:t>
      </w:r>
    </w:p>
    <w:p>
      <w:pPr>
        <w:spacing w:after="0" w:line="154" w:lineRule="exact"/>
        <w:rPr>
          <w:sz w:val="20"/>
          <w:szCs w:val="20"/>
          <w:color w:val="auto"/>
        </w:rPr>
      </w:pPr>
    </w:p>
    <w:p>
      <w:pPr>
        <w:ind w:left="300" w:right="100"/>
        <w:spacing w:after="0"/>
        <w:rPr>
          <w:sz w:val="20"/>
          <w:szCs w:val="20"/>
          <w:color w:val="auto"/>
        </w:rPr>
      </w:pPr>
      <w:r>
        <w:rPr>
          <w:rFonts w:ascii="Arial" w:cs="Arial" w:eastAsia="Arial" w:hAnsi="Arial"/>
          <w:sz w:val="18"/>
          <w:szCs w:val="18"/>
          <w:color w:val="auto"/>
        </w:rPr>
        <w:t>We are a clinical-stage biotechnology company focused on developing treatments for patients suffering from complex rare diseases using our novel cell penetrating peptide, or CPP, technology platform. Our lead product candidate, nomlabofusp (nomlabofusp is the International Nonproprietary Name and the United States Adopted Name for CTI-1601), is a subcutaneously administered, recombinant fusion protein intended to deliver tissue frataxin, or FXN, an essential protein, to the mitochondria of patients with Friedreich’s ataxia, or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systemically increase FXN levels in patients with FA.</w:t>
      </w:r>
    </w:p>
    <w:p>
      <w:pPr>
        <w:spacing w:after="0" w:line="117" w:lineRule="exact"/>
        <w:rPr>
          <w:sz w:val="20"/>
          <w:szCs w:val="20"/>
          <w:color w:val="auto"/>
        </w:rPr>
      </w:pPr>
    </w:p>
    <w:p>
      <w:pPr>
        <w:ind w:left="300" w:right="380"/>
        <w:spacing w:after="0" w:line="271" w:lineRule="auto"/>
        <w:rPr>
          <w:sz w:val="20"/>
          <w:szCs w:val="20"/>
          <w:color w:val="auto"/>
        </w:rPr>
      </w:pPr>
      <w:r>
        <w:rPr>
          <w:rFonts w:ascii="Arial" w:cs="Arial" w:eastAsia="Arial" w:hAnsi="Arial"/>
          <w:sz w:val="18"/>
          <w:szCs w:val="18"/>
          <w:color w:val="auto"/>
        </w:rPr>
        <w:t>We have completed four clinical studies: (i) two Phase 1 clinical studies, (ii) a Phase 2 dose exploration study and (iii) a PK run-in study in adolescents (12-17 years old). We have an ongoing Phase 2 open label, or OL, trial in patients with FA.</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ongoing OL study is evaluating the safety and tolerability, pharmacokinetics, or PK, and FXN levels in peripheral tissues as well as other exploratory pharmacodynamic markers (lipid profiles and gene expression data) following long-term subcutaneous administration of nomlabofusp. In December 2024, we reported positive initial data from the ongoing OL study evaluating daily subcutaneous injections of 25 mg of nomlabofusp self-administered or administered by a caregiver. Following this, we announced that we were increasing the dose in the OL to 50 mg of nomlabofusp daily for then currently enrolled and all future OL study participants. In March 2025, we announced that our Safety Monitoring Team has deemed anaphylaxis as an adverse drug reaction likely associated with nomlabofusp and therefore, we expect to see additional reactions.</w:t>
      </w:r>
    </w:p>
    <w:p>
      <w:pPr>
        <w:spacing w:after="0" w:line="104" w:lineRule="exact"/>
        <w:rPr>
          <w:sz w:val="20"/>
          <w:szCs w:val="20"/>
          <w:color w:val="auto"/>
        </w:rPr>
      </w:pPr>
    </w:p>
    <w:p>
      <w:pPr>
        <w:ind w:left="300" w:right="160"/>
        <w:spacing w:after="0" w:line="247" w:lineRule="auto"/>
        <w:rPr>
          <w:sz w:val="20"/>
          <w:szCs w:val="20"/>
          <w:color w:val="auto"/>
        </w:rPr>
      </w:pPr>
      <w:r>
        <w:rPr>
          <w:rFonts w:ascii="Arial" w:cs="Arial" w:eastAsia="Arial" w:hAnsi="Arial"/>
          <w:sz w:val="18"/>
          <w:szCs w:val="18"/>
          <w:color w:val="auto"/>
        </w:rPr>
        <w:t>In January 2025, we initiated dosing of adolescents (12-17 years old) in a PK run-in study for pediatric patients with FA. Study participants in the PK run-in study were randomized 2:1 to receive either nomlabofusp at a weight-base dose expected to match the PK of adults receiving the 50 mg dose, or placebo, daily for seven days. Dosing of this adolescent PK run-in study was completed in March 2025.</w:t>
      </w:r>
    </w:p>
    <w:p>
      <w:pPr>
        <w:spacing w:after="0" w:line="106" w:lineRule="exact"/>
        <w:rPr>
          <w:sz w:val="20"/>
          <w:szCs w:val="20"/>
          <w:color w:val="auto"/>
        </w:rPr>
      </w:pPr>
    </w:p>
    <w:p>
      <w:pPr>
        <w:ind w:left="300"/>
        <w:spacing w:after="0" w:line="244" w:lineRule="auto"/>
        <w:rPr>
          <w:sz w:val="20"/>
          <w:szCs w:val="20"/>
          <w:color w:val="auto"/>
        </w:rPr>
      </w:pPr>
      <w:r>
        <w:rPr>
          <w:rFonts w:ascii="Arial" w:cs="Arial" w:eastAsia="Arial" w:hAnsi="Arial"/>
          <w:sz w:val="18"/>
          <w:szCs w:val="18"/>
          <w:color w:val="auto"/>
        </w:rPr>
        <w:t>In September 2025, we announced exposure and PK in adolescents spanning 12 to 17 years of age were similar to adults on 50 mg of nomlabofusp. Trends towards improvement were observed in modified Friedreich Ataxia Rating Scale (mFARS), FARS-Activities of Daily Living (ADL), 9 Hole Peg Test (9-HPT), and Modified Fatigue Impact Scale (MFIS) at 1 year relative to baseline. In participants receiving long term continuous treatment, including 14 participants on nomlabofusp for at least 6 months, 8 of whom continue to be on nomlabofusp for over 1 year, daily administration of nomlabofusp was generally well-tolerated. The most common adverse</w:t>
      </w:r>
    </w:p>
    <w:p>
      <w:pPr>
        <w:spacing w:after="0" w:line="2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07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5073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44" w:lineRule="auto"/>
        <w:rPr>
          <w:sz w:val="20"/>
          <w:szCs w:val="20"/>
          <w:color w:val="auto"/>
        </w:rPr>
      </w:pPr>
      <w:r>
        <w:rPr>
          <w:rFonts w:ascii="Arial" w:cs="Arial" w:eastAsia="Arial" w:hAnsi="Arial"/>
          <w:sz w:val="18"/>
          <w:szCs w:val="18"/>
          <w:color w:val="auto"/>
        </w:rPr>
        <w:t>events continued to be local injection site reactions that were mild to moderate and did not lead to any participant withdrawal from the study. To reduce the risk of allergic reactions, including anaphylaxis, we amended the OL protocol to administer premedication with antihistamines for the first month of dosing and introduced a new dosing regimen in which participants initially receive a 5 mg test dose followed by a 25 mg dose one hour later under observation. Nomlabofusp 25 mg is then administered once daily through Day 30 and then the dose is increased to 50 mg once daily.</w:t>
      </w:r>
    </w:p>
    <w:p>
      <w:pPr>
        <w:spacing w:after="0" w:line="95" w:lineRule="exact"/>
        <w:rPr>
          <w:sz w:val="20"/>
          <w:szCs w:val="20"/>
          <w:color w:val="auto"/>
        </w:rPr>
      </w:pPr>
    </w:p>
    <w:p>
      <w:pPr>
        <w:ind w:left="300" w:right="60"/>
        <w:spacing w:after="0"/>
        <w:rPr>
          <w:sz w:val="20"/>
          <w:szCs w:val="20"/>
          <w:color w:val="auto"/>
        </w:rPr>
      </w:pPr>
      <w:r>
        <w:rPr>
          <w:rFonts w:ascii="Arial" w:cs="Arial" w:eastAsia="Arial" w:hAnsi="Arial"/>
          <w:sz w:val="18"/>
          <w:szCs w:val="18"/>
          <w:color w:val="auto"/>
        </w:rPr>
        <w:t>In February 2026, we announced that the FDA granted Breakthrough Therapy Designation to nomlabofusp for the treatment of adults and children with FA. Additionally, following a Support for Clinical Trials Advancing Rare Disease Therapeutics (START) pilot program meeting with FDA, we announced continued alignment with the FDA to consider the use of skin FXN concentration as a novel surrogate endpoint reasonably likely to predict clinical benefit to support a planned Biologics License Application, or BLA, seeking accelerated approval. There was also agreement on the relevant clinical outcomes with consistent directional improvement in all four clinical outcomes assessed and the type of analyses required to support the exposure response relationships for the nomlabofusp program. Breakthrough Therapy Designation and FDA feedback on BLA submission were based on the FDA’s review of available clinical data from our ongoing OL study evaluating nomlabofusp in adult and pediatric patients with FA.</w:t>
      </w:r>
    </w:p>
    <w:p>
      <w:pPr>
        <w:spacing w:after="0" w:line="113" w:lineRule="exact"/>
        <w:rPr>
          <w:sz w:val="20"/>
          <w:szCs w:val="20"/>
          <w:color w:val="auto"/>
        </w:rPr>
      </w:pPr>
    </w:p>
    <w:p>
      <w:pPr>
        <w:ind w:left="300" w:right="140"/>
        <w:spacing w:after="0" w:line="247" w:lineRule="auto"/>
        <w:rPr>
          <w:sz w:val="20"/>
          <w:szCs w:val="20"/>
          <w:color w:val="auto"/>
        </w:rPr>
      </w:pPr>
      <w:r>
        <w:rPr>
          <w:rFonts w:ascii="Arial" w:cs="Arial" w:eastAsia="Arial" w:hAnsi="Arial"/>
          <w:sz w:val="18"/>
          <w:szCs w:val="18"/>
          <w:color w:val="auto"/>
        </w:rPr>
        <w:t>The FDA’s Center for Drug Evaluation and Research selected nomlabofusp as one of a few programs for participation in the Support for Clinical Trials Advancing Rare Disease Therapeutics, or START, pilot program. The objective of the program is to accelerate the development of drugs for rare diseases that lead to significant disability or death by facilitating frequent advice and regular communication with the FDA staff to expedite the development of biologics and drugs.</w:t>
      </w:r>
    </w:p>
    <w:p>
      <w:pPr>
        <w:spacing w:after="0" w:line="106" w:lineRule="exact"/>
        <w:rPr>
          <w:sz w:val="20"/>
          <w:szCs w:val="20"/>
          <w:color w:val="auto"/>
        </w:rPr>
      </w:pPr>
    </w:p>
    <w:p>
      <w:pPr>
        <w:ind w:left="300" w:right="80"/>
        <w:spacing w:after="0" w:line="244" w:lineRule="auto"/>
        <w:rPr>
          <w:sz w:val="20"/>
          <w:szCs w:val="20"/>
          <w:color w:val="auto"/>
        </w:rPr>
      </w:pPr>
      <w:r>
        <w:rPr>
          <w:rFonts w:ascii="Arial" w:cs="Arial" w:eastAsia="Arial" w:hAnsi="Arial"/>
          <w:sz w:val="18"/>
          <w:szCs w:val="18"/>
          <w:color w:val="auto"/>
        </w:rPr>
        <w:t>We received access to the Medicines and Healthcare Regulatory Agency Innovative Licensing and Access Pathway, or ILAP, for the treatment of adults and children with FA. ILAP is facilitating patient access to novel treatments by accelerating time to market through opportunities for enhanced engagements with UK regulatory authorities and other stakeholders. Along with the receipt of the Breakthrough Therapy Designation and ILAP designation, nomlabofusp has already been granted orphan drug designations in the U.S. and the European Union, or the EU, and access to the PRIority MEdicines scheme in the EU.</w:t>
      </w:r>
    </w:p>
    <w:p>
      <w:pPr>
        <w:spacing w:after="0" w:line="95" w:lineRule="exact"/>
        <w:rPr>
          <w:sz w:val="20"/>
          <w:szCs w:val="20"/>
          <w:color w:val="auto"/>
        </w:rPr>
      </w:pPr>
    </w:p>
    <w:p>
      <w:pPr>
        <w:jc w:val="both"/>
        <w:ind w:left="300" w:right="460"/>
        <w:spacing w:after="0" w:line="253" w:lineRule="auto"/>
        <w:rPr>
          <w:sz w:val="20"/>
          <w:szCs w:val="20"/>
          <w:color w:val="auto"/>
        </w:rPr>
      </w:pPr>
      <w:r>
        <w:rPr>
          <w:rFonts w:ascii="Arial" w:cs="Arial" w:eastAsia="Arial" w:hAnsi="Arial"/>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01" w:lineRule="exact"/>
        <w:rPr>
          <w:sz w:val="20"/>
          <w:szCs w:val="20"/>
          <w:color w:val="auto"/>
        </w:rPr>
      </w:pPr>
    </w:p>
    <w:p>
      <w:pPr>
        <w:ind w:left="300" w:right="200"/>
        <w:spacing w:after="0" w:line="253" w:lineRule="auto"/>
        <w:rPr>
          <w:sz w:val="20"/>
          <w:szCs w:val="20"/>
          <w:color w:val="auto"/>
        </w:rPr>
      </w:pPr>
      <w:r>
        <w:rPr>
          <w:rFonts w:ascii="Arial" w:cs="Arial" w:eastAsia="Arial" w:hAnsi="Arial"/>
          <w:sz w:val="18"/>
          <w:szCs w:val="18"/>
          <w:color w:val="auto"/>
        </w:rPr>
        <w:t>Since our inception, we have devoted substantially all of our resources to developing nomlabofusp, building our intellectual property portfolio, developing third-party manufacturing capabilities, business planning, raising capital, developing sales and marketing capacities, and providing general and administrative support for such operations.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RECENT DEVELOPMENTS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Unaudited Preliminary Financial Information</w:t>
      </w:r>
    </w:p>
    <w:p>
      <w:pPr>
        <w:spacing w:after="0" w:line="142" w:lineRule="exact"/>
        <w:rPr>
          <w:sz w:val="20"/>
          <w:szCs w:val="20"/>
          <w:color w:val="auto"/>
        </w:rPr>
      </w:pPr>
    </w:p>
    <w:p>
      <w:pPr>
        <w:ind w:left="300" w:right="120"/>
        <w:spacing w:after="0" w:line="247" w:lineRule="auto"/>
        <w:rPr>
          <w:sz w:val="20"/>
          <w:szCs w:val="20"/>
          <w:color w:val="auto"/>
        </w:rPr>
      </w:pPr>
      <w:r>
        <w:rPr>
          <w:rFonts w:ascii="Arial" w:cs="Arial" w:eastAsia="Arial" w:hAnsi="Arial"/>
          <w:sz w:val="18"/>
          <w:szCs w:val="18"/>
          <w:color w:val="auto"/>
        </w:rPr>
        <w:t>We estimate that our cash, cash equivalents and marketable securities were approximately $136.9 million as of December 31, 2025. This amount is unaudited and preliminary and is subject to completion of financial closing procedures, including the completion of management’s reviews. As a result, this amount reflects our preliminary estimate with respect to such information, based on information currently available for</w:t>
      </w:r>
    </w:p>
    <w:p>
      <w:pPr>
        <w:spacing w:after="0" w:line="28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02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40246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37" w:lineRule="auto"/>
        <w:rPr>
          <w:sz w:val="20"/>
          <w:szCs w:val="20"/>
          <w:color w:val="auto"/>
        </w:rPr>
      </w:pPr>
      <w:r>
        <w:rPr>
          <w:rFonts w:ascii="Arial" w:cs="Arial" w:eastAsia="Arial" w:hAnsi="Arial"/>
          <w:sz w:val="18"/>
          <w:szCs w:val="18"/>
          <w:color w:val="auto"/>
        </w:rPr>
        <w:t>management, and may vary from our actual financial position as of December 31, 2025. Further, this preliminary estimate is not a comprehensive statement or estimate of our financial data or financial condition as of December 31, 2025. The unaudited preliminary financial data included in this prospectus supplement have been prepared by, and are the responsibility of, our management team. PricewaterhouseCoopers LLP, our independent registered public accounting firm, has not audited, reviewed, examined, compiled, nor applied agreed-upon procedures with respect to the unaudited preliminary financial data. Accordingly, PricewaterhouseCoopers LLP does not express an opinion or any other form of assurance with respect thereto. It is possible that we may identify items that require us to make adjustments to the financial information set forth above. This preliminary estimate should not be viewed as a substitute for financial statements prepared in accordance with generally accepted accounting principles in the United States and it is not necessarily indicative of the balance to be achieved in any future period. Additional information and disclosure would be required for a more complete understanding of our financial position and results of operations as of December 31, 2025. Accordingly, you should not place undue reliance on this preliminary estimate. This preliminary estimate should be read together with the sections titled “Risk Factors” and “Cautionary Note Regarding Forward-looking Statements,” and under similar headings included in this prospectus supplement, the accompanying prospectus and in the documents incorporated by reference into this prospectus supplement and in the accompanying prospectus as well as our financial statements, related notes and other financial information incorporated by reference in this prospectus supplement and in the accompanying prospectus. We expect to complete our financial statements for the year ended December 31, 2025 subsequent to the completion of this offering, and consequently such financial statements will not be available to you prior to investing in this offering.</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COMPANY INFORMATION</w:t>
      </w:r>
    </w:p>
    <w:p>
      <w:pPr>
        <w:spacing w:after="0" w:line="168" w:lineRule="exact"/>
        <w:rPr>
          <w:sz w:val="20"/>
          <w:szCs w:val="20"/>
          <w:color w:val="auto"/>
        </w:rPr>
      </w:pPr>
    </w:p>
    <w:p>
      <w:pPr>
        <w:ind w:left="300" w:right="40"/>
        <w:spacing w:after="0" w:line="244" w:lineRule="auto"/>
        <w:rPr>
          <w:sz w:val="20"/>
          <w:szCs w:val="20"/>
          <w:color w:val="auto"/>
        </w:rPr>
      </w:pPr>
      <w:r>
        <w:rPr>
          <w:rFonts w:ascii="Arial" w:cs="Arial" w:eastAsia="Arial" w:hAnsi="Arial"/>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Arial" w:cs="Arial" w:eastAsia="Arial" w:hAnsi="Arial"/>
          <w:sz w:val="18"/>
          <w:szCs w:val="18"/>
          <w:i w:val="1"/>
          <w:iCs w:val="1"/>
          <w:color w:val="auto"/>
        </w:rPr>
        <w:t>www.larimartx.com</w:t>
      </w:r>
      <w:r>
        <w:rPr>
          <w:rFonts w:ascii="Arial" w:cs="Arial" w:eastAsia="Arial" w:hAnsi="Arial"/>
          <w:sz w:val="18"/>
          <w:szCs w:val="18"/>
          <w:color w:val="auto"/>
        </w:rPr>
        <w:t>. The information on, or that can be accessed through, our website is not part of this prospectus supplement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prospectus and is not incorporated by reference herein. We have included our website address as an inactive textual reference only.</w:t>
      </w:r>
    </w:p>
    <w:p>
      <w:pPr>
        <w:spacing w:after="0" w:line="95" w:lineRule="exact"/>
        <w:rPr>
          <w:sz w:val="20"/>
          <w:szCs w:val="20"/>
          <w:color w:val="auto"/>
        </w:rPr>
      </w:pPr>
    </w:p>
    <w:p>
      <w:pPr>
        <w:ind w:left="300" w:right="40"/>
        <w:spacing w:after="0" w:line="253" w:lineRule="auto"/>
        <w:rPr>
          <w:sz w:val="20"/>
          <w:szCs w:val="20"/>
          <w:color w:val="auto"/>
        </w:rPr>
      </w:pPr>
      <w:r>
        <w:rPr>
          <w:rFonts w:ascii="Arial" w:cs="Arial" w:eastAsia="Arial" w:hAnsi="Arial"/>
          <w:sz w:val="18"/>
          <w:szCs w:val="18"/>
          <w:color w:val="auto"/>
        </w:rPr>
        <w:t>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w:t>
      </w:r>
    </w:p>
    <w:p>
      <w:pPr>
        <w:spacing w:after="0" w:line="29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975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497586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THE OFFERING</w:t>
      </w:r>
    </w:p>
    <w:p>
      <w:pPr>
        <w:spacing w:after="0" w:line="168" w:lineRule="exact"/>
        <w:rPr>
          <w:sz w:val="20"/>
          <w:szCs w:val="20"/>
          <w:color w:val="auto"/>
        </w:rPr>
      </w:pPr>
    </w:p>
    <w:p>
      <w:pPr>
        <w:ind w:left="300"/>
        <w:spacing w:after="0"/>
        <w:tabs>
          <w:tab w:leader="none" w:pos="3240" w:val="left"/>
        </w:tabs>
        <w:rPr>
          <w:sz w:val="20"/>
          <w:szCs w:val="20"/>
          <w:color w:val="auto"/>
        </w:rPr>
      </w:pPr>
      <w:r>
        <w:rPr>
          <w:rFonts w:ascii="Arial" w:cs="Arial" w:eastAsia="Arial" w:hAnsi="Arial"/>
          <w:sz w:val="18"/>
          <w:szCs w:val="18"/>
          <w:b w:val="1"/>
          <w:bCs w:val="1"/>
          <w:color w:val="auto"/>
        </w:rPr>
        <w:t>Common stock offered by us</w:t>
      </w:r>
      <w:r>
        <w:rPr>
          <w:sz w:val="20"/>
          <w:szCs w:val="20"/>
          <w:color w:val="auto"/>
        </w:rPr>
        <w:tab/>
      </w:r>
      <w:r>
        <w:rPr>
          <w:rFonts w:ascii="Arial" w:cs="Arial" w:eastAsia="Arial" w:hAnsi="Arial"/>
          <w:sz w:val="17"/>
          <w:szCs w:val="17"/>
          <w:color w:val="auto"/>
        </w:rPr>
        <w:t>$75,000,000 of shares of our common stock.</w:t>
      </w:r>
    </w:p>
    <w:p>
      <w:pPr>
        <w:spacing w:after="0" w:line="158" w:lineRule="exact"/>
        <w:rPr>
          <w:sz w:val="20"/>
          <w:szCs w:val="20"/>
          <w:color w:val="auto"/>
        </w:rPr>
      </w:pPr>
    </w:p>
    <w:p>
      <w:pPr>
        <w:ind w:left="300"/>
        <w:spacing w:after="0"/>
        <w:tabs>
          <w:tab w:leader="none" w:pos="3240" w:val="left"/>
        </w:tabs>
        <w:rPr>
          <w:sz w:val="20"/>
          <w:szCs w:val="20"/>
          <w:color w:val="auto"/>
        </w:rPr>
      </w:pPr>
      <w:r>
        <w:rPr>
          <w:rFonts w:ascii="Arial" w:cs="Arial" w:eastAsia="Arial" w:hAnsi="Arial"/>
          <w:sz w:val="18"/>
          <w:szCs w:val="18"/>
          <w:b w:val="1"/>
          <w:bCs w:val="1"/>
          <w:color w:val="auto"/>
        </w:rPr>
        <w:t>Pre-Funded Warrants</w:t>
      </w:r>
      <w:r>
        <w:rPr>
          <w:sz w:val="20"/>
          <w:szCs w:val="20"/>
          <w:color w:val="auto"/>
        </w:rPr>
        <w:tab/>
      </w:r>
      <w:r>
        <w:rPr>
          <w:rFonts w:ascii="Arial" w:cs="Arial" w:eastAsia="Arial" w:hAnsi="Arial"/>
          <w:sz w:val="17"/>
          <w:szCs w:val="17"/>
          <w:color w:val="auto"/>
        </w:rPr>
        <w:t>We are also offering, in lieu of shares of our common stock, Pre-Funded Warrants to purchase.</w:t>
      </w:r>
    </w:p>
    <w:p>
      <w:pPr>
        <w:spacing w:after="0" w:line="14" w:lineRule="exact"/>
        <w:rPr>
          <w:sz w:val="20"/>
          <w:szCs w:val="20"/>
          <w:color w:val="auto"/>
        </w:rPr>
      </w:pPr>
    </w:p>
    <w:p>
      <w:pPr>
        <w:ind w:left="3260" w:right="300"/>
        <w:spacing w:after="0" w:line="237" w:lineRule="auto"/>
        <w:rPr>
          <w:sz w:val="20"/>
          <w:szCs w:val="20"/>
          <w:color w:val="auto"/>
        </w:rPr>
      </w:pPr>
      <w:r>
        <w:rPr>
          <w:rFonts w:ascii="Arial" w:cs="Arial" w:eastAsia="Arial" w:hAnsi="Arial"/>
          <w:sz w:val="18"/>
          <w:szCs w:val="18"/>
          <w:color w:val="auto"/>
        </w:rPr>
        <w:t>The purchase price of each Pre-Funded Warrant is equal to the price at which the shares of our common stock are being sold to the public in this offering, minus $0.001, which is the exercise price of each Pre-Funded Warrant. The Pre-Funded Warrants are exercisable immediately and may be exercised at any time until all of the Pre-Funded Warrants are exercised in full. This offering also relates to the shares of our common stock issuable upon exercise of the Pre-Funded Warrants sold in this offering. See “Description of the Securities We Are Offering” for a discussion on the terms of the Pre-Funded Warrants.</w:t>
      </w:r>
    </w:p>
    <w:p>
      <w:pPr>
        <w:sectPr>
          <w:pgSz w:w="11900" w:h="16838" w:orient="portrait"/>
          <w:cols w:equalWidth="0" w:num="1">
            <w:col w:w="11140"/>
          </w:cols>
          <w:pgMar w:left="320" w:top="455" w:right="439" w:bottom="1440" w:gutter="0" w:footer="0" w:header="0"/>
        </w:sectPr>
      </w:pPr>
    </w:p>
    <w:p>
      <w:pPr>
        <w:spacing w:after="0" w:line="117"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b w:val="1"/>
          <w:bCs w:val="1"/>
          <w:color w:val="auto"/>
        </w:rPr>
        <w:t>Underwriters’ option to purchase additional shares of our common stock from us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We have granted the underwriters an option for a period of up to 30 days from the date of this prospectus supplement to purchase up to an additional $11,250,000 of shares of our common stock at the public offering price, less the underwriting discount and commissions.</w:t>
      </w:r>
    </w:p>
    <w:p>
      <w:pPr>
        <w:spacing w:after="0" w:line="110" w:lineRule="exact"/>
        <w:rPr>
          <w:sz w:val="20"/>
          <w:szCs w:val="20"/>
          <w:color w:val="auto"/>
        </w:rPr>
      </w:pPr>
    </w:p>
    <w:p>
      <w:pPr>
        <w:sectPr>
          <w:pgSz w:w="11900" w:h="16838" w:orient="portrait"/>
          <w:cols w:equalWidth="0" w:num="2">
            <w:col w:w="3140" w:space="120"/>
            <w:col w:w="788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3080" w:type="dxa"/>
            <w:vAlign w:val="bottom"/>
          </w:tcPr>
          <w:p>
            <w:pPr>
              <w:ind w:left="180"/>
              <w:spacing w:after="0"/>
              <w:rPr>
                <w:sz w:val="20"/>
                <w:szCs w:val="20"/>
                <w:color w:val="auto"/>
              </w:rPr>
            </w:pPr>
            <w:r>
              <w:rPr>
                <w:rFonts w:ascii="Arial" w:cs="Arial" w:eastAsia="Arial" w:hAnsi="Arial"/>
                <w:sz w:val="18"/>
                <w:szCs w:val="18"/>
                <w:b w:val="1"/>
                <w:bCs w:val="1"/>
                <w:color w:val="auto"/>
              </w:rPr>
              <w:t>Common stock to be outstanding</w:t>
            </w:r>
          </w:p>
        </w:tc>
        <w:tc>
          <w:tcPr>
            <w:tcW w:w="7940" w:type="dxa"/>
            <w:vAlign w:val="bottom"/>
          </w:tcPr>
          <w:p>
            <w:pPr>
              <w:ind w:left="60"/>
              <w:spacing w:after="0"/>
              <w:rPr>
                <w:sz w:val="20"/>
                <w:szCs w:val="20"/>
                <w:color w:val="auto"/>
              </w:rPr>
            </w:pPr>
            <w:r>
              <w:rPr>
                <w:rFonts w:ascii="Arial" w:cs="Arial" w:eastAsia="Arial" w:hAnsi="Arial"/>
                <w:sz w:val="18"/>
                <w:szCs w:val="18"/>
                <w:color w:val="auto"/>
              </w:rPr>
              <w:t>        shares of our common stock (or          shares, if the underwriters exercise their</w:t>
            </w:r>
          </w:p>
        </w:tc>
      </w:tr>
      <w:tr>
        <w:trPr>
          <w:trHeight w:val="203"/>
        </w:trPr>
        <w:tc>
          <w:tcPr>
            <w:tcW w:w="11020" w:type="dxa"/>
            <w:vAlign w:val="bottom"/>
            <w:gridSpan w:val="2"/>
          </w:tcPr>
          <w:p>
            <w:pPr>
              <w:ind w:left="180"/>
              <w:spacing w:after="0" w:line="202" w:lineRule="exact"/>
              <w:rPr>
                <w:sz w:val="20"/>
                <w:szCs w:val="20"/>
                <w:color w:val="auto"/>
              </w:rPr>
            </w:pPr>
            <w:r>
              <w:rPr>
                <w:rFonts w:ascii="Arial" w:cs="Arial" w:eastAsia="Arial" w:hAnsi="Arial"/>
                <w:sz w:val="18"/>
                <w:szCs w:val="18"/>
                <w:b w:val="1"/>
                <w:bCs w:val="1"/>
                <w:color w:val="auto"/>
              </w:rPr>
              <w:t>immediately following this offering</w:t>
            </w:r>
            <w:r>
              <w:rPr>
                <w:rFonts w:ascii="Arial" w:cs="Arial" w:eastAsia="Arial" w:hAnsi="Arial"/>
                <w:sz w:val="18"/>
                <w:szCs w:val="18"/>
                <w:color w:val="auto"/>
              </w:rPr>
              <w:t>option to purchase additional shares in full), in each case, assuming no exercise of any</w:t>
            </w:r>
          </w:p>
        </w:tc>
      </w:tr>
      <w:tr>
        <w:trPr>
          <w:trHeight w:val="239"/>
        </w:trPr>
        <w:tc>
          <w:tcPr>
            <w:tcW w:w="3080" w:type="dxa"/>
            <w:vAlign w:val="bottom"/>
          </w:tcPr>
          <w:p>
            <w:pPr>
              <w:spacing w:after="0"/>
              <w:rPr>
                <w:sz w:val="20"/>
                <w:szCs w:val="20"/>
                <w:color w:val="auto"/>
              </w:rPr>
            </w:pPr>
          </w:p>
        </w:tc>
        <w:tc>
          <w:tcPr>
            <w:tcW w:w="7940" w:type="dxa"/>
            <w:vAlign w:val="bottom"/>
          </w:tcPr>
          <w:p>
            <w:pPr>
              <w:ind w:left="60"/>
              <w:spacing w:after="0"/>
              <w:rPr>
                <w:sz w:val="20"/>
                <w:szCs w:val="20"/>
                <w:color w:val="auto"/>
              </w:rPr>
            </w:pPr>
            <w:r>
              <w:rPr>
                <w:rFonts w:ascii="Arial" w:cs="Arial" w:eastAsia="Arial" w:hAnsi="Arial"/>
                <w:sz w:val="18"/>
                <w:szCs w:val="18"/>
                <w:color w:val="auto"/>
              </w:rPr>
              <w:t>Pre-Funded Warrants issued in this offering.</w:t>
            </w:r>
          </w:p>
        </w:tc>
      </w:tr>
      <w:tr>
        <w:trPr>
          <w:trHeight w:val="315"/>
        </w:trPr>
        <w:tc>
          <w:tcPr>
            <w:tcW w:w="308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7940" w:type="dxa"/>
            <w:vAlign w:val="bottom"/>
          </w:tcPr>
          <w:p>
            <w:pPr>
              <w:ind w:left="60"/>
              <w:spacing w:after="0"/>
              <w:rPr>
                <w:sz w:val="20"/>
                <w:szCs w:val="20"/>
                <w:color w:val="auto"/>
              </w:rPr>
            </w:pPr>
            <w:r>
              <w:rPr>
                <w:rFonts w:ascii="Arial" w:cs="Arial" w:eastAsia="Arial" w:hAnsi="Arial"/>
                <w:sz w:val="18"/>
                <w:szCs w:val="18"/>
                <w:color w:val="auto"/>
              </w:rPr>
              <w:t>We intend to use the net proceeds from this offering, together with our existing cash, cash</w:t>
            </w:r>
          </w:p>
        </w:tc>
      </w:tr>
      <w:tr>
        <w:trPr>
          <w:trHeight w:val="203"/>
        </w:trPr>
        <w:tc>
          <w:tcPr>
            <w:tcW w:w="3080" w:type="dxa"/>
            <w:vAlign w:val="bottom"/>
          </w:tcPr>
          <w:p>
            <w:pPr>
              <w:spacing w:after="0"/>
              <w:rPr>
                <w:sz w:val="17"/>
                <w:szCs w:val="17"/>
                <w:color w:val="auto"/>
              </w:rPr>
            </w:pPr>
          </w:p>
        </w:tc>
        <w:tc>
          <w:tcPr>
            <w:tcW w:w="7940" w:type="dxa"/>
            <w:vAlign w:val="bottom"/>
          </w:tcPr>
          <w:p>
            <w:pPr>
              <w:ind w:left="60"/>
              <w:spacing w:after="0" w:line="202" w:lineRule="exact"/>
              <w:rPr>
                <w:sz w:val="20"/>
                <w:szCs w:val="20"/>
                <w:color w:val="auto"/>
              </w:rPr>
            </w:pPr>
            <w:r>
              <w:rPr>
                <w:rFonts w:ascii="Arial" w:cs="Arial" w:eastAsia="Arial" w:hAnsi="Arial"/>
                <w:sz w:val="18"/>
                <w:szCs w:val="18"/>
                <w:color w:val="auto"/>
              </w:rPr>
              <w:t>equivalents and marketable securities, to support the development of nomlabofusp and for</w:t>
            </w:r>
          </w:p>
        </w:tc>
      </w:tr>
      <w:tr>
        <w:trPr>
          <w:trHeight w:val="203"/>
        </w:trPr>
        <w:tc>
          <w:tcPr>
            <w:tcW w:w="3080" w:type="dxa"/>
            <w:vAlign w:val="bottom"/>
          </w:tcPr>
          <w:p>
            <w:pPr>
              <w:spacing w:after="0"/>
              <w:rPr>
                <w:sz w:val="17"/>
                <w:szCs w:val="17"/>
                <w:color w:val="auto"/>
              </w:rPr>
            </w:pPr>
          </w:p>
        </w:tc>
        <w:tc>
          <w:tcPr>
            <w:tcW w:w="7940" w:type="dxa"/>
            <w:vAlign w:val="bottom"/>
          </w:tcPr>
          <w:p>
            <w:pPr>
              <w:ind w:left="60"/>
              <w:spacing w:after="0" w:line="202" w:lineRule="exact"/>
              <w:rPr>
                <w:sz w:val="20"/>
                <w:szCs w:val="20"/>
                <w:color w:val="auto"/>
              </w:rPr>
            </w:pPr>
            <w:r>
              <w:rPr>
                <w:rFonts w:ascii="Arial" w:cs="Arial" w:eastAsia="Arial" w:hAnsi="Arial"/>
                <w:sz w:val="18"/>
                <w:szCs w:val="18"/>
                <w:color w:val="auto"/>
              </w:rPr>
              <w:t>working capital and general corporate purposes, including research and development expenses</w:t>
            </w:r>
          </w:p>
        </w:tc>
      </w:tr>
      <w:tr>
        <w:trPr>
          <w:trHeight w:val="203"/>
        </w:trPr>
        <w:tc>
          <w:tcPr>
            <w:tcW w:w="3080" w:type="dxa"/>
            <w:vAlign w:val="bottom"/>
          </w:tcPr>
          <w:p>
            <w:pPr>
              <w:spacing w:after="0"/>
              <w:rPr>
                <w:sz w:val="17"/>
                <w:szCs w:val="17"/>
                <w:color w:val="auto"/>
              </w:rPr>
            </w:pPr>
          </w:p>
        </w:tc>
        <w:tc>
          <w:tcPr>
            <w:tcW w:w="7940" w:type="dxa"/>
            <w:vAlign w:val="bottom"/>
          </w:tcPr>
          <w:p>
            <w:pPr>
              <w:ind w:left="60"/>
              <w:spacing w:after="0" w:line="202" w:lineRule="exact"/>
              <w:rPr>
                <w:sz w:val="20"/>
                <w:szCs w:val="20"/>
                <w:color w:val="auto"/>
              </w:rPr>
            </w:pPr>
            <w:r>
              <w:rPr>
                <w:rFonts w:ascii="Arial" w:cs="Arial" w:eastAsia="Arial" w:hAnsi="Arial"/>
                <w:sz w:val="18"/>
                <w:szCs w:val="18"/>
                <w:color w:val="auto"/>
              </w:rPr>
              <w:t>and commercialization expenses. See “Use of Proceeds” for a more detailed discussion of our</w:t>
            </w:r>
          </w:p>
        </w:tc>
      </w:tr>
      <w:tr>
        <w:trPr>
          <w:trHeight w:val="239"/>
        </w:trPr>
        <w:tc>
          <w:tcPr>
            <w:tcW w:w="3080" w:type="dxa"/>
            <w:vAlign w:val="bottom"/>
          </w:tcPr>
          <w:p>
            <w:pPr>
              <w:spacing w:after="0"/>
              <w:rPr>
                <w:sz w:val="20"/>
                <w:szCs w:val="20"/>
                <w:color w:val="auto"/>
              </w:rPr>
            </w:pPr>
          </w:p>
        </w:tc>
        <w:tc>
          <w:tcPr>
            <w:tcW w:w="7940" w:type="dxa"/>
            <w:vAlign w:val="bottom"/>
          </w:tcPr>
          <w:p>
            <w:pPr>
              <w:ind w:left="60"/>
              <w:spacing w:after="0"/>
              <w:rPr>
                <w:sz w:val="20"/>
                <w:szCs w:val="20"/>
                <w:color w:val="auto"/>
              </w:rPr>
            </w:pPr>
            <w:r>
              <w:rPr>
                <w:rFonts w:ascii="Arial" w:cs="Arial" w:eastAsia="Arial" w:hAnsi="Arial"/>
                <w:sz w:val="18"/>
                <w:szCs w:val="18"/>
                <w:color w:val="auto"/>
              </w:rPr>
              <w:t>expected use of proceeds.</w:t>
            </w:r>
          </w:p>
        </w:tc>
      </w:tr>
      <w:tr>
        <w:trPr>
          <w:trHeight w:val="315"/>
        </w:trPr>
        <w:tc>
          <w:tcPr>
            <w:tcW w:w="3080" w:type="dxa"/>
            <w:vAlign w:val="bottom"/>
          </w:tcPr>
          <w:p>
            <w:pPr>
              <w:ind w:left="180"/>
              <w:spacing w:after="0"/>
              <w:rPr>
                <w:sz w:val="20"/>
                <w:szCs w:val="20"/>
                <w:color w:val="auto"/>
              </w:rPr>
            </w:pPr>
            <w:r>
              <w:rPr>
                <w:rFonts w:ascii="Arial" w:cs="Arial" w:eastAsia="Arial" w:hAnsi="Arial"/>
                <w:sz w:val="18"/>
                <w:szCs w:val="18"/>
                <w:b w:val="1"/>
                <w:bCs w:val="1"/>
                <w:color w:val="auto"/>
              </w:rPr>
              <w:t>Indications of Interest</w:t>
            </w:r>
          </w:p>
        </w:tc>
        <w:tc>
          <w:tcPr>
            <w:tcW w:w="7940" w:type="dxa"/>
            <w:vAlign w:val="bottom"/>
          </w:tcPr>
          <w:p>
            <w:pPr>
              <w:ind w:left="60"/>
              <w:spacing w:after="0"/>
              <w:rPr>
                <w:sz w:val="20"/>
                <w:szCs w:val="20"/>
                <w:color w:val="auto"/>
              </w:rPr>
            </w:pPr>
            <w:r>
              <w:rPr>
                <w:rFonts w:ascii="Arial" w:cs="Arial" w:eastAsia="Arial" w:hAnsi="Arial"/>
                <w:sz w:val="18"/>
                <w:szCs w:val="18"/>
                <w:color w:val="auto"/>
              </w:rPr>
              <w:t>Deerfield Management, our largest stockholder, and/or certain of its affiliates have indicated an</w:t>
            </w:r>
          </w:p>
        </w:tc>
      </w:tr>
      <w:tr>
        <w:trPr>
          <w:trHeight w:val="203"/>
        </w:trPr>
        <w:tc>
          <w:tcPr>
            <w:tcW w:w="3080" w:type="dxa"/>
            <w:vAlign w:val="bottom"/>
          </w:tcPr>
          <w:p>
            <w:pPr>
              <w:spacing w:after="0"/>
              <w:rPr>
                <w:sz w:val="17"/>
                <w:szCs w:val="17"/>
                <w:color w:val="auto"/>
              </w:rPr>
            </w:pPr>
          </w:p>
        </w:tc>
        <w:tc>
          <w:tcPr>
            <w:tcW w:w="7940" w:type="dxa"/>
            <w:vAlign w:val="bottom"/>
          </w:tcPr>
          <w:p>
            <w:pPr>
              <w:ind w:left="60"/>
              <w:spacing w:after="0" w:line="202" w:lineRule="exact"/>
              <w:rPr>
                <w:sz w:val="20"/>
                <w:szCs w:val="20"/>
                <w:color w:val="auto"/>
              </w:rPr>
            </w:pPr>
            <w:r>
              <w:rPr>
                <w:rFonts w:ascii="Arial" w:cs="Arial" w:eastAsia="Arial" w:hAnsi="Arial"/>
                <w:sz w:val="18"/>
                <w:szCs w:val="18"/>
                <w:color w:val="auto"/>
              </w:rPr>
              <w:t>interest in purchasing shares of our common stock in this offering. In addition, certain of our</w:t>
            </w:r>
          </w:p>
        </w:tc>
      </w:tr>
      <w:tr>
        <w:trPr>
          <w:trHeight w:val="203"/>
        </w:trPr>
        <w:tc>
          <w:tcPr>
            <w:tcW w:w="3080" w:type="dxa"/>
            <w:vAlign w:val="bottom"/>
          </w:tcPr>
          <w:p>
            <w:pPr>
              <w:spacing w:after="0"/>
              <w:rPr>
                <w:sz w:val="17"/>
                <w:szCs w:val="17"/>
                <w:color w:val="auto"/>
              </w:rPr>
            </w:pPr>
          </w:p>
        </w:tc>
        <w:tc>
          <w:tcPr>
            <w:tcW w:w="7940" w:type="dxa"/>
            <w:vAlign w:val="bottom"/>
          </w:tcPr>
          <w:p>
            <w:pPr>
              <w:ind w:left="60"/>
              <w:spacing w:after="0" w:line="202" w:lineRule="exact"/>
              <w:rPr>
                <w:sz w:val="20"/>
                <w:szCs w:val="20"/>
                <w:color w:val="auto"/>
              </w:rPr>
            </w:pPr>
            <w:r>
              <w:rPr>
                <w:rFonts w:ascii="Arial" w:cs="Arial" w:eastAsia="Arial" w:hAnsi="Arial"/>
                <w:sz w:val="18"/>
                <w:szCs w:val="18"/>
                <w:color w:val="auto"/>
              </w:rPr>
              <w:t>directors have also indicated an interest in purchasing shares of our common stock in this</w:t>
            </w:r>
          </w:p>
        </w:tc>
      </w:tr>
      <w:tr>
        <w:trPr>
          <w:trHeight w:val="203"/>
        </w:trPr>
        <w:tc>
          <w:tcPr>
            <w:tcW w:w="3080" w:type="dxa"/>
            <w:vAlign w:val="bottom"/>
          </w:tcPr>
          <w:p>
            <w:pPr>
              <w:spacing w:after="0"/>
              <w:rPr>
                <w:sz w:val="17"/>
                <w:szCs w:val="17"/>
                <w:color w:val="auto"/>
              </w:rPr>
            </w:pPr>
          </w:p>
        </w:tc>
        <w:tc>
          <w:tcPr>
            <w:tcW w:w="7940" w:type="dxa"/>
            <w:vAlign w:val="bottom"/>
          </w:tcPr>
          <w:p>
            <w:pPr>
              <w:ind w:left="60"/>
              <w:spacing w:after="0" w:line="202" w:lineRule="exact"/>
              <w:rPr>
                <w:sz w:val="20"/>
                <w:szCs w:val="20"/>
                <w:color w:val="auto"/>
              </w:rPr>
            </w:pPr>
            <w:r>
              <w:rPr>
                <w:rFonts w:ascii="Arial" w:cs="Arial" w:eastAsia="Arial" w:hAnsi="Arial"/>
                <w:sz w:val="18"/>
                <w:szCs w:val="18"/>
                <w:color w:val="auto"/>
              </w:rPr>
              <w:t>offering. However, because indications of interest are not binding agreements or commitments</w:t>
            </w:r>
          </w:p>
        </w:tc>
      </w:tr>
      <w:tr>
        <w:trPr>
          <w:trHeight w:val="203"/>
        </w:trPr>
        <w:tc>
          <w:tcPr>
            <w:tcW w:w="3080" w:type="dxa"/>
            <w:vAlign w:val="bottom"/>
          </w:tcPr>
          <w:p>
            <w:pPr>
              <w:spacing w:after="0"/>
              <w:rPr>
                <w:sz w:val="17"/>
                <w:szCs w:val="17"/>
                <w:color w:val="auto"/>
              </w:rPr>
            </w:pPr>
          </w:p>
        </w:tc>
        <w:tc>
          <w:tcPr>
            <w:tcW w:w="7940" w:type="dxa"/>
            <w:vAlign w:val="bottom"/>
          </w:tcPr>
          <w:p>
            <w:pPr>
              <w:ind w:left="60"/>
              <w:spacing w:after="0" w:line="202" w:lineRule="exact"/>
              <w:rPr>
                <w:sz w:val="20"/>
                <w:szCs w:val="20"/>
                <w:color w:val="auto"/>
              </w:rPr>
            </w:pPr>
            <w:r>
              <w:rPr>
                <w:rFonts w:ascii="Arial" w:cs="Arial" w:eastAsia="Arial" w:hAnsi="Arial"/>
                <w:sz w:val="18"/>
                <w:szCs w:val="18"/>
                <w:color w:val="auto"/>
              </w:rPr>
              <w:t>to purchase, such directors or the Deerfield Funds may decide not to purchase any shares of</w:t>
            </w:r>
          </w:p>
        </w:tc>
      </w:tr>
      <w:tr>
        <w:trPr>
          <w:trHeight w:val="203"/>
        </w:trPr>
        <w:tc>
          <w:tcPr>
            <w:tcW w:w="3080" w:type="dxa"/>
            <w:vAlign w:val="bottom"/>
          </w:tcPr>
          <w:p>
            <w:pPr>
              <w:spacing w:after="0"/>
              <w:rPr>
                <w:sz w:val="17"/>
                <w:szCs w:val="17"/>
                <w:color w:val="auto"/>
              </w:rPr>
            </w:pPr>
          </w:p>
        </w:tc>
        <w:tc>
          <w:tcPr>
            <w:tcW w:w="7940" w:type="dxa"/>
            <w:vAlign w:val="bottom"/>
          </w:tcPr>
          <w:p>
            <w:pPr>
              <w:ind w:left="60"/>
              <w:spacing w:after="0" w:line="202" w:lineRule="exact"/>
              <w:rPr>
                <w:sz w:val="20"/>
                <w:szCs w:val="20"/>
                <w:color w:val="auto"/>
              </w:rPr>
            </w:pPr>
            <w:r>
              <w:rPr>
                <w:rFonts w:ascii="Arial" w:cs="Arial" w:eastAsia="Arial" w:hAnsi="Arial"/>
                <w:sz w:val="18"/>
                <w:szCs w:val="18"/>
                <w:color w:val="auto"/>
              </w:rPr>
              <w:t>our common stock in this offering or they could purchase fewer shares of our common stock</w:t>
            </w:r>
          </w:p>
        </w:tc>
      </w:tr>
      <w:tr>
        <w:trPr>
          <w:trHeight w:val="203"/>
        </w:trPr>
        <w:tc>
          <w:tcPr>
            <w:tcW w:w="3080" w:type="dxa"/>
            <w:vAlign w:val="bottom"/>
          </w:tcPr>
          <w:p>
            <w:pPr>
              <w:spacing w:after="0"/>
              <w:rPr>
                <w:sz w:val="17"/>
                <w:szCs w:val="17"/>
                <w:color w:val="auto"/>
              </w:rPr>
            </w:pPr>
          </w:p>
        </w:tc>
        <w:tc>
          <w:tcPr>
            <w:tcW w:w="7940" w:type="dxa"/>
            <w:vAlign w:val="bottom"/>
          </w:tcPr>
          <w:p>
            <w:pPr>
              <w:ind w:left="60"/>
              <w:spacing w:after="0" w:line="202" w:lineRule="exact"/>
              <w:rPr>
                <w:sz w:val="20"/>
                <w:szCs w:val="20"/>
                <w:color w:val="auto"/>
              </w:rPr>
            </w:pPr>
            <w:r>
              <w:rPr>
                <w:rFonts w:ascii="Arial" w:cs="Arial" w:eastAsia="Arial" w:hAnsi="Arial"/>
                <w:sz w:val="18"/>
                <w:szCs w:val="18"/>
                <w:color w:val="auto"/>
              </w:rPr>
              <w:t>than indicated. In addition, the underwriters could determine to sell fewer or not to sell any</w:t>
            </w:r>
          </w:p>
        </w:tc>
      </w:tr>
      <w:tr>
        <w:trPr>
          <w:trHeight w:val="239"/>
        </w:trPr>
        <w:tc>
          <w:tcPr>
            <w:tcW w:w="3080" w:type="dxa"/>
            <w:vAlign w:val="bottom"/>
          </w:tcPr>
          <w:p>
            <w:pPr>
              <w:spacing w:after="0"/>
              <w:rPr>
                <w:sz w:val="20"/>
                <w:szCs w:val="20"/>
                <w:color w:val="auto"/>
              </w:rPr>
            </w:pPr>
          </w:p>
        </w:tc>
        <w:tc>
          <w:tcPr>
            <w:tcW w:w="7940" w:type="dxa"/>
            <w:vAlign w:val="bottom"/>
          </w:tcPr>
          <w:p>
            <w:pPr>
              <w:ind w:left="60"/>
              <w:spacing w:after="0"/>
              <w:rPr>
                <w:sz w:val="20"/>
                <w:szCs w:val="20"/>
                <w:color w:val="auto"/>
              </w:rPr>
            </w:pPr>
            <w:r>
              <w:rPr>
                <w:rFonts w:ascii="Arial" w:cs="Arial" w:eastAsia="Arial" w:hAnsi="Arial"/>
                <w:sz w:val="18"/>
                <w:szCs w:val="18"/>
                <w:color w:val="auto"/>
              </w:rPr>
              <w:t>shares of our common stock to such directors or the Deerfield Funds.</w:t>
            </w:r>
          </w:p>
        </w:tc>
      </w:tr>
      <w:tr>
        <w:trPr>
          <w:trHeight w:val="315"/>
        </w:trPr>
        <w:tc>
          <w:tcPr>
            <w:tcW w:w="3080" w:type="dxa"/>
            <w:vAlign w:val="bottom"/>
          </w:tcPr>
          <w:p>
            <w:pPr>
              <w:ind w:left="180"/>
              <w:spacing w:after="0"/>
              <w:rPr>
                <w:sz w:val="20"/>
                <w:szCs w:val="20"/>
                <w:color w:val="auto"/>
              </w:rPr>
            </w:pPr>
            <w:r>
              <w:rPr>
                <w:rFonts w:ascii="Arial" w:cs="Arial" w:eastAsia="Arial" w:hAnsi="Arial"/>
                <w:sz w:val="18"/>
                <w:szCs w:val="18"/>
                <w:b w:val="1"/>
                <w:bCs w:val="1"/>
                <w:color w:val="auto"/>
              </w:rPr>
              <w:t>Risk Factors</w:t>
            </w:r>
          </w:p>
        </w:tc>
        <w:tc>
          <w:tcPr>
            <w:tcW w:w="7940" w:type="dxa"/>
            <w:vAlign w:val="bottom"/>
          </w:tcPr>
          <w:p>
            <w:pPr>
              <w:ind w:left="60"/>
              <w:spacing w:after="0"/>
              <w:rPr>
                <w:sz w:val="20"/>
                <w:szCs w:val="20"/>
                <w:color w:val="auto"/>
              </w:rPr>
            </w:pPr>
            <w:r>
              <w:rPr>
                <w:rFonts w:ascii="Arial" w:cs="Arial" w:eastAsia="Arial" w:hAnsi="Arial"/>
                <w:sz w:val="18"/>
                <w:szCs w:val="18"/>
                <w:color w:val="auto"/>
              </w:rPr>
              <w:t>Investing in our securities involves a high degree of risk. See “Risk Factors” beginning on page</w:t>
            </w:r>
          </w:p>
        </w:tc>
      </w:tr>
      <w:tr>
        <w:trPr>
          <w:trHeight w:val="239"/>
        </w:trPr>
        <w:tc>
          <w:tcPr>
            <w:tcW w:w="3080" w:type="dxa"/>
            <w:vAlign w:val="bottom"/>
          </w:tcPr>
          <w:p>
            <w:pPr>
              <w:spacing w:after="0"/>
              <w:rPr>
                <w:sz w:val="20"/>
                <w:szCs w:val="20"/>
                <w:color w:val="auto"/>
              </w:rPr>
            </w:pPr>
          </w:p>
        </w:tc>
        <w:tc>
          <w:tcPr>
            <w:tcW w:w="7940" w:type="dxa"/>
            <w:vAlign w:val="bottom"/>
          </w:tcPr>
          <w:p>
            <w:pPr>
              <w:ind w:left="60"/>
              <w:spacing w:after="0"/>
              <w:rPr>
                <w:sz w:val="20"/>
                <w:szCs w:val="20"/>
                <w:color w:val="auto"/>
              </w:rPr>
            </w:pPr>
            <w:r>
              <w:rPr>
                <w:rFonts w:ascii="Arial" w:cs="Arial" w:eastAsia="Arial" w:hAnsi="Arial"/>
                <w:sz w:val="18"/>
                <w:szCs w:val="18"/>
                <w:color w:val="auto"/>
              </w:rPr>
              <w:t>S-8 of this prospectus supplement and page 8 of the</w:t>
            </w:r>
          </w:p>
        </w:tc>
      </w:tr>
      <w:tr>
        <w:trPr>
          <w:trHeight w:val="141"/>
        </w:trPr>
        <w:tc>
          <w:tcPr>
            <w:tcW w:w="3080" w:type="dxa"/>
            <w:vAlign w:val="bottom"/>
            <w:tcBorders>
              <w:bottom w:val="single" w:sz="8" w:color="auto"/>
            </w:tcBorders>
          </w:tcPr>
          <w:p>
            <w:pPr>
              <w:spacing w:after="0"/>
              <w:rPr>
                <w:sz w:val="12"/>
                <w:szCs w:val="12"/>
                <w:color w:val="auto"/>
              </w:rPr>
            </w:pPr>
          </w:p>
        </w:tc>
        <w:tc>
          <w:tcPr>
            <w:tcW w:w="7940" w:type="dxa"/>
            <w:vAlign w:val="bottom"/>
            <w:tcBorders>
              <w:bottom w:val="single" w:sz="8" w:color="auto"/>
            </w:tcBorders>
          </w:tcPr>
          <w:p>
            <w:pPr>
              <w:spacing w:after="0"/>
              <w:rPr>
                <w:sz w:val="12"/>
                <w:szCs w:val="12"/>
                <w:color w:val="auto"/>
              </w:rPr>
            </w:pPr>
          </w:p>
        </w:tc>
      </w:tr>
      <w:tr>
        <w:trPr>
          <w:trHeight w:val="365"/>
        </w:trPr>
        <w:tc>
          <w:tcPr>
            <w:tcW w:w="3080" w:type="dxa"/>
            <w:vAlign w:val="bottom"/>
          </w:tcPr>
          <w:p>
            <w:pPr>
              <w:spacing w:after="0"/>
              <w:rPr>
                <w:sz w:val="24"/>
                <w:szCs w:val="24"/>
                <w:color w:val="auto"/>
              </w:rPr>
            </w:pPr>
          </w:p>
        </w:tc>
        <w:tc>
          <w:tcPr>
            <w:tcW w:w="7940" w:type="dxa"/>
            <w:vAlign w:val="bottom"/>
          </w:tcPr>
          <w:p>
            <w:pPr>
              <w:ind w:left="228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140"/>
          </w:cols>
          <w:pgMar w:left="320" w:top="455"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379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3790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260" w:right="220"/>
        <w:spacing w:after="0" w:line="247" w:lineRule="auto"/>
        <w:rPr>
          <w:sz w:val="20"/>
          <w:szCs w:val="20"/>
          <w:color w:val="auto"/>
        </w:rPr>
      </w:pPr>
      <w:r>
        <w:rPr>
          <w:rFonts w:ascii="Arial" w:cs="Arial" w:eastAsia="Arial" w:hAnsi="Arial"/>
          <w:sz w:val="18"/>
          <w:szCs w:val="18"/>
          <w:color w:val="auto"/>
        </w:rPr>
        <w:t>accompanying prospectus and other information included in this prospectus supplement, the accompanying prospectus and the documents incorporated by reference in this prospectus supplement and the accompanying prospectus for a discussion of factors you should carefully consider before deciding to invest in our securities.</w:t>
      </w:r>
    </w:p>
    <w:p>
      <w:pPr>
        <w:spacing w:after="0" w:line="120" w:lineRule="exact"/>
        <w:rPr>
          <w:sz w:val="20"/>
          <w:szCs w:val="20"/>
          <w:color w:val="auto"/>
        </w:rPr>
      </w:pPr>
    </w:p>
    <w:p>
      <w:pPr>
        <w:ind w:left="3260" w:right="200" w:hanging="2969"/>
        <w:spacing w:after="0" w:line="244" w:lineRule="auto"/>
        <w:tabs>
          <w:tab w:leader="none" w:pos="3240" w:val="left"/>
        </w:tabs>
        <w:rPr>
          <w:sz w:val="20"/>
          <w:szCs w:val="20"/>
          <w:color w:val="auto"/>
        </w:rPr>
      </w:pPr>
      <w:r>
        <w:rPr>
          <w:rFonts w:ascii="Arial" w:cs="Arial" w:eastAsia="Arial" w:hAnsi="Arial"/>
          <w:sz w:val="18"/>
          <w:szCs w:val="18"/>
          <w:b w:val="1"/>
          <w:bCs w:val="1"/>
          <w:color w:val="auto"/>
        </w:rPr>
        <w:t>Nasdaq Global Market symbol</w:t>
      </w:r>
      <w:r>
        <w:rPr>
          <w:sz w:val="20"/>
          <w:szCs w:val="20"/>
          <w:color w:val="auto"/>
        </w:rPr>
        <w:tab/>
      </w:r>
      <w:r>
        <w:rPr>
          <w:rFonts w:ascii="Arial" w:cs="Arial" w:eastAsia="Arial" w:hAnsi="Arial"/>
          <w:sz w:val="18"/>
          <w:szCs w:val="18"/>
          <w:color w:val="auto"/>
        </w:rPr>
        <w:t>Our common stock is listed on The Nasdaq Global Market under the symbol “LRMR.” There is no established public trading market for the Pre-Funded Warrants, and we do not expect a market to develop. We do not intend to apply for listing of the Pre-Funded Warrants on any securities exchange or other nationally recognized trading system. Without an active trading market, the liquidity of the Pre-Funded Warrants will be limited.</w:t>
      </w:r>
    </w:p>
    <w:p>
      <w:pPr>
        <w:spacing w:after="0" w:line="95" w:lineRule="exact"/>
        <w:rPr>
          <w:sz w:val="20"/>
          <w:szCs w:val="20"/>
          <w:color w:val="auto"/>
        </w:rPr>
      </w:pPr>
    </w:p>
    <w:p>
      <w:pPr>
        <w:ind w:left="300" w:right="60"/>
        <w:spacing w:after="0" w:line="247" w:lineRule="auto"/>
        <w:rPr>
          <w:sz w:val="20"/>
          <w:szCs w:val="20"/>
          <w:color w:val="auto"/>
        </w:rPr>
      </w:pPr>
      <w:r>
        <w:rPr>
          <w:rFonts w:ascii="Arial" w:cs="Arial" w:eastAsia="Arial" w:hAnsi="Arial"/>
          <w:sz w:val="18"/>
          <w:szCs w:val="18"/>
          <w:color w:val="auto"/>
        </w:rPr>
        <w:t>The number of shares of our common stock that will be outstanding after this offering is based on 80,590,392 shares of our common stock outstanding, which is based on 85,590,392 shares of our common stock outstanding as of September 30, 2025 adjusted for the effect of the conversions in December 2025 and January 2026 of an aggregate 5,000,000 shares of our common stock into 500,000 shares of Series A Convertible Preferred Stock, and excludes the following:</w:t>
      </w:r>
    </w:p>
    <w:p>
      <w:pPr>
        <w:spacing w:after="0" w:line="106" w:lineRule="exact"/>
        <w:rPr>
          <w:sz w:val="20"/>
          <w:szCs w:val="20"/>
          <w:color w:val="auto"/>
        </w:rPr>
      </w:pPr>
    </w:p>
    <w:p>
      <w:pPr>
        <w:ind w:left="480" w:right="420" w:hanging="186"/>
        <w:spacing w:after="0" w:line="271"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8,608,341 shares of our common stock issuable upon the exercise of stock options outstanding as of September 30, 2025 at a weighted-average exercise price of $6.51 per share;</w:t>
      </w:r>
    </w:p>
    <w:p>
      <w:pPr>
        <w:spacing w:after="0" w:line="86" w:lineRule="exact"/>
        <w:rPr>
          <w:rFonts w:ascii="Arial" w:cs="Arial" w:eastAsia="Arial" w:hAnsi="Arial"/>
          <w:sz w:val="18"/>
          <w:szCs w:val="18"/>
          <w:color w:val="auto"/>
        </w:rPr>
      </w:pPr>
    </w:p>
    <w:p>
      <w:pPr>
        <w:ind w:left="480" w:hanging="186"/>
        <w:spacing w:after="0" w:line="271"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2,148,296 shares of our common stock issuable upon the exercise of stock options granted subsequent to September 30, 2025 at a weighted-average exercise price of $3.60 per share;</w:t>
      </w:r>
    </w:p>
    <w:p>
      <w:pPr>
        <w:spacing w:after="0" w:line="86" w:lineRule="exact"/>
        <w:rPr>
          <w:rFonts w:ascii="Arial" w:cs="Arial" w:eastAsia="Arial" w:hAnsi="Arial"/>
          <w:sz w:val="18"/>
          <w:szCs w:val="18"/>
          <w:color w:val="auto"/>
        </w:rPr>
      </w:pPr>
    </w:p>
    <w:p>
      <w:pPr>
        <w:ind w:left="480" w:right="720" w:hanging="186"/>
        <w:spacing w:after="0" w:line="271"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1,009,791 shares of our common stock issuable upon the vesting and settlement of restricted stock units outstanding as of September 30, 2025;</w:t>
      </w:r>
    </w:p>
    <w:p>
      <w:pPr>
        <w:spacing w:after="0" w:line="86" w:lineRule="exact"/>
        <w:rPr>
          <w:rFonts w:ascii="Arial" w:cs="Arial" w:eastAsia="Arial" w:hAnsi="Arial"/>
          <w:sz w:val="18"/>
          <w:szCs w:val="18"/>
          <w:color w:val="auto"/>
        </w:rPr>
      </w:pPr>
    </w:p>
    <w:p>
      <w:pPr>
        <w:ind w:left="480" w:right="840" w:hanging="186"/>
        <w:spacing w:after="0" w:line="271"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532,435 shares of our common stock issuable upon the vesting and settlement of restricted stock units that were granted subsequent to September 30, 2025;</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shares of our common stock issuable upon the exercise of the Pre-Funded Warrants issued as part of this offering;</w:t>
      </w:r>
    </w:p>
    <w:p>
      <w:pPr>
        <w:spacing w:after="0" w:line="144" w:lineRule="exact"/>
        <w:rPr>
          <w:sz w:val="20"/>
          <w:szCs w:val="20"/>
          <w:color w:val="auto"/>
        </w:rPr>
      </w:pPr>
    </w:p>
    <w:p>
      <w:pPr>
        <w:ind w:left="480" w:right="40" w:hanging="186"/>
        <w:spacing w:after="0" w:line="271"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483,960 shares of our common stock available for future issuance as of September 30, 2025 under our 2020 Equity Incentive Plan; and</w:t>
      </w:r>
    </w:p>
    <w:p>
      <w:pPr>
        <w:spacing w:after="0" w:line="86" w:lineRule="exact"/>
        <w:rPr>
          <w:rFonts w:ascii="Arial" w:cs="Arial" w:eastAsia="Arial" w:hAnsi="Arial"/>
          <w:sz w:val="18"/>
          <w:szCs w:val="18"/>
          <w:color w:val="auto"/>
        </w:rPr>
      </w:pPr>
    </w:p>
    <w:p>
      <w:pPr>
        <w:ind w:left="480" w:right="260" w:hanging="186"/>
        <w:spacing w:after="0" w:line="271"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3,323,616 shares of our common stock added to shares available for future issuance on January 1, 2026 as permitted under our 2020 Equity Incentive Plan.</w:t>
      </w:r>
    </w:p>
    <w:p>
      <w:pPr>
        <w:spacing w:after="0" w:line="86" w:lineRule="exact"/>
        <w:rPr>
          <w:sz w:val="20"/>
          <w:szCs w:val="20"/>
          <w:color w:val="auto"/>
        </w:rPr>
      </w:pPr>
    </w:p>
    <w:p>
      <w:pPr>
        <w:ind w:left="300" w:right="340"/>
        <w:spacing w:after="0" w:line="253" w:lineRule="auto"/>
        <w:rPr>
          <w:sz w:val="20"/>
          <w:szCs w:val="20"/>
          <w:color w:val="auto"/>
        </w:rPr>
      </w:pPr>
      <w:r>
        <w:rPr>
          <w:rFonts w:ascii="Arial" w:cs="Arial" w:eastAsia="Arial" w:hAnsi="Arial"/>
          <w:sz w:val="18"/>
          <w:szCs w:val="18"/>
          <w:color w:val="auto"/>
        </w:rPr>
        <w:t>Up to $100.0 million of shares of our common stock may be sold from time to time under the sales agreement, or the Sales Agreement, dated May 9, 2024, for our “at-the-market” program, or the ATM Program, with Guggenheim Securities, LLC, as sales agent. As of the date of this prospectus supplement, no sales have been made under the ATM Program.</w:t>
      </w:r>
    </w:p>
    <w:p>
      <w:pPr>
        <w:spacing w:after="0" w:line="101" w:lineRule="exact"/>
        <w:rPr>
          <w:sz w:val="20"/>
          <w:szCs w:val="20"/>
          <w:color w:val="auto"/>
        </w:rPr>
      </w:pPr>
    </w:p>
    <w:p>
      <w:pPr>
        <w:jc w:val="both"/>
        <w:ind w:left="300" w:right="140"/>
        <w:spacing w:after="0" w:line="253" w:lineRule="auto"/>
        <w:rPr>
          <w:sz w:val="20"/>
          <w:szCs w:val="20"/>
          <w:color w:val="auto"/>
        </w:rPr>
      </w:pPr>
      <w:r>
        <w:rPr>
          <w:rFonts w:ascii="Arial" w:cs="Arial" w:eastAsia="Arial" w:hAnsi="Arial"/>
          <w:sz w:val="18"/>
          <w:szCs w:val="18"/>
          <w:color w:val="auto"/>
        </w:rPr>
        <w:t>Unless otherwise indicated, all information in this prospectus supplement assumes no exercise of the outstanding options described above, no exercise by the underwriters of their option to purchase additional shares and no exercise of the Pre-Funded Warrants we are offering in lieu of shares of our common stock to certain investors in this offering.</w:t>
      </w:r>
    </w:p>
    <w:p>
      <w:pPr>
        <w:spacing w:after="0" w:line="2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RISK FACTORS</w:t>
      </w:r>
    </w:p>
    <w:p>
      <w:pPr>
        <w:spacing w:after="0" w:line="15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i w:val="1"/>
          <w:iCs w:val="1"/>
          <w:color w:val="auto"/>
        </w:rPr>
        <w:t>An investment in our securities involves a high degree of risk. Our business, financial condition and results of operations could be materially and adversely affected by any of these risks. If any of these risks occur, the value of our common stock or Pre-Funded Warrants may decline and you may lose all or part of your investment. Before investing in our securities, you should consider carefully the risk factors set forth in this prospectus supplement, the accompanying prospectus and in any free writing prospectus that we have authorized for use in connection with this offering, along with the risk factors described in our most recent Annual Report on Form 10-K, our subsequent Quarterly Reports on Form 10-Q, and any subsequent Annual Reports on Form 10-K, Quarterly Reports on Form 10-Q, or Current Reports on Form 8-K we file after the date of this prospectus supplement, as well as other information contained or incorporated by reference into this prospectus supplement and the accompanying prospectus, as updated by our subsequent filings under the Securities Exchange Act of 1934, as amended, or the Exchange Act.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Financial Position and Need for Additional Capital</w:t>
      </w:r>
    </w:p>
    <w:p>
      <w:pPr>
        <w:spacing w:after="0" w:line="137" w:lineRule="exact"/>
        <w:rPr>
          <w:sz w:val="20"/>
          <w:szCs w:val="20"/>
          <w:color w:val="auto"/>
        </w:rPr>
      </w:pPr>
    </w:p>
    <w:p>
      <w:pPr>
        <w:jc w:val="both"/>
        <w:ind w:left="120"/>
        <w:spacing w:after="0" w:line="256" w:lineRule="auto"/>
        <w:rPr>
          <w:sz w:val="20"/>
          <w:szCs w:val="20"/>
          <w:color w:val="auto"/>
        </w:rPr>
      </w:pPr>
      <w:r>
        <w:rPr>
          <w:rFonts w:ascii="Arial" w:cs="Arial" w:eastAsia="Arial" w:hAnsi="Arial"/>
          <w:sz w:val="18"/>
          <w:szCs w:val="18"/>
          <w:b w:val="1"/>
          <w:bCs w:val="1"/>
          <w:i w:val="1"/>
          <w:iCs w:val="1"/>
          <w:color w:val="auto"/>
        </w:rPr>
        <w:t>We have a history of losses and expect to incur substantial future losses. If we do not raise sufficient funds through this offering and other means, management would expect to conclude that there is substantial doubt about our ability to continue as a going concern.</w:t>
      </w:r>
    </w:p>
    <w:p>
      <w:pPr>
        <w:spacing w:after="0" w:line="92"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As of December 31, 2025, we estimate that we had cash, cash equivalents and marketable securities of $ 136.9 million. We have incurred significant net losses since inception and expect to incur substantial losses in future periods. Our ability to continue as a going concern is dependent on our ability to generate sufficient cash flows from operations and/or obtain additional capital through financings, equity, debt financings, partnerships, collaborations, other sources, or a combination thereof. Based upon our current operating plan, our current cash, cash equivalents and marketable securities will be sufficient to fund our operations into the fourth quarter of 2026, which results in substantial doubt as of the filing from this prospectus supplement.</w:t>
      </w:r>
    </w:p>
    <w:p>
      <w:pPr>
        <w:spacing w:after="0" w:line="98"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If we do not raise sufficient funds through this offering and by other means, then we expect that we will disclose in our Annual Report on Form 10-K for the year ended December 31, 2025, or the 2025 Annual Report, that we would have substantial doubt about our ability to fund our operations for more than one year beyond the filing date of the 2025 Annual Report. We would also expect that the opinion from our independent registered public accounting firm on such annual financial statements contained in our 2025 Annual Report would contain an explanatory paragraph about such substantial doubt about our ability to continue as a going concern.</w:t>
      </w:r>
    </w:p>
    <w:p>
      <w:pPr>
        <w:spacing w:after="0" w:line="109"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There is no assurance that we will be successful in obtaining sufficient funding on acceptable terms, if at all. If we are unable to obtain sufficient funding when needed and/or on acceptable terms, we may be required to significantly curtail, delay or discontinue our research and development programs, the manufacturing of clinical and commercial supplies, product portfolio expansion or pre commercialization efforts, which could adversely affect our business prospects, or we may be unable to continue operations.</w:t>
      </w:r>
    </w:p>
    <w:p>
      <w:pPr>
        <w:spacing w:after="0" w:line="106"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The substantial doubt about our ability to continue as a going concern may adversely affect our stock price and our ability to raise capital. If we are unable to obtain additional capital, we may not be able to continue our operations on the scope or scale as currently conducted, and that could have a material adverse effect on our business, results of operations and financial condition.</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This Offering</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will have broad discretion over the use of proceeds from this offering, and may not use the proceeds effectively.</w:t>
      </w:r>
    </w:p>
    <w:p>
      <w:pPr>
        <w:spacing w:after="0" w:line="14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management will have broad discretion with respect to the use of proceeds of this offering, including for any of the purposes described in the section of this prospectus supplement entitled “Use of Proceeds.” You will have limited information concerning our management’s specific intentions regarding the use of the proceeds of this offering and be relying on the judgment of our management regarding the application of the proceeds of this offering. Because of the number and variability of factors that will determine our use of our existing cash, cash equivalents, marketable securities and the net proceeds from this offering, their ultimate use may vary substantially from their currently intended use. The results and effectiveness of the use of proceeds are uncertain, and we could spend the proceeds in ways that you do not agree with or that do not improve our results of operations or enhance the value of our common stock. Pending their use, we may invest the net proceeds from this offering in short-term, investment-grade, interest-bearing securities. These investments may not yield a favorable return to our stockholders. Our failure to apply these funds effectively could harm our business, delay the development of our pipeline product candidates and cause the price of our common stock to decline. See “Use of Proceeds” for a more detailed discussion of our expected use of proceeds.</w:t>
      </w:r>
    </w:p>
    <w:p>
      <w:pPr>
        <w:spacing w:after="0" w:line="255" w:lineRule="exact"/>
        <w:rPr>
          <w:sz w:val="20"/>
          <w:szCs w:val="20"/>
          <w:color w:val="auto"/>
        </w:rPr>
      </w:pPr>
    </w:p>
    <w:p>
      <w:pPr>
        <w:ind w:left="120" w:right="480"/>
        <w:spacing w:after="0" w:line="278"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per share of the common stock or the value of our Pre-Funded Warrants purchased in this offering.</w:t>
      </w:r>
    </w:p>
    <w:p>
      <w:pPr>
        <w:spacing w:after="0" w:line="72"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Since the price per share of our common stock or the value of our Pre-Funded Warrants being offered is substantially higher than the net tangible book value per share of our common stock, you will suffer immediate and substantial dilution in the net tangible book value of the common stock or Pre-Funded Warrants you purchase in this offering. The exercise of outstanding stock options, vesting and settlement of restricted stock units or exercise of the Pre-Funded Warrants sold in this offering may result in further dilution of your investment. See “Dilution” for a more detailed discussion of the dilution you will incur if you purchase shares of our common stock in this offering.</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is no public market for the Pre-Funded Warrants being offered in this offering.</w:t>
      </w:r>
    </w:p>
    <w:p>
      <w:pPr>
        <w:spacing w:after="0" w:line="142"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the Nasdaq Global Market. Without an active trading market, the liquidity of the Pre-Funded Warrants will be limited.</w:t>
      </w:r>
    </w:p>
    <w:p>
      <w:pPr>
        <w:spacing w:after="0" w:line="221" w:lineRule="exact"/>
        <w:rPr>
          <w:sz w:val="20"/>
          <w:szCs w:val="20"/>
          <w:color w:val="auto"/>
        </w:rPr>
      </w:pPr>
    </w:p>
    <w:p>
      <w:pPr>
        <w:ind w:left="120" w:right="540"/>
        <w:spacing w:after="0" w:line="278" w:lineRule="auto"/>
        <w:rPr>
          <w:sz w:val="20"/>
          <w:szCs w:val="20"/>
          <w:color w:val="auto"/>
        </w:rPr>
      </w:pPr>
      <w:r>
        <w:rPr>
          <w:rFonts w:ascii="Arial" w:cs="Arial" w:eastAsia="Arial" w:hAnsi="Arial"/>
          <w:sz w:val="18"/>
          <w:szCs w:val="18"/>
          <w:b w:val="1"/>
          <w:bCs w:val="1"/>
          <w:i w:val="1"/>
          <w:iCs w:val="1"/>
          <w:color w:val="auto"/>
        </w:rPr>
        <w:t>Holders of Pre-Funded Warrants purchased in this offering will have no rights as common stockholders until such holders exercise their Pre-Funded Warrants and acquire shares of our common stock.</w:t>
      </w:r>
    </w:p>
    <w:p>
      <w:pPr>
        <w:spacing w:after="0" w:line="72"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18"/>
          <w:szCs w:val="18"/>
          <w:color w:val="auto"/>
        </w:rPr>
        <w:t>Until holders of the Pre-Funded Warrants exercise their Pre-Funded Warrants and acquire shares of our common stock, such holders will have no rights with respect to the shares of our common stock underlying such Pre-Funded Warrants. Upon exercise of the Pre-Funded Warrants, holders will be entitled to exercise the rights of common stockholders only as to matters for which the record date occurs after the exercise date.</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not receive significant additional funds upon the exercise of the Pre-Funded Warrants being offered.</w:t>
      </w:r>
    </w:p>
    <w:p>
      <w:pPr>
        <w:spacing w:after="0" w:line="142"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In certain limited circumstances, each Pre-Funded Warrant may be exercised by way of a cashless exercise, meaning that the holder may not pay a cash purchase price upon exercise, but instead would receive upon such</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exercise the net number of shares of our common stock determined according to the formula set forth in the Pre-Funded Warrant. Accordingly, we may not receive any additional funds upon the cashless exercise of the Pre-Funded Warrant or if the Pre-Funded Warrants altogether are not exercised at all. In addition, each Pre-Funded Warrant will have an exercise price of $0.001 per share of our common stock, and as a result we will not receive significant additional funds upon their exercise even if not a cashless exercise.</w:t>
      </w:r>
    </w:p>
    <w:p>
      <w:pPr>
        <w:spacing w:after="0" w:line="243" w:lineRule="exact"/>
        <w:rPr>
          <w:sz w:val="20"/>
          <w:szCs w:val="20"/>
          <w:color w:val="auto"/>
        </w:rPr>
      </w:pPr>
    </w:p>
    <w:p>
      <w:pPr>
        <w:ind w:left="120" w:right="180"/>
        <w:spacing w:after="0" w:line="278" w:lineRule="auto"/>
        <w:rPr>
          <w:sz w:val="20"/>
          <w:szCs w:val="20"/>
          <w:color w:val="auto"/>
        </w:rPr>
      </w:pPr>
      <w:r>
        <w:rPr>
          <w:rFonts w:ascii="Arial" w:cs="Arial" w:eastAsia="Arial" w:hAnsi="Arial"/>
          <w:sz w:val="18"/>
          <w:szCs w:val="18"/>
          <w:b w:val="1"/>
          <w:bCs w:val="1"/>
          <w:i w:val="1"/>
          <w:iCs w:val="1"/>
          <w:color w:val="auto"/>
        </w:rPr>
        <w:t>Significant holders or beneficial holders of our common stock may not be permitted to exercise Pre-Funded Warrants that they hold.</w:t>
      </w:r>
    </w:p>
    <w:p>
      <w:pPr>
        <w:spacing w:after="0" w:line="7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Holders of the Pre-Funded Warrants will not be entitled to exercise any portion of any Pre-Funded Warrants which, upon giving effect to such exercise, would cause the aggregate number of shares of our common stock beneficially owned by the holder (together with its affiliates) to exceed a specified percentage of the number of shares of our common stock outstanding immediately after giving effect to the exercise, as such percentage ownership is determined in accordance with the terms of the Pre-Funded Warrants. As a result, such holders may not be able to exercise their Pre-Funded Warrants for shares of our common stock at a time when it would be financially beneficial for them to do so. In such circumstance, such holders could seek to sell their Pre-Funded Warrants to realize value, but they may be unable to do so in the absence of an established trading market for the Pre-Funded Warrants.</w:t>
      </w:r>
    </w:p>
    <w:p>
      <w:pPr>
        <w:spacing w:after="0" w:line="254" w:lineRule="exact"/>
        <w:rPr>
          <w:sz w:val="20"/>
          <w:szCs w:val="20"/>
          <w:color w:val="auto"/>
        </w:rPr>
      </w:pPr>
    </w:p>
    <w:p>
      <w:pPr>
        <w:ind w:left="120" w:right="260"/>
        <w:spacing w:after="0" w:line="256" w:lineRule="auto"/>
        <w:rPr>
          <w:sz w:val="20"/>
          <w:szCs w:val="20"/>
          <w:color w:val="auto"/>
        </w:rPr>
      </w:pPr>
      <w:r>
        <w:rPr>
          <w:rFonts w:ascii="Arial" w:cs="Arial" w:eastAsia="Arial" w:hAnsi="Arial"/>
          <w:sz w:val="18"/>
          <w:szCs w:val="18"/>
          <w:b w:val="1"/>
          <w:bCs w:val="1"/>
          <w:i w:val="1"/>
          <w:iCs w:val="1"/>
          <w:color w:val="auto"/>
        </w:rPr>
        <w:t>Future sales and issuances of shares of our common stock or securities convertible into or exercisable for shares of our common stock following this offering, as well as the exercise of existing options, will dilute your ownership interests and may adversely affect the future market price of our common stock.</w:t>
      </w:r>
    </w:p>
    <w:p>
      <w:pPr>
        <w:spacing w:after="0" w:line="92" w:lineRule="exact"/>
        <w:rPr>
          <w:sz w:val="20"/>
          <w:szCs w:val="20"/>
          <w:color w:val="auto"/>
        </w:rPr>
      </w:pPr>
    </w:p>
    <w:p>
      <w:pPr>
        <w:ind w:left="120" w:right="200"/>
        <w:spacing w:after="0" w:line="253" w:lineRule="auto"/>
        <w:rPr>
          <w:sz w:val="20"/>
          <w:szCs w:val="20"/>
          <w:color w:val="auto"/>
        </w:rPr>
      </w:pPr>
      <w:r>
        <w:rPr>
          <w:rFonts w:ascii="Arial" w:cs="Arial" w:eastAsia="Arial" w:hAnsi="Arial"/>
          <w:sz w:val="17"/>
          <w:szCs w:val="17"/>
          <w:color w:val="auto"/>
        </w:rPr>
        <w:t>As a development-stage company, we will need additional capital to fund the development and commercialization of our product candidates. We may seek additional capital through a combination of private and public equity offerings, debt financings, strategic partnerships and alliances and licensing arrangements at prices and in a manner we determine from time to time, which may cause your ownership interest to be diluted. For example, on May 9, 2024, we entered into the Sales Agreement with Guggenheim Securities, LLC pursuant to which we may sell from time to time, at our option, up to $100.0 million of shares of our common stock through Guggenheim Securities, LLC, as our agent. As of September 30, 2025, we have not sold any shares of our common stock under the ATM Program. In addition, as of September 30, 2025, there were options to purchase 8,608,341 shares of our common stock outstanding at a weighted average exercise price of $6.51. If these securities are exercised, you may incur further dilution. Moreover, to the extent that we issue additional shares of our common stock, options to purchase, or securities convertible into or exchangeable for, shares of our common stock in the future and those options or other securities are exercised, converted or exchanged, stockholders may experience further dilution. The price per share at which we sell additional shares of our common stock or other securities convertible into or exchangeable for our common stock in future transactions may be higher or lower than the price per share in this offering.</w:t>
      </w:r>
    </w:p>
    <w:p>
      <w:pPr>
        <w:spacing w:after="0" w:line="243"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A substantial number of shares may be sold in the market following this offering, including any shares issuable upon exercise of any Pre-Funded Warrants, which may depress the market price for our common stock.</w:t>
      </w:r>
    </w:p>
    <w:p>
      <w:pPr>
        <w:spacing w:after="0" w:line="5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Sales of a substantial number of shares of our common stock, including any shares issuable upon exercise of any Pre-Funded Warrants, in the public market following this offering, or the perception by the market that those sales could occur, could cause the market price of our common stock to decline, including pursuant to the ATM Program. We are unable to predict the effect that such sales may have on the prevailing market price of our common stock. Immediately after this offering, we will have outstanding        shares of our common stock (or         shares if the underwriters exercise their option to purchase additional shares of our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common stock in full) assuming no exercise of the Pre-Funded Warrants, based on the number of shares of our common stock outstanding as of September 30, 2025. This includes the shares of our common stock that we are selling in this offering, which may be resold in the public market immediately without restriction, unless purchased by our directors, officers or affiliates. Of the remaining shares, approximately         are restricted from sale as a result of 90-day lock-up agreements (which may be waived, with or without notice, by the representatives of the underwriters) but will be able to be sold beginning 90 days after this offering, unless held by one of our affiliates, in which case the resale of those securities will be subject to volume limitations under Rule 144 of the Securities Act of 1933, as amended, or the Securities Act. In addition, we have also registered the shares of our common stock that we may issue under our equity incentive plans. As a result, these shares can be freely sold in the public market upon issuance, subject to restrictions under securities laws.</w:t>
      </w:r>
    </w:p>
    <w:p>
      <w:pPr>
        <w:spacing w:after="0" w:line="253"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92"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The trading market for our common stock will be influenced in part by the research and reports that securities or industry analysts may publish about us, our business, our market, or our competitors. If one or more of these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and trading volume of our stock may be volatile.</w:t>
      </w:r>
    </w:p>
    <w:p>
      <w:pPr>
        <w:spacing w:after="0" w:line="14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101" w:lineRule="exact"/>
        <w:rPr>
          <w:sz w:val="20"/>
          <w:szCs w:val="20"/>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regulatory approvals for product candidates, and delays or failures to obtain such approvals;</w:t>
      </w:r>
    </w:p>
    <w:p>
      <w:pPr>
        <w:spacing w:after="0" w:line="144" w:lineRule="exact"/>
        <w:rPr>
          <w:rFonts w:ascii="Arial" w:cs="Arial" w:eastAsia="Arial" w:hAnsi="Arial"/>
          <w:sz w:val="18"/>
          <w:szCs w:val="18"/>
          <w:color w:val="auto"/>
        </w:rPr>
      </w:pPr>
    </w:p>
    <w:p>
      <w:pPr>
        <w:ind w:left="340" w:right="960" w:hanging="224"/>
        <w:spacing w:after="0" w:line="27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and delays in, current, and any future, non-clinical or clinical trials of nomlabofusp or any of our future product candidates, including any potential delays related to public health crises;</w:t>
      </w:r>
    </w:p>
    <w:p>
      <w:pPr>
        <w:spacing w:after="0" w:line="86" w:lineRule="exact"/>
        <w:rPr>
          <w:rFonts w:ascii="Arial" w:cs="Arial" w:eastAsia="Arial" w:hAnsi="Arial"/>
          <w:sz w:val="18"/>
          <w:szCs w:val="18"/>
          <w:color w:val="auto"/>
        </w:rPr>
      </w:pPr>
    </w:p>
    <w:p>
      <w:pPr>
        <w:ind w:left="340" w:right="720" w:hanging="224"/>
        <w:spacing w:after="0" w:line="27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of nomlabofusp or any of our future product candidates, if approved for marketing and commercialization, to achieve commercial success;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entry into, or termination of, key agreements, including key licensing or collaboration agreements;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issues in manufacturing our approved products, if any, or product candidates;</w:t>
      </w:r>
    </w:p>
    <w:p>
      <w:pPr>
        <w:spacing w:after="0" w:line="144" w:lineRule="exact"/>
        <w:rPr>
          <w:rFonts w:ascii="Arial" w:cs="Arial" w:eastAsia="Arial" w:hAnsi="Arial"/>
          <w:sz w:val="18"/>
          <w:szCs w:val="18"/>
          <w:color w:val="auto"/>
        </w:rPr>
      </w:pPr>
    </w:p>
    <w:p>
      <w:pPr>
        <w:ind w:left="340" w:right="400" w:hanging="224"/>
        <w:spacing w:after="0" w:line="27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of material developments in, or conclusion of, disputes or litigation to enforce or defend any of our intellectual property rights or defend against the intellectual property rights of others;</w:t>
      </w:r>
    </w:p>
    <w:p>
      <w:pPr>
        <w:spacing w:after="0" w:line="86" w:lineRule="exact"/>
        <w:rPr>
          <w:rFonts w:ascii="Arial" w:cs="Arial" w:eastAsia="Arial" w:hAnsi="Arial"/>
          <w:sz w:val="18"/>
          <w:szCs w:val="18"/>
          <w:color w:val="auto"/>
        </w:rPr>
      </w:pPr>
    </w:p>
    <w:p>
      <w:pPr>
        <w:ind w:left="340" w:right="300" w:hanging="224"/>
        <w:spacing w:after="0" w:line="27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announcements by us or our commercial partners or competitors of new commercial products, clinical progress (or the lack thereof), significant contracts, commercial relationships, or capital commitments;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publicity relating to our markets, including with respect to other products and potential products in such markets;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competing with our potential products;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sale or proposed sale, or the sale by our significant stockholders, of our shares or other securities in the future;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industry-specific economic conditions potentially affecting our research and development expenditures;</w:t>
      </w:r>
    </w:p>
    <w:p>
      <w:pPr>
        <w:spacing w:after="0" w:line="144" w:lineRule="exact"/>
        <w:rPr>
          <w:rFonts w:ascii="Arial" w:cs="Arial" w:eastAsia="Arial" w:hAnsi="Arial"/>
          <w:sz w:val="18"/>
          <w:szCs w:val="18"/>
          <w:color w:val="auto"/>
        </w:rPr>
      </w:pPr>
    </w:p>
    <w:p>
      <w:pPr>
        <w:ind w:left="340" w:right="100" w:hanging="224"/>
        <w:spacing w:after="0" w:line="27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macroeconomic conditions, including volatility in the credit and financial markets as well as inflationary pressures and changes in trade policies;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disasters, including earthquakes, and other calamities;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 and</w:t>
      </w:r>
    </w:p>
    <w:p>
      <w:pPr>
        <w:spacing w:after="0" w:line="144"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 and in Part I, Item 1A of our Annual Report on Form 10-K for the fiscal year ended December 31, 2024.</w:t>
      </w:r>
    </w:p>
    <w:p>
      <w:pPr>
        <w:spacing w:after="0" w:line="73"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Moreover, the capital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101"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w:t>
      </w:r>
    </w:p>
    <w:p>
      <w:pPr>
        <w:spacing w:after="0" w:line="238" w:lineRule="exact"/>
        <w:rPr>
          <w:sz w:val="20"/>
          <w:szCs w:val="20"/>
          <w:color w:val="auto"/>
        </w:rPr>
      </w:pPr>
    </w:p>
    <w:p>
      <w:pPr>
        <w:ind w:left="120" w:right="220"/>
        <w:spacing w:after="0" w:line="27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investors’ ability to achieve a return on their investment will depend on appreciation in the price of our common stock.</w:t>
      </w:r>
    </w:p>
    <w:p>
      <w:pPr>
        <w:spacing w:after="0" w:line="7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Therefore, investors who purchase shares in this offering are not likely to receive any dividends on common stock for the foreseeable future. Since we do not intend to pay dividends, investors’ ability to receive a return on their investment will depend on any future appreciation in the market value of our common stock. There is no guarantee that our common stock will appreciate or even maintain the price at which investors have purchased it.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 xml:space="preserve">Risks Related to Our Product Development and Regulatory Approvals          </w:t>
      </w:r>
    </w:p>
    <w:p>
      <w:pPr>
        <w:spacing w:after="0" w:line="137" w:lineRule="exact"/>
        <w:rPr>
          <w:sz w:val="20"/>
          <w:szCs w:val="20"/>
          <w:color w:val="auto"/>
        </w:rPr>
      </w:pPr>
    </w:p>
    <w:p>
      <w:pPr>
        <w:ind w:left="120"/>
        <w:spacing w:after="0" w:line="278" w:lineRule="auto"/>
        <w:rPr>
          <w:sz w:val="20"/>
          <w:szCs w:val="20"/>
          <w:color w:val="auto"/>
        </w:rPr>
      </w:pPr>
      <w:r>
        <w:rPr>
          <w:rFonts w:ascii="Arial" w:cs="Arial" w:eastAsia="Arial" w:hAnsi="Arial"/>
          <w:sz w:val="17"/>
          <w:szCs w:val="17"/>
          <w:b w:val="1"/>
          <w:bCs w:val="1"/>
          <w:i w:val="1"/>
          <w:iCs w:val="1"/>
          <w:color w:val="auto"/>
        </w:rPr>
        <w:t>We are targeting to submit a BLA to the FDA in June 2026 for marketing approval of nomlabofusp using the accelerated approval pathway; however, there can be no assurance that the data from our clinical trials will ultimately support a BLA submission or that the FDA will grant marketing approval of nomlabofusp without additional clinical or nonclinical studies, or at all.</w:t>
      </w:r>
    </w:p>
    <w:p>
      <w:pPr>
        <w:spacing w:after="0" w:line="7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are targeting to submit a BLA to the FDA in June 2026 to request marketing approval of nomlabofusp. We may not be able to obtain, and there can be no assurance that the FDA will agree that the data submitted in any BLA is adequate to support approval, including accelerated approval. In particular, the FDA may refuse to accept our planned BLA for substantive review (thereby issuing a “refuse to file” letter) or may conclude after review of our data that our application is insufficient to obtain regulatory approval (thereby issuing a “complete response” letter). If the FDA does not accept or approve our planned BLA, the agency may require that we conduct additional clinical, nonclinical or manufacturing studies before it will reconsider our application. Depending on the extent of these or any other studies required by the FDA or another regulatory authority, approval of a BLA or equivalent filing may be significantly delayed or we may be unable to obtain approval of a BLA or equivalent filing because such studies may require us to expend more resources than we have available. It is also possible that additional studies, if performed and completed, may not be considered sufficient by the FDA. If any of these outcomes occurs, we may be forced to abandon our planned BLA, which will materially adversely affects our business and could potentially cause us to cease operations. Furthermore, FDA and other applicable regulatory authorities may also approve nomlabofusp for a narrower indication or population than we request or may grant approval contingent on the performance of costly post-marketing commitments. We face similar regulatory risks in a foreign jurisdiction.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CAUTIONARY NOTE REGARDING FORWARD-LOOKING STATEMENTS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 contain these identifying words.</w:t>
      </w:r>
    </w:p>
    <w:p>
      <w:pPr>
        <w:spacing w:after="0" w:line="117"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The forward-looking statements in this prospectus supplement, the accompanying prospectus and the documents incorporated herein by reference include, among other things, statements about:</w:t>
      </w:r>
    </w:p>
    <w:p>
      <w:pPr>
        <w:spacing w:after="0" w:line="86" w:lineRule="exact"/>
        <w:rPr>
          <w:sz w:val="20"/>
          <w:szCs w:val="20"/>
          <w:color w:val="auto"/>
        </w:rPr>
      </w:pPr>
    </w:p>
    <w:p>
      <w:pPr>
        <w:ind w:left="340" w:hanging="224"/>
        <w:spacing w:after="0" w:line="24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in obtaining successful non-clinical or clinical results that reliably and meaningfully demonstrate safety, tolerability and efficacy profiles that are satisfactory to the FDA, European Medicines Agency and other comparable regulatory authorities for marketing approval for nomlabofusp or any other product candidates that we may develop in the future and unexpected costs that may result therefrom;</w:t>
      </w:r>
    </w:p>
    <w:p>
      <w:pPr>
        <w:spacing w:after="0" w:line="106" w:lineRule="exact"/>
        <w:rPr>
          <w:rFonts w:ascii="Arial" w:cs="Arial" w:eastAsia="Arial" w:hAnsi="Arial"/>
          <w:sz w:val="18"/>
          <w:szCs w:val="18"/>
          <w:color w:val="auto"/>
        </w:rPr>
      </w:pPr>
    </w:p>
    <w:p>
      <w:pPr>
        <w:ind w:left="340" w:right="300" w:hanging="224"/>
        <w:spacing w:after="0" w:line="24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patient recruitment for our clinical trials (including as a result of the impact of FDA approval of competitive products for the treatment of Friedreich’s ataxia, and/or the impact of other clinical trials of competitive products), delays as a result of clinical and non-clinical results and/or the FDA’s request for additional information or studies (whether clinical or non-clinical), changes in clinical protocols, including our ability to timely implement the revised nomlabofusp dosing regimen, adverse events, regulatory restrictions, including additional clinical holds, and milestones for nomlabofusp;</w:t>
      </w:r>
    </w:p>
    <w:p>
      <w:pPr>
        <w:spacing w:after="0" w:line="108"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execute our ongoing OL trial and our planned Phase 3 global registration study, including the timing of site initiations and the rate of patient enrollment;</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benefit from participating in the FDA’s START pilot program for the development of nomlabofusp;</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benefit from the FDA’s Breakthrough Therapy Designation;</w:t>
      </w:r>
    </w:p>
    <w:p>
      <w:pPr>
        <w:spacing w:after="0" w:line="144" w:lineRule="exact"/>
        <w:rPr>
          <w:rFonts w:ascii="Arial" w:cs="Arial" w:eastAsia="Arial" w:hAnsi="Arial"/>
          <w:sz w:val="18"/>
          <w:szCs w:val="18"/>
          <w:color w:val="auto"/>
        </w:rPr>
      </w:pPr>
    </w:p>
    <w:p>
      <w:pPr>
        <w:ind w:left="340" w:right="100" w:hanging="224"/>
        <w:spacing w:after="0" w:line="24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associated with the clinical development and regulatory approval for nomlabofusp in the United States and in other countries, including potential delays in the commencement, enrollment and completion of clinical trials, the timing of a potential BLA submission to the FDA or similar applications to be submitted to other countries for accelerated approval, including our ability to supply to the FDA or to regulatory authorities in other countries all required data for the FDA and the regulatory bodies to which we apply, to review and accept an accelerated application, or any other product candidates that we may develop in the future;</w:t>
      </w:r>
    </w:p>
    <w:p>
      <w:pPr>
        <w:spacing w:after="0" w:line="108" w:lineRule="exact"/>
        <w:rPr>
          <w:rFonts w:ascii="Arial" w:cs="Arial" w:eastAsia="Arial" w:hAnsi="Arial"/>
          <w:sz w:val="18"/>
          <w:szCs w:val="18"/>
          <w:color w:val="auto"/>
        </w:rPr>
      </w:pPr>
    </w:p>
    <w:p>
      <w:pPr>
        <w:ind w:left="340" w:right="560" w:hanging="224"/>
        <w:spacing w:after="0" w:line="27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difficulties and expenses associated with obtaining and maintaining regulatory approval for nomlabofusp or any other product candidates we may develop in the future, and the indication and labeling under any such approval;</w:t>
      </w:r>
    </w:p>
    <w:p>
      <w:pPr>
        <w:spacing w:after="0" w:line="86" w:lineRule="exact"/>
        <w:rPr>
          <w:rFonts w:ascii="Arial" w:cs="Arial" w:eastAsia="Arial" w:hAnsi="Arial"/>
          <w:sz w:val="18"/>
          <w:szCs w:val="18"/>
          <w:color w:val="auto"/>
        </w:rPr>
      </w:pPr>
    </w:p>
    <w:p>
      <w:pPr>
        <w:ind w:left="340" w:right="120" w:hanging="224"/>
        <w:spacing w:after="0" w:line="25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right="20" w:hanging="224"/>
        <w:spacing w:after="0" w:line="24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and the ability of third-party manufacturers we engage, to optimize, scale and validate nomlabofusp or any other product candidate’s manufacturing process and to manufacture sufficient quantities of clinical supplies, and, if approved, commercial supplies of nomlabofusp or any other product candidates that we may develop in the future and our ability to maintain our relationships and contracts with our key vendors and to identify and contract with alternate or secondary key vendors;</w:t>
      </w:r>
    </w:p>
    <w:p>
      <w:pPr>
        <w:spacing w:after="0" w:line="106" w:lineRule="exact"/>
        <w:rPr>
          <w:rFonts w:ascii="Arial" w:cs="Arial" w:eastAsia="Arial" w:hAnsi="Arial"/>
          <w:sz w:val="18"/>
          <w:szCs w:val="18"/>
          <w:color w:val="auto"/>
        </w:rPr>
      </w:pPr>
    </w:p>
    <w:p>
      <w:pPr>
        <w:ind w:left="340" w:hanging="224"/>
        <w:spacing w:after="0" w:line="25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realize any value from nomlabofusp and/or any other product candidates we may develop in the future in light of inherent risks and difficulties involved in successfully bringing product candidates to market and the risk that the product candidates, if approved, will not achieve broad market acceptance;</w:t>
      </w:r>
    </w:p>
    <w:p>
      <w:pPr>
        <w:spacing w:after="0" w:line="101" w:lineRule="exact"/>
        <w:rPr>
          <w:rFonts w:ascii="Arial" w:cs="Arial" w:eastAsia="Arial" w:hAnsi="Arial"/>
          <w:sz w:val="18"/>
          <w:szCs w:val="18"/>
          <w:color w:val="auto"/>
        </w:rPr>
      </w:pPr>
    </w:p>
    <w:p>
      <w:pPr>
        <w:ind w:left="340" w:right="300" w:hanging="224"/>
        <w:spacing w:after="0" w:line="27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 applicable to our business and other regulatory developments in the United States and other countries;</w:t>
      </w:r>
    </w:p>
    <w:p>
      <w:pPr>
        <w:spacing w:after="0" w:line="86" w:lineRule="exact"/>
        <w:rPr>
          <w:rFonts w:ascii="Arial" w:cs="Arial" w:eastAsia="Arial" w:hAnsi="Arial"/>
          <w:sz w:val="18"/>
          <w:szCs w:val="18"/>
          <w:color w:val="auto"/>
        </w:rPr>
      </w:pPr>
    </w:p>
    <w:p>
      <w:pPr>
        <w:jc w:val="both"/>
        <w:ind w:left="340" w:right="160" w:hanging="224"/>
        <w:spacing w:after="0" w:line="25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and growth of the potential markets for nomlabofusp, if approved, or any other product candidates that we may develop in the future, the rate and degree of market acceptance of nomlabofusp or any other product candidate, if approved, that we may develop in the future and our ability to serve those markets;</w:t>
      </w:r>
    </w:p>
    <w:p>
      <w:pPr>
        <w:spacing w:after="0" w:line="101" w:lineRule="exact"/>
        <w:rPr>
          <w:rFonts w:ascii="Arial" w:cs="Arial" w:eastAsia="Arial" w:hAnsi="Arial"/>
          <w:sz w:val="18"/>
          <w:szCs w:val="18"/>
          <w:color w:val="auto"/>
        </w:rPr>
      </w:pPr>
    </w:p>
    <w:p>
      <w:pPr>
        <w:ind w:left="340" w:right="180" w:hanging="224"/>
        <w:spacing w:after="0" w:line="24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given both approved and competing therapies and products in non-clinical and clinical development for the treatment of FA, our ability to obtain and maintain designations or eligibility for expedited regulatory programs, and to commercialize current and future product candidates, if approved, (including the impact of potential barriers to entry if a competitor is able to establish and maintain a strong market position before we are able to commercialize our products);</w:t>
      </w:r>
    </w:p>
    <w:p>
      <w:pPr>
        <w:spacing w:after="0" w:line="106" w:lineRule="exact"/>
        <w:rPr>
          <w:rFonts w:ascii="Arial" w:cs="Arial" w:eastAsia="Arial" w:hAnsi="Arial"/>
          <w:sz w:val="18"/>
          <w:szCs w:val="18"/>
          <w:color w:val="auto"/>
        </w:rPr>
      </w:pPr>
    </w:p>
    <w:p>
      <w:pPr>
        <w:ind w:left="340" w:hanging="22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defend our intellectual property rights against third parties;</w:t>
      </w:r>
    </w:p>
    <w:p>
      <w:pPr>
        <w:spacing w:after="0" w:line="144" w:lineRule="exact"/>
        <w:rPr>
          <w:rFonts w:ascii="Arial" w:cs="Arial" w:eastAsia="Arial" w:hAnsi="Arial"/>
          <w:sz w:val="18"/>
          <w:szCs w:val="18"/>
          <w:color w:val="auto"/>
        </w:rPr>
      </w:pPr>
    </w:p>
    <w:p>
      <w:pPr>
        <w:ind w:left="340" w:right="340" w:hanging="224"/>
        <w:spacing w:after="0" w:line="25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and compliance with the rules and regulations of the FDA (and all other regulatory authorities) of third parties upon which we depend, including third-party contract research organizations, consultants, and third-party suppliers, manufacturers, distributors, and logistics providers;</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recruit and retain key scientific, technical, commercial, and management personnel and to retain our executive officers;</w:t>
      </w:r>
    </w:p>
    <w:p>
      <w:pPr>
        <w:spacing w:after="0" w:line="144" w:lineRule="exact"/>
        <w:rPr>
          <w:rFonts w:ascii="Arial" w:cs="Arial" w:eastAsia="Arial" w:hAnsi="Arial"/>
          <w:sz w:val="18"/>
          <w:szCs w:val="18"/>
          <w:color w:val="auto"/>
        </w:rPr>
      </w:pPr>
    </w:p>
    <w:p>
      <w:pPr>
        <w:ind w:left="340" w:right="300" w:hanging="224"/>
        <w:spacing w:after="0" w:line="27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86" w:lineRule="exact"/>
        <w:rPr>
          <w:rFonts w:ascii="Arial" w:cs="Arial" w:eastAsia="Arial" w:hAnsi="Arial"/>
          <w:sz w:val="18"/>
          <w:szCs w:val="18"/>
          <w:color w:val="auto"/>
        </w:rPr>
      </w:pPr>
    </w:p>
    <w:p>
      <w:pPr>
        <w:ind w:left="340" w:right="20" w:hanging="224"/>
        <w:spacing w:after="0" w:line="24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geopolitical tensions, including regional conflicts around the world, adverse macroeconomic events, including those due to inflationary pressures, rising interest rates, banking instability, monetary policy changes, changes in trade policies (including tariffs or trade protection measures that have been or may in the future be imposed by the U.S. or other countries), economic slowdowns or recessions, health epidemics, unforeseen emergencies and other outbreaks of communicable diseases that could disrupt our operations, the operations of third parties on which we rely or the operations of regulatory agencies we interact with in the development of nomlabofusp and any other product candidates that we may develop;</w:t>
      </w:r>
    </w:p>
    <w:p>
      <w:pPr>
        <w:spacing w:after="0" w:line="111" w:lineRule="exact"/>
        <w:rPr>
          <w:rFonts w:ascii="Arial" w:cs="Arial" w:eastAsia="Arial" w:hAnsi="Arial"/>
          <w:sz w:val="18"/>
          <w:szCs w:val="18"/>
          <w:color w:val="auto"/>
        </w:rPr>
      </w:pPr>
    </w:p>
    <w:p>
      <w:pPr>
        <w:ind w:left="340" w:right="140" w:hanging="224"/>
        <w:spacing w:after="0" w:line="25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impact of regulatory developments in the U.S., including regulatory developments due to changes in the U.S. presidential administration, healthcare reform in the United States, including the Inflation Reduction Act of 2022, and measures being taken worldwide designed to reduce healthcare costs and limit the overall level of government expenditures; and</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should read this prospectus supplement, the accompanying prospectus and the documents incorporated by reference herein and therein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supplement, the accompany prospectus and any related free writing prospectus, and under similar headings in the other documents that are incorporated by reference into this prospectus supplement and the accompanying prospectus.</w:t>
      </w:r>
    </w:p>
    <w:p>
      <w:pPr>
        <w:spacing w:after="0" w:line="99"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You should assume that the information appearing in this prospectus supplement, the accompanying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supplement or to reflect the occurrence of unanticipated events.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USE OF PROCEEDS</w:t>
      </w:r>
    </w:p>
    <w:p>
      <w:pPr>
        <w:spacing w:after="0" w:line="154"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estimate that the net proceeds to us from this offering will be approximately $        million (or approximately $        million if the underwriters exercise their option to purchase additional shares of our common stock in full) after deducting underwriting discounts and commissions and estimated offering expenses payable by us, and excluding the proceeds, if any, from the exercise of the Pre-Funded Warrants issued in this offering. We cannot predict when or if the Pre-Funded Warrants will be exercised. It is possible that either some or all of the Pre-Funded Warrants may never be exercised. In addition, the Pre-Funded Warrants have an exercise price of $0.001 per share of our common stock, and as a result we will not receive significant additional funds upon their exercise.</w:t>
      </w:r>
    </w:p>
    <w:p>
      <w:pPr>
        <w:spacing w:after="0" w:line="11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intend to use the net proceeds of the proposed offering, together with our existing cash, cash equivalents and marketable securities, to support the development of nomlabofusp and for working capital and general corporate purposes, including research and development expenses and commercialization expenses.</w:t>
      </w:r>
    </w:p>
    <w:p>
      <w:pPr>
        <w:spacing w:after="0" w:line="101"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This expected use of the net proceeds from this offering represents our intentions based on our current plans and business conditions, which could change in the future as our plans and business conditions evolve. Our management will have broad discretion over the use of the net proceeds from this offering and our investors will be relying on the judgment of our management regarding the application of the proceeds of this offering. Because of the number and variability of factors that will determine our use of our existing cash, cash equivalents, marketable securities and the net proceeds from this offering, their ultimate use may vary substantially from their currently intended use.</w:t>
      </w:r>
    </w:p>
    <w:p>
      <w:pPr>
        <w:spacing w:after="0" w:line="98"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color w:val="auto"/>
        </w:rPr>
        <w:t>Pending our use of the net proceeds as described above, we intend to invest the net proceeds from this offering in a variety of capital preservation investments, including short-term, investment-grade, interest-bearing securities.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DILUTION</w:t>
      </w:r>
    </w:p>
    <w:p>
      <w:pPr>
        <w:spacing w:after="0" w:line="154"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If you invest in our securities in this offering, your ownership interest will be diluted immediately to the extent of the difference between the public offering price per share of our common stock and the as adjusted net tangible book value per share of our common stock immediately after the closing of this offering. As of September 30, 2025, our net tangible book value was $136.8 million, or $ 1.60 per share. Net tangible book value per share represents our total tangible assets (excluding operating lease right-of-use assets) less our total liabilities, divided by the number of shares outstanding.</w:t>
      </w:r>
    </w:p>
    <w:p>
      <w:pPr>
        <w:spacing w:after="0" w:line="109" w:lineRule="exact"/>
        <w:rPr>
          <w:sz w:val="20"/>
          <w:szCs w:val="20"/>
          <w:color w:val="auto"/>
        </w:rPr>
      </w:pPr>
    </w:p>
    <w:p>
      <w:pPr>
        <w:jc w:val="both"/>
        <w:ind w:left="120" w:right="80"/>
        <w:spacing w:after="0" w:line="253" w:lineRule="auto"/>
        <w:rPr>
          <w:sz w:val="20"/>
          <w:szCs w:val="20"/>
          <w:color w:val="auto"/>
        </w:rPr>
      </w:pPr>
      <w:r>
        <w:rPr>
          <w:rFonts w:ascii="Arial" w:cs="Arial" w:eastAsia="Arial" w:hAnsi="Arial"/>
          <w:sz w:val="18"/>
          <w:szCs w:val="18"/>
          <w:color w:val="auto"/>
        </w:rPr>
        <w:t>Subsequent to September 30, 2025, 5,000,000 shares of our common stock were converted into shares of Series A Convertible Preferred Stock. On a pro forma basis, giving effect to this event, our pro forma net tangible book value as of September 30, 2025 would have been approximately $136.8 million, or $1.70 per share of our common stock.</w:t>
      </w:r>
    </w:p>
    <w:p>
      <w:pPr>
        <w:spacing w:after="0" w:line="101"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After giving effect to (i) the pro forma adjustments described in the preceding paragraph and (ii) the sale of        shares of our common stock in this offering at the public offering price of $        per share and Pre-Funded Warrants to purchase up to shares of our common stock at the public offering price of $        (which equals the public offering price of our common stock at which shares of our common stock are being sold to the public in this offering less the $0.001 per share exercise price of each such Pre-Funded Warrant) (and excluding shares of common stock issued and any proceeds received upon exercise of the Pre-Funded Warrants and, while we finalize the accounting treatment of the Pre-Funded Warrants, we have assumed equity classification), and after deducting underwriting discounts and estimated offering expenses payable by us, our pro forma as adjusted net tangible book value as of September 30, 2025 would have been $        million, or $        per share. This amount would represent an immediate increase in net tangible book value of</w:t>
      </w:r>
    </w:p>
    <w:p>
      <w:pPr>
        <w:spacing w:after="0" w:line="3"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        per share to existing stockholders and an immediate dilution in net tangible book value of $        per share to new investors participating in this offering. We determine dilution by subtracting the assumed as adjusted net tangible book value per share after this offering from the assumed price per share paid by an investor in this offering.</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illustrates this dilution on a per share basis:</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9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Public offering price per share or Pre-Funded Warrant . . . . . . . . . . . . . .</w:t>
            </w:r>
          </w:p>
        </w:tc>
        <w:tc>
          <w:tcPr>
            <w:tcW w:w="4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     </w:t>
            </w:r>
          </w:p>
        </w:tc>
      </w:tr>
      <w:tr>
        <w:trPr>
          <w:trHeight w:val="203"/>
        </w:trPr>
        <w:tc>
          <w:tcPr>
            <w:tcW w:w="9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tangible book value per share as of September 30, 2025 . . . . . . . .</w:t>
            </w:r>
          </w:p>
        </w:tc>
        <w:tc>
          <w:tcPr>
            <w:tcW w:w="840" w:type="dxa"/>
            <w:vAlign w:val="bottom"/>
            <w:gridSpan w:val="2"/>
          </w:tcPr>
          <w:p>
            <w:pPr>
              <w:spacing w:after="0" w:line="202" w:lineRule="exact"/>
              <w:rPr>
                <w:sz w:val="20"/>
                <w:szCs w:val="20"/>
                <w:color w:val="auto"/>
              </w:rPr>
            </w:pPr>
            <w:r>
              <w:rPr>
                <w:rFonts w:ascii="Arial" w:cs="Arial" w:eastAsia="Arial" w:hAnsi="Arial"/>
                <w:sz w:val="18"/>
                <w:szCs w:val="18"/>
                <w:color w:val="auto"/>
              </w:rPr>
              <w:t>$1.60</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4"/>
        </w:trPr>
        <w:tc>
          <w:tcPr>
            <w:tcW w:w="942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Increase in net tangible book value per share attributable to the pro forma adjustment described above. . . . . . . .</w:t>
            </w: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1"/>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0.10</w:t>
            </w: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9"/>
        </w:trPr>
        <w:tc>
          <w:tcPr>
            <w:tcW w:w="9420" w:type="dxa"/>
            <w:vAlign w:val="bottom"/>
            <w:gridSpan w:val="2"/>
          </w:tcPr>
          <w:p>
            <w:pPr>
              <w:ind w:left="180"/>
              <w:spacing w:after="0"/>
              <w:rPr>
                <w:sz w:val="20"/>
                <w:szCs w:val="20"/>
                <w:color w:val="auto"/>
              </w:rPr>
            </w:pPr>
            <w:r>
              <w:rPr>
                <w:rFonts w:ascii="Arial" w:cs="Arial" w:eastAsia="Arial" w:hAnsi="Arial"/>
                <w:sz w:val="18"/>
                <w:szCs w:val="18"/>
                <w:color w:val="auto"/>
              </w:rPr>
              <w:t>. . .ProformanettangiblebookvaluepershareasofSeptember30,2025</w:t>
            </w:r>
          </w:p>
        </w:tc>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$1.70</w:t>
            </w:r>
          </w:p>
        </w:tc>
        <w:tc>
          <w:tcPr>
            <w:tcW w:w="3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942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Increase in pro forma net tangible book value per share attributable to new investors purchasing shares in this</w:t>
            </w: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1"/>
        </w:trPr>
        <w:tc>
          <w:tcPr>
            <w:tcW w:w="9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offering . . . . . . . . . . . . . . .</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9420" w:type="dxa"/>
            <w:vAlign w:val="bottom"/>
            <w:gridSpan w:val="2"/>
          </w:tcPr>
          <w:p>
            <w:pPr>
              <w:spacing w:after="0" w:line="202" w:lineRule="exact"/>
              <w:rPr>
                <w:sz w:val="20"/>
                <w:szCs w:val="20"/>
                <w:color w:val="auto"/>
              </w:rPr>
            </w:pPr>
            <w:r>
              <w:rPr>
                <w:rFonts w:ascii="Arial" w:cs="Arial" w:eastAsia="Arial" w:hAnsi="Arial"/>
                <w:sz w:val="18"/>
                <w:szCs w:val="18"/>
                <w:color w:val="auto"/>
              </w:rPr>
              <w:t>Pro forma as adjusted net tangible book value after this offering . . . . . . .</w:t>
            </w:r>
          </w:p>
        </w:tc>
        <w:tc>
          <w:tcPr>
            <w:tcW w:w="460" w:type="dxa"/>
            <w:vAlign w:val="bottom"/>
          </w:tcPr>
          <w:p>
            <w:pPr>
              <w:spacing w:after="0"/>
              <w:rPr>
                <w:sz w:val="17"/>
                <w:szCs w:val="17"/>
                <w:color w:val="auto"/>
              </w:rPr>
            </w:pPr>
          </w:p>
        </w:tc>
        <w:tc>
          <w:tcPr>
            <w:tcW w:w="10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7"/>
        </w:trPr>
        <w:tc>
          <w:tcPr>
            <w:tcW w:w="9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in this offering . . . . . . . . . . . . . . . . .</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7"/>
        </w:trPr>
        <w:tc>
          <w:tcPr>
            <w:tcW w:w="91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bl>
    <w:p>
      <w:pPr>
        <w:spacing w:after="0" w:line="130"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To the extent that outstanding options are exercised, investors purchasing shares of our common stock or Pre-Funded Warrants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equity-based securities, the issuance of these securities could result in further dilution to our stockholders.</w:t>
      </w:r>
    </w:p>
    <w:p>
      <w:pPr>
        <w:spacing w:after="0" w:line="95"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color w:val="auto"/>
        </w:rPr>
        <w:t>Assuming the Pre-Funded Warrants were immediately and fully exercised, our pro forma as adjusted net tangible book value as of September 30, 2025 would have been $        or approximately $        per</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0"/>
        <w:spacing w:after="0" w:line="245" w:lineRule="auto"/>
        <w:rPr>
          <w:sz w:val="20"/>
          <w:szCs w:val="20"/>
          <w:color w:val="auto"/>
        </w:rPr>
      </w:pPr>
      <w:r>
        <w:rPr>
          <w:rFonts w:ascii="Arial" w:cs="Arial" w:eastAsia="Arial" w:hAnsi="Arial"/>
          <w:sz w:val="18"/>
          <w:szCs w:val="18"/>
          <w:color w:val="auto"/>
        </w:rPr>
        <w:t>share of our common stock (assuming         shares of our common stock outstanding as of September 30, 2025 after giving effect to the conversion of 5,000,000 shares of our common stock into 500,000 shares of Series A Convertible Preferred Stock, the issuance</w:t>
      </w:r>
    </w:p>
    <w:p>
      <w:pPr>
        <w:ind w:left="120" w:right="200"/>
        <w:spacing w:after="0" w:line="242" w:lineRule="auto"/>
        <w:rPr>
          <w:sz w:val="20"/>
          <w:szCs w:val="20"/>
          <w:color w:val="auto"/>
        </w:rPr>
      </w:pPr>
      <w:r>
        <w:rPr>
          <w:rFonts w:ascii="Arial" w:cs="Arial" w:eastAsia="Arial" w:hAnsi="Arial"/>
          <w:sz w:val="18"/>
          <w:szCs w:val="18"/>
          <w:color w:val="auto"/>
        </w:rPr>
        <w:t>of        shares of our common stock in this offering and the exercise of the Pre-Funded Warrants for         shares of our common stock issued in this offering), which represents an immediate dilution per share to new investors of $        per share of our common stock, and an increase in net tangible book value per share to existing stockholders of $        per share of our common stock.</w:t>
      </w:r>
    </w:p>
    <w:p>
      <w:pPr>
        <w:spacing w:after="0" w:line="98"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color w:val="auto"/>
        </w:rPr>
        <w:t>If the underwriters exercise their option to purchase an additional        shares of our common stock in full at the public offering price of $        per share and assuming the Pre-Funded Warrants were immediately and fully exercised, our pro forma as adjusted net tangible</w:t>
      </w:r>
    </w:p>
    <w:p>
      <w:pPr>
        <w:ind w:left="120" w:right="280"/>
        <w:spacing w:after="0" w:line="242" w:lineRule="auto"/>
        <w:rPr>
          <w:sz w:val="20"/>
          <w:szCs w:val="20"/>
          <w:color w:val="auto"/>
        </w:rPr>
      </w:pPr>
      <w:r>
        <w:rPr>
          <w:rFonts w:ascii="Arial" w:cs="Arial" w:eastAsia="Arial" w:hAnsi="Arial"/>
          <w:sz w:val="18"/>
          <w:szCs w:val="18"/>
          <w:color w:val="auto"/>
        </w:rPr>
        <w:t>book value as of September 30, 2025 would have been $        million, or $        per share. This amount would represent an immediate increase in net tangible book value of $        per share to existing stockholders and an immediate dilution in net tangible book value of $        per share to new investors purchasing common stock in this offering.</w:t>
      </w:r>
    </w:p>
    <w:p>
      <w:pPr>
        <w:spacing w:after="0" w:line="112"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The foregoing table and calculations (other than the historical net tangible book value calculation) are based on 80,590,392 shares of our common stock outstanding, which is based on 85,590,392 shares of our common stock outstanding as of September 30, 2025 adjusted for the effect of the conversions in December 2025 and January 2026 of an aggregate 5,000,000 shares of our common stock into 500,000 shares of Series A Convertible Preferred Stock, and excludes the following:</w:t>
      </w:r>
    </w:p>
    <w:p>
      <w:pPr>
        <w:spacing w:after="0" w:line="106" w:lineRule="exact"/>
        <w:rPr>
          <w:sz w:val="20"/>
          <w:szCs w:val="20"/>
          <w:color w:val="auto"/>
        </w:rPr>
      </w:pPr>
    </w:p>
    <w:p>
      <w:pPr>
        <w:ind w:left="340" w:right="740" w:hanging="224"/>
        <w:spacing w:after="0" w:line="27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8,608,341 shares of our common stock issuable upon the exercise of stock options outstanding as of September 30, 2025 at a weighted-average exercise price of $6.51 per share;</w:t>
      </w:r>
    </w:p>
    <w:p>
      <w:pPr>
        <w:spacing w:after="0" w:line="86"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2,148,296 shares of our common stock issuable upon the exercise of stock options granted subsequent to September 30, 2025 at a weighted-average exercise price of $3.60 per share;</w:t>
      </w:r>
    </w:p>
    <w:p>
      <w:pPr>
        <w:spacing w:after="0" w:line="86" w:lineRule="exact"/>
        <w:rPr>
          <w:rFonts w:ascii="Arial" w:cs="Arial" w:eastAsia="Arial" w:hAnsi="Arial"/>
          <w:sz w:val="18"/>
          <w:szCs w:val="18"/>
          <w:color w:val="auto"/>
        </w:rPr>
      </w:pPr>
    </w:p>
    <w:p>
      <w:pPr>
        <w:ind w:left="340" w:right="1060" w:hanging="224"/>
        <w:spacing w:after="0" w:line="27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1,009,791 shares of our common stock issuable upon the vesting and settlement of restricted stock units outstanding as of September 30, 2025;</w:t>
      </w:r>
    </w:p>
    <w:p>
      <w:pPr>
        <w:spacing w:after="0" w:line="86"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532,435 shares of our common stock issuable upon the vesting and settlement of restricted stock units that were granted subsequent to September 30, 2025;</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shares of our common stock issuable upon the exercise of the Pre-Funded Warrants issued as part of this offering;</w:t>
      </w:r>
    </w:p>
    <w:p>
      <w:pPr>
        <w:spacing w:after="0" w:line="144" w:lineRule="exact"/>
        <w:rPr>
          <w:sz w:val="20"/>
          <w:szCs w:val="20"/>
          <w:color w:val="auto"/>
        </w:rPr>
      </w:pPr>
    </w:p>
    <w:p>
      <w:pPr>
        <w:ind w:left="340" w:hanging="224"/>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483,960 shares of our common stock available for future issuance as of September 30, 2025 under our 2020 Equity Incentive Plan; and</w:t>
      </w:r>
    </w:p>
    <w:p>
      <w:pPr>
        <w:spacing w:after="0" w:line="144" w:lineRule="exact"/>
        <w:rPr>
          <w:rFonts w:ascii="Arial" w:cs="Arial" w:eastAsia="Arial" w:hAnsi="Arial"/>
          <w:sz w:val="18"/>
          <w:szCs w:val="18"/>
          <w:color w:val="auto"/>
        </w:rPr>
      </w:pPr>
    </w:p>
    <w:p>
      <w:pPr>
        <w:ind w:left="340" w:right="140" w:hanging="224"/>
        <w:spacing w:after="0" w:line="27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3,323,616 shares of our common stock added to shares available for future issuance on January 1, 2026 as permitted under our 2020 Equity Incentive Plan.</w:t>
      </w:r>
    </w:p>
    <w:p>
      <w:pPr>
        <w:spacing w:after="0" w:line="86"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Unless otherwise indicated, all information in this prospectus supplement assumes no exercise of the outstanding options described above, no exercise by the underwriters of their option to purchase additional shares and no exercise of the Pre-Funded Warrants we are offering in lieu of shares of our common stock to certain investors in this offering.</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DESCRIPTION OF THE SECURITIES WE ARE OFFERING</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Common Stock</w:t>
      </w:r>
    </w:p>
    <w:p>
      <w:pPr>
        <w:spacing w:after="0" w:line="148"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material terms and provisions of our common stock are described under the heading “Description of Capital Stock” beginning on page 10 of the accompanying prospectus.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Pre-Funded Warrants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brief summary of certain terms and conditions of the Pre-Funded Warrants being offered by this prospectus supplement.</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description is subject in all respects to the provisions contained in the Pre-Funded Warrants.</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Form</w:t>
      </w:r>
    </w:p>
    <w:p>
      <w:pPr>
        <w:spacing w:after="0" w:line="142"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The Pre-Funded Warrants will be issued as individual warrant agreements to the investors. The form of Pre-Funded Warrants will be provided to the investors in this offering and will be filed with the SEC as an exhibit to a Current Report on Form 8-K that we expect to file with the SEC in connection with this offering. Prospective investors should carefully review the terms and provisions of the form of Pre-Funded Warrant for a complete description of the terms and conditions of the Pre-Funded Warrants.</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Pre-Funded Warrants do not expire.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Exercisability</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Pre-Funded Warrants are exercisable at any time on or after their original issuance. The Pre-Funded Warrants are exercisable, at the option of each holder, in whole or in 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Warrants through a cashless exercise, in which case the holder would receive upon such exercise the net number of shares of common stock determined according to the formula set forth in the Pre-Funded Warrants. No fractional shares of common stock will be issued in connection with the exercise of a Pre-Funded Warrant. In lieu of fractional shares, we will pay the holder an amount in cash equal to the fractional amount multiplied by the fair market value of the common stock on the exercise date.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Exercisability Limitations</w:t>
      </w:r>
    </w:p>
    <w:p>
      <w:pPr>
        <w:spacing w:after="0" w:line="142"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We may not effect the exercise of any Pre-Funded Warrant, and a holder will not be entitled to exercise any portion of any Pre-Funded Warrant that, upon giving effect to such exercise, would cause the aggregate number of shares of our common stock beneficially owned by the holder (together with its affiliates) to exceed 4.99% (or 9.99%, at the holder’s election) of the number of shares of our common stock that would be outstanding immediately after giving effect to the exercise. However, any holder of a Pre-Funded Warrant may increase or decrease such percentage to any other percentage not in excess of 19.99% upon at least 61 days’ prior notice from the holder to us.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Price</w:t>
      </w:r>
    </w:p>
    <w:p>
      <w:pPr>
        <w:spacing w:after="0" w:line="129"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The exercise price per whole share of our common stock purchasable upon the exercise of the Pre-Funded Warrants is $0.001 per share of common stock. The exercise price of the Pre-Funded Warrants is subject to appropriate adjustment in the event of certain stock dividends and distributions, stock splits, stock combinations,</w:t>
      </w:r>
    </w:p>
    <w:p>
      <w:pPr>
        <w:spacing w:after="0" w:line="101"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reclassifications or similar events affecting our common stock and also upon any distributions of assets, including cash, stock or other property to our stockholders.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Transferability</w:t>
      </w:r>
    </w:p>
    <w:p>
      <w:pPr>
        <w:spacing w:after="0" w:line="142"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Subject to applicable laws, the Pre-Funded Warrants may be offered for sale, sold, transferred or assigned without our consent. The ownership of the Pre-Funded Warrants and any transfers of the Pre-Funded Warrants will be registered in a warrant register maintained by the warrant agent. We will initially act as warrant agent.</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 Listing</w:t>
      </w:r>
    </w:p>
    <w:p>
      <w:pPr>
        <w:spacing w:after="0" w:line="142" w:lineRule="exact"/>
        <w:rPr>
          <w:sz w:val="20"/>
          <w:szCs w:val="20"/>
          <w:color w:val="auto"/>
        </w:rPr>
      </w:pPr>
    </w:p>
    <w:p>
      <w:pPr>
        <w:jc w:val="both"/>
        <w:ind w:left="120" w:right="480"/>
        <w:spacing w:after="0" w:line="253" w:lineRule="auto"/>
        <w:rPr>
          <w:sz w:val="20"/>
          <w:szCs w:val="20"/>
          <w:color w:val="auto"/>
        </w:rPr>
      </w:pPr>
      <w:r>
        <w:rPr>
          <w:rFonts w:ascii="Arial" w:cs="Arial" w:eastAsia="Arial" w:hAnsi="Arial"/>
          <w:sz w:val="18"/>
          <w:szCs w:val="18"/>
          <w:color w:val="auto"/>
        </w:rPr>
        <w:t>There is no established trading market for the Pre-Funded Warrants, and we do not expect a market to develop. We do not plan on applying to list the Pre-Funded Warrants on The Nasdaq Global Market or on any securities exchange or other nationally recognized trading system. Without an active trading market, the liquidity of the Pre-Funded Warrants will be limited.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as a Stockholder</w:t>
      </w:r>
    </w:p>
    <w:p>
      <w:pPr>
        <w:spacing w:after="0" w:line="142"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Except as otherwise provided in the Pre-Funded Warrant or by virtue of such holder’s ownership of shares of our common stock, the holder of a Pre-Funded Warrant does not have the rights or privileges of a holder of our common stock, including any voting rights, until the holder exercises the Pre-Funded Warrant.</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Fundamental Transaction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DIVIDEND POLICY</w:t>
      </w:r>
    </w:p>
    <w:p>
      <w:pPr>
        <w:spacing w:after="0" w:line="154"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if any, to fund the development and expansion of our business and we do not anticipate paying any cash dividends in the foreseeable future. Any future determination to pay dividends on our common stock will be made at the discretion of our Board of Directors, or our Board, and will depend on various factors, including applicable laws, our results of operations, financial condition, future prospects, anticipated cash needs, plans for expansion and any other factors deemed relevant by our Board.</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040"/>
          </w:cols>
          <w:pgMar w:left="320" w:top="455" w:right="5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right="460"/>
        <w:spacing w:after="0" w:line="288" w:lineRule="auto"/>
        <w:rPr>
          <w:sz w:val="20"/>
          <w:szCs w:val="20"/>
          <w:color w:val="auto"/>
        </w:rPr>
      </w:pPr>
      <w:r>
        <w:rPr>
          <w:rFonts w:ascii="Arial" w:cs="Arial" w:eastAsia="Arial" w:hAnsi="Arial"/>
          <w:sz w:val="29"/>
          <w:szCs w:val="29"/>
          <w:b w:val="1"/>
          <w:bCs w:val="1"/>
          <w:color w:val="auto"/>
        </w:rPr>
        <w:t>MATERIAL U.S. FEDERAL INCOME TAX CONSEQUENCES TO U.S. HOLDERS AND NON-U.S. HOLDERS</w:t>
      </w:r>
    </w:p>
    <w:p>
      <w:pPr>
        <w:spacing w:after="0" w:line="25"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following discussion is a summary of certain material U.S. federal income tax consequences to U.S. Holders and Non-U.S. Holders (as defined below) of the purchase, ownership and disposition of our common stock and Pre-Funded Warrants issued pursuant to this offering, which we refer to collectively as our securities,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or the Code, the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U.S. Holder or Non-U.S. Holder of our securities.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securities.</w:t>
      </w:r>
    </w:p>
    <w:p>
      <w:pPr>
        <w:spacing w:after="0" w:line="118"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This discussion is limited to U.S. Holders and Non-U.S. Holders that hold our securities as a “capital asset” within the meaning of Section 1221 of the Code (generally, property held for investment). This discussion does not address all U.S. federal income tax consequences relevant to a U.S. Holder’s or Non-U.S. Holder’s particular circumstances, including the impact of the Medicare contribution tax on net investment income, the special tax accounting rules under Section 451(b) of the Code and the alternative minimum tax. In addition, it does not address consequences relevant to U.S. Holders or Non-U.S. Holders subject to special rules, including, without limitation:</w:t>
      </w:r>
    </w:p>
    <w:p>
      <w:pPr>
        <w:spacing w:after="0" w:line="320" w:lineRule="exact"/>
        <w:rPr>
          <w:sz w:val="20"/>
          <w:szCs w:val="20"/>
          <w:color w:val="auto"/>
        </w:rPr>
      </w:pPr>
    </w:p>
    <w:p>
      <w:pPr>
        <w:ind w:left="340" w:hanging="22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holding our securities as part of a hedge, straddle or other risk reduction strategy or as part of a conversion transaction or other integrated investment;</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44"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deemed to sell our securities under the constructive sale provisions of the Code;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who hold or receive our securities pursuant to the exercise of any employee stock option or otherwise as compensation;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persons that own, or have owned, actually or constructively, more than 5% of our securities.</w:t>
      </w:r>
    </w:p>
    <w:p>
      <w:pPr>
        <w:spacing w:after="0" w:line="131"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If an entity or arrangement treated as a partnership for U.S. federal income tax purposes holds our securities, the tax treatment of a partner in the partnership will depend on the status of the partner, the activities of the partnership and certain determinations made at the partner level. Accordingly, partnerships holding our securities and the partners in such partnerships should consult their tax advisors regarding the U.S. federal income tax consequences to them.</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U.S. Holder is a beneficial owner of our securities, that, for U.S. federal income tax purposes, is:</w:t>
      </w:r>
    </w:p>
    <w:p>
      <w:pPr>
        <w:spacing w:after="0" w:line="144" w:lineRule="exact"/>
        <w:rPr>
          <w:sz w:val="20"/>
          <w:szCs w:val="20"/>
          <w:color w:val="auto"/>
        </w:rPr>
      </w:pPr>
    </w:p>
    <w:p>
      <w:pPr>
        <w:ind w:left="340" w:hanging="224"/>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that is a citizen or resident of the United States;</w:t>
      </w:r>
    </w:p>
    <w:p>
      <w:pPr>
        <w:spacing w:after="0" w:line="144" w:lineRule="exact"/>
        <w:rPr>
          <w:rFonts w:ascii="Arial" w:cs="Arial" w:eastAsia="Arial" w:hAnsi="Arial"/>
          <w:sz w:val="18"/>
          <w:szCs w:val="18"/>
          <w:color w:val="auto"/>
        </w:rPr>
      </w:pPr>
    </w:p>
    <w:p>
      <w:pPr>
        <w:ind w:left="340" w:right="120" w:hanging="224"/>
        <w:spacing w:after="0" w:line="27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created or organized in or under the laws of the United States, any state thereof or the District of Columbia;</w:t>
      </w:r>
    </w:p>
    <w:p>
      <w:pPr>
        <w:spacing w:after="0" w:line="86" w:lineRule="exact"/>
        <w:rPr>
          <w:rFonts w:ascii="Arial" w:cs="Arial" w:eastAsia="Arial" w:hAnsi="Arial"/>
          <w:sz w:val="18"/>
          <w:szCs w:val="18"/>
          <w:color w:val="auto"/>
        </w:rPr>
      </w:pPr>
    </w:p>
    <w:p>
      <w:pPr>
        <w:ind w:left="340" w:hanging="224"/>
        <w:spacing w:after="0" w:line="25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trust that (1) is subject to (A) the primary supervision of a court within the United States and (B) the authority of one or more “United States persons” (within the meaning of Section 7701(a)(30) of the Code) to control all substantial decisions of the trust or (2) has a valid election in effect under applicable Treasury regulations to be treated as a United States person; or</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that is subject to U.S. federal income tax on its income regardless of its source.</w:t>
      </w:r>
    </w:p>
    <w:p>
      <w:pPr>
        <w:spacing w:after="0" w:line="144"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color w:val="auto"/>
        </w:rPr>
        <w:t>A non-U.S. holder is a beneficial owner of our securities that is not an entity or arrangement treated as a partnership for U.S. federal income tax purposes and not, for U.S. federal income tax purposes:</w:t>
      </w:r>
    </w:p>
    <w:p>
      <w:pPr>
        <w:spacing w:after="0" w:line="86" w:lineRule="exact"/>
        <w:rPr>
          <w:sz w:val="20"/>
          <w:szCs w:val="20"/>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44" w:lineRule="exact"/>
        <w:rPr>
          <w:rFonts w:ascii="Arial" w:cs="Arial" w:eastAsia="Arial" w:hAnsi="Arial"/>
          <w:sz w:val="18"/>
          <w:szCs w:val="18"/>
          <w:color w:val="auto"/>
        </w:rPr>
      </w:pPr>
    </w:p>
    <w:p>
      <w:pPr>
        <w:ind w:left="340" w:right="180" w:hanging="224"/>
        <w:spacing w:after="0" w:line="25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trust (1) the administration of which is subject to the primary supervision of a U.S. court and that has one or more U.S. persons with the authority to control all substantial decisions of the trust or (2) that has a valid election in effect under applicable Treasury Regulations to be treated as a U.S. person.</w:t>
      </w:r>
    </w:p>
    <w:p>
      <w:pPr>
        <w:spacing w:after="0" w:line="88"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SECURITIES ARISING UNDER THE U.S. FEDERAL ESTATE OR GIFT TAX LAWS OR UNDER THE LAWS OF ANY STATE, LOCAL OR NON-U.S. TAXING JURISDICTION OR UNDER ANY APPLICABLE INCOME TAX TREATY.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Pre-Funded Warrants</w:t>
      </w:r>
    </w:p>
    <w:p>
      <w:pPr>
        <w:spacing w:after="0" w:line="142" w:lineRule="exact"/>
        <w:rPr>
          <w:sz w:val="20"/>
          <w:szCs w:val="20"/>
          <w:color w:val="auto"/>
        </w:rPr>
      </w:pPr>
    </w:p>
    <w:p>
      <w:pPr>
        <w:jc w:val="both"/>
        <w:ind w:left="120" w:right="120"/>
        <w:spacing w:after="0" w:line="254" w:lineRule="auto"/>
        <w:rPr>
          <w:sz w:val="20"/>
          <w:szCs w:val="20"/>
          <w:color w:val="auto"/>
        </w:rPr>
      </w:pPr>
      <w:r>
        <w:rPr>
          <w:rFonts w:ascii="Arial" w:cs="Arial" w:eastAsia="Arial" w:hAnsi="Arial"/>
          <w:sz w:val="17"/>
          <w:szCs w:val="17"/>
          <w:color w:val="auto"/>
        </w:rPr>
        <w:t>Although it is not entirely free from doubt, the Pre-Funded Warrants are generally expected to be treated as shares of our common stock for U.S. federal income tax purposes. Accordingly, no gain or loss should be recognized upon exercise of a Pre-Funded Warrant, and the holding period of a Pre-Funded Warrant should carry over to the shares of common stock received upon exercise. Similarly, the tax basis of the Pre-Funded Warrant should carry over to the shares of common stock received upon exercise, increased by the exercise price.</w:t>
      </w:r>
    </w:p>
    <w:p>
      <w:pPr>
        <w:ind w:left="120" w:right="880"/>
        <w:spacing w:after="0" w:line="250" w:lineRule="auto"/>
        <w:rPr>
          <w:sz w:val="20"/>
          <w:szCs w:val="20"/>
          <w:color w:val="auto"/>
        </w:rPr>
      </w:pPr>
      <w:r>
        <w:rPr>
          <w:rFonts w:ascii="Arial" w:cs="Arial" w:eastAsia="Arial" w:hAnsi="Arial"/>
          <w:sz w:val="18"/>
          <w:szCs w:val="18"/>
          <w:color w:val="auto"/>
        </w:rPr>
        <w:t>Each U.S. Holder and Non-U.S. Holder is urged to consult its tax advisor regarding the U.S. federal income tax treatment of the Pre-Funded Warrants.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2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terms of each Pre-Funded Warrant provide for an adjustment to the consideration issuable upon exercise in certain events, as discussed in the section titled “Description of the Securities We Are Offering—Pre-Funded Warrants.” An adjustment which has the effect of preventing dilution is generally not a taxable event. Nevertheless, a U.S. Holder or Non-U.S. Holder of Pre-Funded Warrants may be treated as receiving a constructive distribution from us if, for example, the adjustment increases the holder’s proportionate interest in our assets or earnings and profits (e.g., through an increase in the number of shares of common stock that would be obtained upon exercise) as a result of a distribution of cash to the holders of shares of our common stock which is taxable to such holders as a distribution. Such constructive distribution would be subject to tax in the same manner as if such U.S. Holder or Non-U.S. Holder received a cash distribution from us equal to the fair market value of such increased interest, in each case, as described below. Each U.S. Holder and Non-U.S. Holder is urged to consult its tax advisor regarding the U.S. federal income tax considerations of constructive distributions, if any, on the Pre-Funded Warrants.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Tax considerations applicable to U.S. Holders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on the Shares and constructive distributions on pre-funded warrants</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As described in the section titled “Dividend Policy,” 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 Distributions in excess of our current and accumulated earnings and profits will constitute a return of capital and first be applied against and reduce a U.S. Holder’s adjusted tax basis in its common stock or Pre-Funded Warrants, as applicable, but not below zero. Any excess will be treated as capital gain and will be treated as described below under “Sale or Other Taxable Disposition.”</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Section 305 of the Code, an adjustment to the number of common stock that will be issued on the exercise of Pre-Funded Warrants, or an adjustment to the exercise price of Pre-Funded Warrants (or in certain circumstances, a failure to make adjustments), may be treated as a constructive distribution to a U.S. Holder of Pre-Funded Warrants if, and to the extent that, such adjustment has the effect of increasing such U.S. Holder’s proportionate interest in our earnings and profits as determined under U.S. federal income tax principles or our assets, depending on the circumstances of such adjustment (for example, if such adjustment is to compensate for a distribution of cash or other property to our stockholders). U.S. Holders should consult their tax advisors regarding the proper treatment of any adjustments to the number of common shares that will be issued on the exercise of Pre-Funded Warrants or the exercise price of pre-funded warrants. For certain informational reporting purposes, we are required to determine the date and amount of any such constructive distribution and publicly report such information or report such information to the IRS and holders of Pre-Funded Warrants not exempt from information reporting. Proposed Treasury regulations, on which we may rely prior to the issuance of final Treasury regulations, specify how the date and amount of constructive distributions, and withholding obligations with respect thereto, are determined.</w:t>
      </w: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the securities</w:t>
      </w:r>
    </w:p>
    <w:p>
      <w:pPr>
        <w:spacing w:after="0" w:line="129" w:lineRule="exact"/>
        <w:rPr>
          <w:sz w:val="20"/>
          <w:szCs w:val="20"/>
          <w:color w:val="auto"/>
        </w:rPr>
      </w:pPr>
    </w:p>
    <w:p>
      <w:pPr>
        <w:ind w:left="120" w:right="740"/>
        <w:spacing w:after="0" w:line="271" w:lineRule="auto"/>
        <w:rPr>
          <w:sz w:val="20"/>
          <w:szCs w:val="20"/>
          <w:color w:val="auto"/>
        </w:rPr>
      </w:pPr>
      <w:r>
        <w:rPr>
          <w:rFonts w:ascii="Arial" w:cs="Arial" w:eastAsia="Arial" w:hAnsi="Arial"/>
          <w:sz w:val="18"/>
          <w:szCs w:val="18"/>
          <w:color w:val="auto"/>
        </w:rPr>
        <w:t>Upon the sale, exchange or other taxable disposition of the common shares or Pre-Funded Warrants, a U.S. Holder will generally recognize capital gain or loss equal to the difference between the amount of cash and the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fair market value of any other property received upon the sale, exchange or other taxable disposition and such U.S. Holder’s adjusted tax basis in the common shares or Pre-Funded Warrants. This capital gain or loss will be long-term capital gain or loss if the U.S. Holder’s holding period in such common shares or Pre-Funded Warrants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42" w:lineRule="exact"/>
        <w:rPr>
          <w:sz w:val="20"/>
          <w:szCs w:val="20"/>
          <w:color w:val="auto"/>
        </w:rPr>
      </w:pPr>
    </w:p>
    <w:p>
      <w:pPr>
        <w:jc w:val="both"/>
        <w:ind w:left="120" w:right="140"/>
        <w:spacing w:after="0" w:line="255" w:lineRule="auto"/>
        <w:rPr>
          <w:sz w:val="20"/>
          <w:szCs w:val="20"/>
          <w:color w:val="auto"/>
        </w:rPr>
      </w:pPr>
      <w:r>
        <w:rPr>
          <w:rFonts w:ascii="Arial" w:cs="Arial" w:eastAsia="Arial" w:hAnsi="Arial"/>
          <w:sz w:val="17"/>
          <w:szCs w:val="17"/>
          <w:color w:val="auto"/>
        </w:rPr>
        <w:t>In general, backup withholding and information reporting requirements may apply to distributions on the common shares, to constructive distributions on Pre-Funded Warrants, and to the receipt of proceeds on the sale, exchange or other taxable disposition of the securities. Backup withholding (currently at a rate of 24 percent) may apply if a U.S. Holder fails to furnish its taxpayer identification number, a U.S.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 fails to certify under penalties of perjury that such taxpayer identification number is correct and that such U.S. Holder is not subject to backup withholding (generally on a properly completed and duly executed IRS Form W-9), the applicable withholding agent is notified by the IRS that the U.S. Holder previously failed to properly report payments of interest or dividends, or such U.S. Holder otherwise fails to comply with the applicable requirements of the backup withholding rules.</w:t>
      </w:r>
    </w:p>
    <w:p>
      <w:pPr>
        <w:spacing w:after="0" w:line="99"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Certain U.S. Holders generally are not subject to backup withholding and information reporting requirements, provided that their exemptions from backup withholding and information reporting are properly established. Backup withholding is not an additional tax. Any amounts withheld from a payment to a U.S. Holder under the backup withholding rules generally will be allowed as a credit against such U.S. Holder’s U.S. federal income tax liability and may entitle such U.S. Holder to a refund, provided the required information is furnished to the IRS in a timely manner. U.S. Holders should consult their tax advisors regarding the application of backup withholding, the availability of an exemption from backup withholding, and the procedure for obtaining such an exemption, if available.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Tax considerations applicable to non-U.S. Holders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142"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As described in the section titled “Dividend Policy,” 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98"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Subject to the discussions below on effectively connected income, backup withholding and FATCA (as defined below), dividends paid to a Non-U.S. Holder of our common stock (or constructive dividends paid on our Pre-Funded Warrants)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85" w:lineRule="exact"/>
        <w:rPr>
          <w:sz w:val="20"/>
          <w:szCs w:val="20"/>
          <w:color w:val="auto"/>
        </w:rPr>
      </w:pPr>
    </w:p>
    <w:p>
      <w:pPr>
        <w:ind w:left="120" w:right="240"/>
        <w:spacing w:after="0" w:line="244" w:lineRule="auto"/>
        <w:rPr>
          <w:sz w:val="20"/>
          <w:szCs w:val="20"/>
          <w:color w:val="auto"/>
        </w:rPr>
      </w:pPr>
      <w:r>
        <w:rPr>
          <w:rFonts w:ascii="Arial" w:cs="Arial" w:eastAsia="Arial" w:hAnsi="Arial"/>
          <w:sz w:val="18"/>
          <w:szCs w:val="18"/>
          <w:color w:val="auto"/>
        </w:rPr>
        <w:t>Any such effectively connected dividends generally will be subject to U.S. federal income tax on a net income basis at the regular U.S. federal income tax rates as if the Non-U.S. Holder were a resident of the United States. A Non-U.S. Holder that is a corporation also generally will be subject to a branch profits tax at a rate of 30% (or such lower rate specified by an applicable income tax treaty) on its effectively connected earnings and profits attributable to such dividends, as adjusted for certain items. Non-U.S. Holders should consult their tax advisors regarding any applicable tax treaties that may provide for different rules.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2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upon the sale or other taxable disposition of our common stock unless:</w:t>
      </w:r>
    </w:p>
    <w:p>
      <w:pPr>
        <w:spacing w:after="0" w:line="86" w:lineRule="exact"/>
        <w:rPr>
          <w:sz w:val="20"/>
          <w:szCs w:val="20"/>
          <w:color w:val="auto"/>
        </w:rPr>
      </w:pPr>
    </w:p>
    <w:p>
      <w:pPr>
        <w:jc w:val="both"/>
        <w:ind w:left="340" w:right="100" w:hanging="224"/>
        <w:spacing w:after="0" w:line="25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101" w:lineRule="exact"/>
        <w:rPr>
          <w:rFonts w:ascii="Arial" w:cs="Arial" w:eastAsia="Arial" w:hAnsi="Arial"/>
          <w:sz w:val="18"/>
          <w:szCs w:val="18"/>
          <w:color w:val="auto"/>
        </w:rPr>
      </w:pPr>
    </w:p>
    <w:p>
      <w:pPr>
        <w:ind w:left="340" w:right="24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86" w:lineRule="exact"/>
        <w:rPr>
          <w:rFonts w:ascii="Arial" w:cs="Arial" w:eastAsia="Arial" w:hAnsi="Arial"/>
          <w:sz w:val="18"/>
          <w:szCs w:val="18"/>
          <w:color w:val="auto"/>
        </w:rPr>
      </w:pPr>
    </w:p>
    <w:p>
      <w:pPr>
        <w:ind w:left="340" w:right="500" w:hanging="224"/>
        <w:spacing w:after="0" w:line="25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 at any time within the shorter of the five-year period preceding the disposition or the Non-U.S. Holder’s holding period for our common stock.</w:t>
      </w:r>
    </w:p>
    <w:p>
      <w:pPr>
        <w:spacing w:after="0" w:line="101" w:lineRule="exact"/>
        <w:rPr>
          <w:sz w:val="20"/>
          <w:szCs w:val="20"/>
          <w:color w:val="auto"/>
        </w:rPr>
      </w:pPr>
    </w:p>
    <w:p>
      <w:pPr>
        <w:jc w:val="both"/>
        <w:ind w:left="120" w:right="80"/>
        <w:spacing w:after="0" w:line="247"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the Non-U.S. Holder were a resident of the United States. A Non-U.S. Holder that is a corporation also generally will be subject to a branch profits tax at a rate of 30% (or such lower rate specified by an applicable income tax treaty) on its effectively connected earnings and profits attributable to such gain, as adjusted for certain items.</w:t>
      </w:r>
    </w:p>
    <w:p>
      <w:pPr>
        <w:spacing w:after="0" w:line="93"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06"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color w:val="auto"/>
        </w:rPr>
        <w:t>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If we are a USRPHC and either our common stock is not regularly traded on an established securities market or a Non-U.S. Holder holds more than 5% of our common stock, actually or constructively, during the applicable testing period, such Non-U.S. Holder will generally be taxed on any gain in the same manner as gain that is effectively connected with the conduct of a U.S. trade or business, except that the branch profits tax generally will not apply.</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9"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12"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Copies of information returns that are filed with the IRS also may be made available under the provisions of an applicable treaty or agreement to the tax authorities of the country in which the Non-U.S. Holder resides or is established. Non-U.S. Holders should consult their tax advisors regarding the possibility of and procedure for obtaining a refund or a credit against their U.S. federal income tax liability, if any.</w:t>
      </w:r>
    </w:p>
    <w:p>
      <w:pPr>
        <w:spacing w:after="0" w:line="93"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Withholding Tax on Payments Made to Foreign Accounts</w:t>
      </w:r>
    </w:p>
    <w:p>
      <w:pPr>
        <w:spacing w:after="0" w:line="129"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w:t>
      </w:r>
    </w:p>
    <w:p>
      <w:pPr>
        <w:ind w:left="120" w:right="420" w:hanging="4"/>
        <w:spacing w:after="0" w:line="242" w:lineRule="auto"/>
        <w:tabs>
          <w:tab w:leader="none" w:pos="3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98"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Under proposed Treasury Regulations, FATCA withholding on payments of gross proceeds has been eliminated. Taxpayers generally may rely on these proposed Treasury Regulations until final Treasury Regulations are issued.</w:t>
      </w:r>
    </w:p>
    <w:p>
      <w:pPr>
        <w:spacing w:after="0" w:line="86"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86"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U.S. FEDERAL, STATE, AND LOCAL AND NON-U.S. INCOME AND NON-INCOME TAX CONSEQUENCES OF THE PURCHASE, OWNERSHIP, AND DISPOSITION OF OUR COMMON STOCK IN THEIR PARTICULAR CIRCUMSTANCES, INCLUDING INFORMATION REPORTING REQUIREMENTS, THE IMPACT OF ANY APPLICABLE TAX TREATIES, AND THE IMPACT OF ANY POTENTIAL CHANGE IN APPLICABLE LAW.</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UNDERWRITING</w:t>
      </w:r>
    </w:p>
    <w:p>
      <w:pPr>
        <w:spacing w:after="0" w:line="154"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We are offering the securities described in this prospectus supplement through a number of underwriters. J.P. Morgan Securities LLC and Guggenheim Securities, LLC are acting as joint book-running managers of the offering and as representatives of the underwriters. We have entered into an underwriting agreement with the representatives.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and pre-funded warrants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Underwriters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Number of</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1905</wp:posOffset>
            </wp:positionV>
            <wp:extent cx="69951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Pre-Funded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11" w:lineRule="exact"/>
        <w:rPr>
          <w:sz w:val="20"/>
          <w:szCs w:val="20"/>
          <w:color w:val="auto"/>
        </w:rPr>
      </w:pPr>
    </w:p>
    <w:p>
      <w:pPr>
        <w:sectPr>
          <w:pgSz w:w="11900" w:h="16838" w:orient="portrait"/>
          <w:cols w:equalWidth="0" w:num="3">
            <w:col w:w="7680" w:space="720"/>
            <w:col w:w="1060" w:space="720"/>
            <w:col w:w="920"/>
          </w:cols>
          <w:pgMar w:left="320" w:top="455" w:right="47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J.P. Morgan Securities LLC</w:t>
      </w:r>
    </w:p>
    <w:p>
      <w:pPr>
        <w:ind w:left="120"/>
        <w:spacing w:after="0"/>
        <w:rPr>
          <w:sz w:val="20"/>
          <w:szCs w:val="20"/>
          <w:color w:val="auto"/>
        </w:rPr>
      </w:pPr>
      <w:r>
        <w:rPr>
          <w:rFonts w:ascii="Arial" w:cs="Arial" w:eastAsia="Arial" w:hAnsi="Arial"/>
          <w:sz w:val="18"/>
          <w:szCs w:val="18"/>
          <w:color w:val="auto"/>
        </w:rPr>
        <w:t>Guggenheim Securities, LLC</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51"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The underwriters are committed to purchase all the securities offered by us if they purchase any securities. The underwriting agreement also provides that if an underwriter defaults, the purchase commitments of non-defaulting underwriters may also be increased or the offering may be terminated.</w:t>
      </w:r>
    </w:p>
    <w:p>
      <w:pPr>
        <w:spacing w:after="0" w:line="101"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The underwriters propose to offer the securities directly to the public at the respective public offering prices set forth on the cover page of this prospectus supplement and to certain dealers at that price less a concession not in excess of $        per share of common stock or pre-funded warrant. After the offering of the securities to the public, if all of the securities are not sold at the respective public offering prices, the underwriters may change the offering price and the other selling terms. Sales of any securities made outside of the United States may be made by affiliates of the underwriters.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Option to Purchase Additional Shares</w:t>
      </w:r>
    </w:p>
    <w:p>
      <w:pPr>
        <w:spacing w:after="0" w:line="14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underwriters have an option to buy up to         additional shares of common stock from us to cover sales of shares by the underwriters.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Commissions and Expenses</w:t>
      </w:r>
    </w:p>
    <w:p>
      <w:pPr>
        <w:spacing w:after="0" w:line="148"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The underwriting fee is equal to the public offering price per share of common stock (or pre-funded warrant) less the amount paid by the underwriters to us per share of common stock (or pre-funded warrant). The underwriting fee is $        per share or pre-funded warrant. The following table shows the per share and pre-funded warrant and total underwriting discounts and commissions to be paid to the underwriters assuming both no exercise and full exercise of the underwriters’ option to purchase additional shares.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00"/>
          </w:cols>
          <w:pgMar w:left="320" w:top="455" w:right="4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60" w:type="dxa"/>
            <w:vAlign w:val="bottom"/>
            <w:gridSpan w:val="5"/>
          </w:tcPr>
          <w:p>
            <w:pPr>
              <w:spacing w:after="0"/>
              <w:rPr>
                <w:sz w:val="20"/>
                <w:szCs w:val="20"/>
                <w:color w:val="auto"/>
              </w:rPr>
            </w:pPr>
            <w:r>
              <w:rPr>
                <w:rFonts w:ascii="Arial" w:cs="Arial" w:eastAsia="Arial" w:hAnsi="Arial"/>
                <w:sz w:val="16"/>
                <w:szCs w:val="16"/>
                <w:b w:val="1"/>
                <w:bCs w:val="1"/>
                <w:color w:val="auto"/>
              </w:rPr>
              <w:t>Without option to</w:t>
            </w:r>
          </w:p>
        </w:tc>
        <w:tc>
          <w:tcPr>
            <w:tcW w:w="1600" w:type="dxa"/>
            <w:vAlign w:val="bottom"/>
            <w:gridSpan w:val="5"/>
          </w:tcPr>
          <w:p>
            <w:pPr>
              <w:spacing w:after="0"/>
              <w:rPr>
                <w:sz w:val="20"/>
                <w:szCs w:val="20"/>
                <w:color w:val="auto"/>
              </w:rPr>
            </w:pPr>
            <w:r>
              <w:rPr>
                <w:rFonts w:ascii="Arial" w:cs="Arial" w:eastAsia="Arial" w:hAnsi="Arial"/>
                <w:sz w:val="16"/>
                <w:szCs w:val="16"/>
                <w:b w:val="1"/>
                <w:bCs w:val="1"/>
                <w:color w:val="auto"/>
              </w:rPr>
              <w:t>With full option to</w:t>
            </w:r>
          </w:p>
        </w:tc>
      </w:tr>
      <w:tr>
        <w:trPr>
          <w:trHeight w:val="189"/>
        </w:trPr>
        <w:tc>
          <w:tcPr>
            <w:tcW w:w="5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60" w:type="dxa"/>
            <w:vAlign w:val="bottom"/>
            <w:gridSpan w:val="5"/>
          </w:tcPr>
          <w:p>
            <w:pPr>
              <w:spacing w:after="0"/>
              <w:rPr>
                <w:sz w:val="20"/>
                <w:szCs w:val="20"/>
                <w:color w:val="auto"/>
              </w:rPr>
            </w:pPr>
            <w:r>
              <w:rPr>
                <w:rFonts w:ascii="Arial" w:cs="Arial" w:eastAsia="Arial" w:hAnsi="Arial"/>
                <w:sz w:val="16"/>
                <w:szCs w:val="16"/>
                <w:b w:val="1"/>
                <w:bCs w:val="1"/>
                <w:color w:val="auto"/>
              </w:rPr>
              <w:t>purchase additional</w:t>
            </w:r>
          </w:p>
        </w:tc>
        <w:tc>
          <w:tcPr>
            <w:tcW w:w="1600" w:type="dxa"/>
            <w:vAlign w:val="bottom"/>
            <w:gridSpan w:val="5"/>
          </w:tcPr>
          <w:p>
            <w:pPr>
              <w:spacing w:after="0"/>
              <w:rPr>
                <w:sz w:val="20"/>
                <w:szCs w:val="20"/>
                <w:color w:val="auto"/>
              </w:rPr>
            </w:pPr>
            <w:r>
              <w:rPr>
                <w:rFonts w:ascii="Arial" w:cs="Arial" w:eastAsia="Arial" w:hAnsi="Arial"/>
                <w:sz w:val="16"/>
                <w:szCs w:val="16"/>
                <w:b w:val="1"/>
                <w:bCs w:val="1"/>
                <w:color w:val="auto"/>
              </w:rPr>
              <w:t>purchase additional</w:t>
            </w:r>
          </w:p>
        </w:tc>
      </w:tr>
      <w:tr>
        <w:trPr>
          <w:trHeight w:val="203"/>
        </w:trPr>
        <w:tc>
          <w:tcPr>
            <w:tcW w:w="5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shares exercise</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shares exercise</w:t>
            </w: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96"/>
        </w:trPr>
        <w:tc>
          <w:tcPr>
            <w:tcW w:w="6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420"/>
              <w:spacing w:after="0"/>
              <w:rPr>
                <w:sz w:val="20"/>
                <w:szCs w:val="20"/>
                <w:color w:val="auto"/>
              </w:rPr>
            </w:pPr>
            <w:r>
              <w:rPr>
                <w:rFonts w:ascii="Arial" w:cs="Arial" w:eastAsia="Arial" w:hAnsi="Arial"/>
                <w:sz w:val="13"/>
                <w:szCs w:val="13"/>
                <w:color w:val="auto"/>
                <w:w w:val="76"/>
              </w:rPr>
              <w:t> </w:t>
            </w:r>
          </w:p>
        </w:tc>
        <w:tc>
          <w:tcPr>
            <w:tcW w:w="200" w:type="dxa"/>
            <w:vAlign w:val="bottom"/>
            <w:shd w:val="clear" w:color="auto" w:fill="CCEEFF"/>
          </w:tcPr>
          <w:p>
            <w:pPr>
              <w:ind w:left="60"/>
              <w:spacing w:after="0"/>
              <w:rPr>
                <w:sz w:val="20"/>
                <w:szCs w:val="20"/>
                <w:color w:val="auto"/>
              </w:rPr>
            </w:pPr>
            <w:r>
              <w:rPr>
                <w:rFonts w:ascii="Arial" w:cs="Arial" w:eastAsia="Arial" w:hAnsi="Arial"/>
                <w:sz w:val="17"/>
                <w:szCs w:val="17"/>
                <w:color w:val="auto"/>
                <w:w w:val="70"/>
              </w:rPr>
              <w:t> </w:t>
            </w:r>
          </w:p>
        </w:tc>
        <w:tc>
          <w:tcPr>
            <w:tcW w:w="130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420"/>
              <w:spacing w:after="0"/>
              <w:rPr>
                <w:sz w:val="20"/>
                <w:szCs w:val="20"/>
                <w:color w:val="auto"/>
              </w:rPr>
            </w:pPr>
            <w:r>
              <w:rPr>
                <w:rFonts w:ascii="Arial" w:cs="Arial" w:eastAsia="Arial" w:hAnsi="Arial"/>
                <w:sz w:val="13"/>
                <w:szCs w:val="13"/>
                <w:color w:val="auto"/>
                <w:w w:val="76"/>
              </w:rPr>
              <w:t> </w:t>
            </w:r>
          </w:p>
        </w:tc>
        <w:tc>
          <w:tcPr>
            <w:tcW w:w="200" w:type="dxa"/>
            <w:vAlign w:val="bottom"/>
            <w:shd w:val="clear" w:color="auto" w:fill="CCEEFF"/>
          </w:tcPr>
          <w:p>
            <w:pPr>
              <w:ind w:left="60"/>
              <w:spacing w:after="0"/>
              <w:rPr>
                <w:sz w:val="20"/>
                <w:szCs w:val="20"/>
                <w:color w:val="auto"/>
              </w:rPr>
            </w:pPr>
            <w:r>
              <w:rPr>
                <w:rFonts w:ascii="Arial" w:cs="Arial" w:eastAsia="Arial" w:hAnsi="Arial"/>
                <w:sz w:val="17"/>
                <w:szCs w:val="17"/>
                <w:color w:val="auto"/>
                <w:w w:val="70"/>
              </w:rPr>
              <w:t> </w:t>
            </w:r>
          </w:p>
        </w:tc>
        <w:tc>
          <w:tcPr>
            <w:tcW w:w="34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 </w:t>
            </w:r>
          </w:p>
        </w:tc>
      </w:tr>
      <w:tr>
        <w:trPr>
          <w:trHeight w:val="203"/>
        </w:trPr>
        <w:tc>
          <w:tcPr>
            <w:tcW w:w="6860" w:type="dxa"/>
            <w:vAlign w:val="bottom"/>
            <w:gridSpan w:val="2"/>
          </w:tcPr>
          <w:p>
            <w:pPr>
              <w:spacing w:after="0" w:line="202" w:lineRule="exact"/>
              <w:rPr>
                <w:sz w:val="20"/>
                <w:szCs w:val="20"/>
                <w:color w:val="auto"/>
              </w:rPr>
            </w:pPr>
            <w:r>
              <w:rPr>
                <w:rFonts w:ascii="Arial" w:cs="Arial" w:eastAsia="Arial" w:hAnsi="Arial"/>
                <w:sz w:val="18"/>
                <w:szCs w:val="18"/>
                <w:color w:val="auto"/>
              </w:rPr>
              <w:t>Per Pre-Funded Warrant</w:t>
            </w:r>
          </w:p>
        </w:tc>
        <w:tc>
          <w:tcPr>
            <w:tcW w:w="5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ind w:left="420"/>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13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 </w:t>
            </w:r>
          </w:p>
        </w:tc>
        <w:tc>
          <w:tcPr>
            <w:tcW w:w="5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ind w:left="420"/>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3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 </w:t>
            </w:r>
          </w:p>
        </w:tc>
      </w:tr>
      <w:tr>
        <w:trPr>
          <w:trHeight w:val="216"/>
        </w:trPr>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w w:val="76"/>
              </w:rPr>
              <w:t> </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w w:val="70"/>
              </w:rPr>
              <w:t> </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w w:val="76"/>
              </w:rPr>
              <w:t> </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w w:val="70"/>
              </w:rPr>
              <w:t> </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8"/>
                <w:szCs w:val="18"/>
                <w:color w:val="auto"/>
              </w:rPr>
            </w:pPr>
          </w:p>
        </w:tc>
      </w:tr>
    </w:tbl>
    <w:p>
      <w:pPr>
        <w:spacing w:after="0" w:line="116"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        .</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Electronic Distribution</w:t>
      </w:r>
    </w:p>
    <w:p>
      <w:pPr>
        <w:spacing w:after="0" w:line="135"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A prospectus supplement and accompanying prospectus in electronic format may be made available on the web sites maintained by one or more underwriters, or selling group members, if any, participating in the offering. The underwriters may agree to allocate a number of securities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 Sales of Similar Securities</w:t>
      </w:r>
    </w:p>
    <w:p>
      <w:pPr>
        <w:spacing w:after="0" w:line="135" w:lineRule="exact"/>
        <w:rPr>
          <w:sz w:val="20"/>
          <w:szCs w:val="20"/>
          <w:color w:val="auto"/>
        </w:rPr>
      </w:pPr>
    </w:p>
    <w:p>
      <w:pPr>
        <w:ind w:left="120" w:right="560"/>
        <w:spacing w:after="0" w:line="253" w:lineRule="auto"/>
        <w:rPr>
          <w:sz w:val="20"/>
          <w:szCs w:val="20"/>
          <w:color w:val="auto"/>
        </w:rPr>
      </w:pPr>
      <w:r>
        <w:rPr>
          <w:rFonts w:ascii="Arial" w:cs="Arial" w:eastAsia="Arial" w:hAnsi="Arial"/>
          <w:sz w:val="18"/>
          <w:szCs w:val="18"/>
          <w:color w:val="auto"/>
        </w:rPr>
        <w:t>We have agreed not to sell or transfer any of our common stock or securities convertible into or exchangeable or exercisable for our common stock, for 60 days after the date of this prospectus supplement without first obtaining the written consent of J.P. Morgan Securities LLC and Guggenheim Securities, LLC on behalf of the underwriters.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Specifically, we have agreed, with certain limited exceptions, not to directly or indirectly:</w:t>
      </w:r>
    </w:p>
    <w:p>
      <w:pPr>
        <w:spacing w:after="0" w:line="144" w:lineRule="exact"/>
        <w:rPr>
          <w:sz w:val="20"/>
          <w:szCs w:val="20"/>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offer to sell, contract to sell or lend any of our common stock;</w:t>
      </w:r>
    </w:p>
    <w:p>
      <w:pPr>
        <w:spacing w:after="0" w:line="144" w:lineRule="exact"/>
        <w:rPr>
          <w:rFonts w:ascii="Arial" w:cs="Arial" w:eastAsia="Arial" w:hAnsi="Arial"/>
          <w:sz w:val="18"/>
          <w:szCs w:val="18"/>
          <w:color w:val="auto"/>
        </w:rPr>
      </w:pPr>
    </w:p>
    <w:p>
      <w:pPr>
        <w:ind w:left="340" w:right="180" w:hanging="224"/>
        <w:spacing w:after="0" w:line="271"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 any short sale, or establish or increase any put equivalent position or liquidate or decrease any call equivalent position of any of our common stock;</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pledge any of our common stock;</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way transfer or dispose of any of our common stock;</w:t>
      </w:r>
    </w:p>
    <w:p>
      <w:pPr>
        <w:spacing w:after="0" w:line="144" w:lineRule="exact"/>
        <w:rPr>
          <w:rFonts w:ascii="Arial" w:cs="Arial" w:eastAsia="Arial" w:hAnsi="Arial"/>
          <w:sz w:val="18"/>
          <w:szCs w:val="18"/>
          <w:color w:val="auto"/>
        </w:rPr>
      </w:pPr>
    </w:p>
    <w:p>
      <w:pPr>
        <w:ind w:left="340" w:right="560" w:hanging="224"/>
        <w:spacing w:after="0" w:line="271"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any swap, hedge or similar arrangement that transfers, in whole or in part, the economic risk of ownership of any of our common stock, regardless of whether any such transaction is to be settled in securities, in case or otherwise;</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 the offering of any common stock;</w:t>
      </w:r>
    </w:p>
    <w:p>
      <w:pPr>
        <w:spacing w:after="0" w:line="144" w:lineRule="exact"/>
        <w:rPr>
          <w:rFonts w:ascii="Arial" w:cs="Arial" w:eastAsia="Arial" w:hAnsi="Arial"/>
          <w:sz w:val="18"/>
          <w:szCs w:val="18"/>
          <w:color w:val="auto"/>
        </w:rPr>
      </w:pPr>
    </w:p>
    <w:p>
      <w:pPr>
        <w:ind w:left="340" w:right="260" w:hanging="224"/>
        <w:spacing w:after="0" w:line="271"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submit or file any registration statement under the Securities Act in respect of any common stock (other than as contemplated by this prospectus supplement);</w:t>
      </w:r>
    </w:p>
    <w:p>
      <w:pPr>
        <w:spacing w:after="0" w:line="86" w:lineRule="exact"/>
        <w:rPr>
          <w:rFonts w:ascii="Arial" w:cs="Arial" w:eastAsia="Arial" w:hAnsi="Arial"/>
          <w:sz w:val="18"/>
          <w:szCs w:val="18"/>
          <w:color w:val="auto"/>
        </w:rPr>
      </w:pPr>
    </w:p>
    <w:p>
      <w:pPr>
        <w:ind w:left="340" w:right="200" w:hanging="224"/>
        <w:spacing w:after="0" w:line="271"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 a reverse stock split, recapitalization, share consolidation, reclassification or similar transaction affecting the outstanding shares of common stock; or</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131" w:lineRule="exact"/>
        <w:rPr>
          <w:sz w:val="20"/>
          <w:szCs w:val="20"/>
          <w:color w:val="auto"/>
        </w:rPr>
      </w:pPr>
    </w:p>
    <w:p>
      <w:pPr>
        <w:ind w:left="120" w:right="840"/>
        <w:spacing w:after="0" w:line="271" w:lineRule="auto"/>
        <w:rPr>
          <w:sz w:val="20"/>
          <w:szCs w:val="20"/>
          <w:color w:val="auto"/>
        </w:rPr>
      </w:pPr>
      <w:r>
        <w:rPr>
          <w:rFonts w:ascii="Arial" w:cs="Arial" w:eastAsia="Arial" w:hAnsi="Arial"/>
          <w:sz w:val="18"/>
          <w:szCs w:val="18"/>
          <w:color w:val="auto"/>
        </w:rPr>
        <w:t>These lock-up provisions are subject to certain exceptions, including: that we may (i) effect the transactions contemplated by the underwriting agreement, (ii) issue shares of common stock upon the exercise of an option</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or warrant, the vesting of restricted stock units, performance stock units or deferred stock units or the conversion or exchange of a security outstanding on the date hereof as referred to in the base prospectus and this prospectus supplement, (iii) pursuant to our stock-based compensation plans as referred to in the registration statement of which this prospectus supplement forms a part, or pursuant to any qualifying inducement award under Nasdaq Listing Rule 5635(c)(4), (iv) issue shares of common stock or other securities issued in connection with a transaction with an unaffiliated third party that includes a bona fide commercial relationship (including joint ventures, marketing or distribution arrangements, collaboration agreements or intellectual property license agreements) or any acquisition of assets of not less than a majority or controlling portion of the equity of another entity, provided that the aggregate number of shares of common stock that we may sell or issue or agree to sell or issue shall not exceed 5% of the total number of shares of common stock issued and outstanding immediately following the issuance and sale of the common stock offered pursuant to the underwriting agreement, (v) file registration statements on Form S-8 or a successor form thereto relating to the shares of common stock granted pursuant to or reserved for issuance under our stock-based compensation plans referred to in clause (iii), (vi) assist any of our stockholders in the establishment of a trading plan by such stockholder pursuant to Rule 10b5-1 under the Exchange Act for the transfer of shares of common stock, provided that (1) such plan does not provide for the transfer of shares of common stock during the lock-up period, (2) to the extent a public announcement of filing under the Exchange Act, if any, is required by or behalf of the securityholders or us regarding the establishment of such plan, such announcement or filing shall include a statement to the effect that no transfers by the securityholders may be made under such plan during the lock-up period and (3) such plan is otherwise permitted to be implemented during the lock-up period pursuant to the terms of a lock-up agreement between such stockholder and the Underwriters in connection with the offering contemplated by the underwriting agreement and (vii) issue shares of common stock pursuant to the Sales Agreement, dated May 9, 2024, between the Company and Guggenheim Securities, LLC, as sales agent, or any replacement “at the market” offering program provided that (a) no such sales shall be made prior to the expiration of the underwriters’ option to purchase additional shares, unless the underwriters’ option has been fully exercised and all such shares have been issued, and (b) the most recent official closing price as reported on Nasdaq equals or exceeds the public offering price per share in this offering.</w:t>
      </w:r>
    </w:p>
    <w:p>
      <w:pPr>
        <w:spacing w:after="0" w:line="112" w:lineRule="exact"/>
        <w:rPr>
          <w:sz w:val="20"/>
          <w:szCs w:val="20"/>
          <w:color w:val="auto"/>
        </w:rPr>
      </w:pPr>
    </w:p>
    <w:p>
      <w:pPr>
        <w:ind w:left="120" w:right="100"/>
        <w:spacing w:after="0" w:line="301" w:lineRule="auto"/>
        <w:rPr>
          <w:sz w:val="20"/>
          <w:szCs w:val="20"/>
          <w:color w:val="auto"/>
        </w:rPr>
      </w:pPr>
      <w:r>
        <w:rPr>
          <w:rFonts w:ascii="Arial" w:cs="Arial" w:eastAsia="Arial" w:hAnsi="Arial"/>
          <w:sz w:val="17"/>
          <w:szCs w:val="17"/>
          <w:color w:val="auto"/>
        </w:rPr>
        <w:t>The lock-up provisions apply to our common stock and to securities convertible into or exchangeable or exercisable for or convertible into our common stock, or to acquire other securities or rights ultimately exchangeable or exercisable for, or convertible into, common stock.</w:t>
      </w:r>
    </w:p>
    <w:p>
      <w:pPr>
        <w:spacing w:after="0" w:line="63" w:lineRule="exact"/>
        <w:rPr>
          <w:sz w:val="20"/>
          <w:szCs w:val="20"/>
          <w:color w:val="auto"/>
        </w:rPr>
      </w:pPr>
    </w:p>
    <w:p>
      <w:pPr>
        <w:ind w:left="120" w:right="480"/>
        <w:spacing w:after="0" w:line="247" w:lineRule="auto"/>
        <w:rPr>
          <w:sz w:val="20"/>
          <w:szCs w:val="20"/>
          <w:color w:val="auto"/>
        </w:rPr>
      </w:pPr>
      <w:r>
        <w:rPr>
          <w:rFonts w:ascii="Arial" w:cs="Arial" w:eastAsia="Arial" w:hAnsi="Arial"/>
          <w:sz w:val="18"/>
          <w:szCs w:val="18"/>
          <w:color w:val="auto"/>
        </w:rPr>
        <w:t>Our executive officers and directors and certain of our other existing security holders have agreed not to sell or transfer any of our common stock or securities convertible into or exchangeable or exercisable for our common stock, for 90 days after the date of this prospectus supplement without first obtaining the written consent of J.P. Morgan Securities LLC and Guggenheim Securities, LLC on behalf of the underwriters.</w:t>
      </w:r>
    </w:p>
    <w:p>
      <w:pPr>
        <w:spacing w:after="0" w:line="106"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Specifically, our executive officers and directors and certain of our other existing security holders, with certain limited exceptions, not to directly or indirectly:</w:t>
      </w:r>
    </w:p>
    <w:p>
      <w:pPr>
        <w:spacing w:after="0" w:line="86" w:lineRule="exact"/>
        <w:rPr>
          <w:sz w:val="20"/>
          <w:szCs w:val="20"/>
          <w:color w:val="auto"/>
        </w:rPr>
      </w:pPr>
    </w:p>
    <w:p>
      <w:pPr>
        <w:ind w:left="340" w:right="540" w:hanging="224"/>
        <w:spacing w:after="0" w:line="27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offer, sell, agree to offer or sell, solicit offers to purchase, grant any call option or purchase any put option with respect to, pledge, borrow or otherwise dispose of, any of our common stock;</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or increase any put equivalent position or liquidate or decrease any call equivalent position with respect to any common stock;</w:t>
      </w:r>
    </w:p>
    <w:p>
      <w:pPr>
        <w:spacing w:after="0" w:line="144" w:lineRule="exact"/>
        <w:rPr>
          <w:rFonts w:ascii="Arial" w:cs="Arial" w:eastAsia="Arial" w:hAnsi="Arial"/>
          <w:sz w:val="18"/>
          <w:szCs w:val="18"/>
          <w:color w:val="auto"/>
        </w:rPr>
      </w:pPr>
    </w:p>
    <w:p>
      <w:pPr>
        <w:jc w:val="both"/>
        <w:ind w:left="340" w:right="200" w:hanging="224"/>
        <w:spacing w:after="0" w:line="25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otherwise enter into any swap, hedge, derivative or other transaction or arrangement that transfers to another, in whole or in part, any economic consequence of ownership of common stock, whether or not such transaction is to be settled by delivery of common stock, other securities, cash or other consideration; or</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These lock-up provisions are subject to certain exceptions, including: (i) the transfer of securities as bona fide gifts, by will or other testamentary document, or intestate succession, to family members, to a trust for the benefit of the securityholder or its family members, by operation of law, including to pursuant to a domestic order, divorce settlement, divorce decree, separation agreement or pursuant to an order of a court of competent jurisdiction enforcing such agreement, to a charitable trust or if the securityholder is a trust, to the beneficiary of such trust; (ii) transfers to us (A) as forfeitures to satisfy tax withholding obligations of the securityholder existing as of the date of this prospectus supplement in connection with the vesting or exercise of equity awards, (B) pursuant to a net exercise or cashless exercise (to satisfy exercise price or related withholding obligations) by the securityholder of outstanding equity awards existing as of the date of this prospectus supplement, provided that any shares of common stock acquired upon the net exercise or cashless exercise of equity awards described in this clause (ii)(B) shall be subject to the restrictions in the lock-up agreement, or (C) upon the death, disability or termination of an executive officer; (iii) distributions to limited partners, members or stockholders; (iv) transactions relating to securities acquired in the offering or in the open market after the closing of the offering; (v) the transfer pursuant to a bona fide third-party tender offer for all outstanding shares of our common stock, merger, consolidation or other similar transaction made to all holders of our securities involving a change of control (including, without limitation, the entering into of any lock-up, voting or similar agreement pursuant to which the securityholder may agree to transfer, sell, tender or otherwise dispose of securities in connection with such transaction, or vote any securities in favor of any transaction), provided that in the event that such tender offer, merger, consolidation or other such transaction is not completed, such securities held by the securityholder shall remain subject to the provisions of the lock-up agreement; (vi) the transfer to a corporation, limited liability company or partnership wholly owned by the securityholder and/or its family members or to the securityholder’s direct or indirect affiliates or to any investment fund or manager thereof or other entity controlled or under common control with the securityholder (including, for the avoidance of doubt, where the securityholder is a partnership, to its general partner or a successor partnership or fund or any other funds managed by such partnership); and (vii) in the case of one of our existing securityholders, pledges of securities as collateral pursuant to a bona fide margin loan (including any subsequent transfer upon foreclosure under any such pledge); provided that, in the case of transfers or distributions pursuant to clauses (i), (ii), (iii), (iv) or (vi), no public disclosure or filing is required or voluntarily made (other than in certain cases where reports under Section 13 or 16 of the Exchange Act may be permitted if the report clearly indicates in footnotes or otherwise discloses the nature of the transfer, as applicable); and provided further that, in the case of clauses (i), (iii), (vi) and (vii) (solely in the case of subsequent transfer upon foreclosure under any such pledge) that, each resulting transferee of securities agrees to be bound by the same lock-up restrictions.</w:t>
      </w:r>
    </w:p>
    <w:p>
      <w:pPr>
        <w:spacing w:after="0" w:line="108"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The lock-up provisions apply to our common stock and to securities convertible into or exchangeable or exercisable for our common stock or any such equity security. They also apply to our common stock owned now or acquired later by the person executing the lock-up agreement or for which the person executing the lock-up agreement later acquires the power of disposition.</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Listing</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“LRMR.”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Stabilization</w:t>
      </w:r>
    </w:p>
    <w:p>
      <w:pPr>
        <w:spacing w:after="0" w:line="135"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05"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09"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Activities and Relationships</w:t>
      </w:r>
    </w:p>
    <w:p>
      <w:pPr>
        <w:spacing w:after="0" w:line="148"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Selling Restrictions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in any jurisdiction in which such an offer or a solicitation is unlawful.</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13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the securities may be offered to the public in that Relevant State at any time:</w:t>
      </w:r>
    </w:p>
    <w:p>
      <w:pPr>
        <w:spacing w:after="0" w:line="109"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qualified investor as defined under Article 2 of the Prospectus Regulation;</w:t>
      </w:r>
    </w:p>
    <w:p>
      <w:pPr>
        <w:spacing w:after="0" w:line="144" w:lineRule="exact"/>
        <w:rPr>
          <w:rFonts w:ascii="Arial" w:cs="Arial" w:eastAsia="Arial" w:hAnsi="Arial"/>
          <w:sz w:val="18"/>
          <w:szCs w:val="18"/>
          <w:color w:val="auto"/>
        </w:rPr>
      </w:pPr>
    </w:p>
    <w:p>
      <w:pPr>
        <w:ind w:left="540" w:right="280" w:hanging="424"/>
        <w:spacing w:after="0" w:line="271"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Global Co-ordinator for any such offer; or</w:t>
      </w:r>
    </w:p>
    <w:p>
      <w:pPr>
        <w:spacing w:after="0" w:line="86" w:lineRule="exact"/>
        <w:rPr>
          <w:rFonts w:ascii="Arial" w:cs="Arial" w:eastAsia="Arial" w:hAnsi="Arial"/>
          <w:sz w:val="18"/>
          <w:szCs w:val="18"/>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the securities shall require the Company or any manager to publish a prospectus pursuant to Article 3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Regulation, supplement a prospectus pursuant to Article 23 of the Prospectus Regulation or publish an Annex IX document pursuant to Article 1(4) of the Prospectus Regulation.</w:t>
      </w:r>
    </w:p>
    <w:p>
      <w:pPr>
        <w:spacing w:after="0" w:line="101"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the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35"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No securities have been offered or will be offered pursuant to the offering to the public in the United Kingdom except that the securities may be offered to the public in the United Kingdom at any time:</w:t>
      </w:r>
    </w:p>
    <w:p>
      <w:pPr>
        <w:spacing w:after="0" w:line="86" w:lineRule="exact"/>
        <w:rPr>
          <w:sz w:val="20"/>
          <w:szCs w:val="20"/>
          <w:color w:val="auto"/>
        </w:rPr>
      </w:pPr>
    </w:p>
    <w:p>
      <w:pPr>
        <w:ind w:left="540" w:hanging="424"/>
        <w:spacing w:after="0" w:line="24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w:t>
      </w:r>
    </w:p>
    <w:p>
      <w:pPr>
        <w:spacing w:after="0" w:line="106"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qualified investor as defined in paragraph 15 of Schedule 1 of the POATR;</w:t>
      </w:r>
    </w:p>
    <w:p>
      <w:pPr>
        <w:spacing w:after="0" w:line="144" w:lineRule="exact"/>
        <w:rPr>
          <w:rFonts w:ascii="Arial" w:cs="Arial" w:eastAsia="Arial" w:hAnsi="Arial"/>
          <w:sz w:val="18"/>
          <w:szCs w:val="18"/>
          <w:color w:val="auto"/>
        </w:rPr>
      </w:pPr>
    </w:p>
    <w:p>
      <w:pPr>
        <w:ind w:left="540" w:right="660" w:hanging="424"/>
        <w:spacing w:after="0" w:line="271"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150 persons (other than qualified investors as defined in paragraph 15 of Schedule 1 of the POATR), subject to obtaining the prior consent of the Global Co-ordinator for any such offer; or</w:t>
      </w:r>
    </w:p>
    <w:p>
      <w:pPr>
        <w:spacing w:after="0" w:line="86"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Part 1 of Schedule 1 of the POATR.</w:t>
      </w:r>
    </w:p>
    <w:p>
      <w:pPr>
        <w:spacing w:after="0" w:line="144"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the securities in the United Kingdom means the communication to any person which presents sufficient information on: (a) the securities to be offered; and (b) the terms on which they are to be offered, to enable an investor to decide to buy or subscribe for the securities and the expression “POATR” means the Public Offers and Admissions to Trading Regulations 2024.</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w:t>
      </w:r>
    </w:p>
    <w:p>
      <w:pPr>
        <w:spacing w:after="0" w:line="14" w:lineRule="exact"/>
        <w:rPr>
          <w:sz w:val="20"/>
          <w:szCs w:val="20"/>
          <w:color w:val="auto"/>
        </w:rPr>
      </w:pPr>
    </w:p>
    <w:p>
      <w:pPr>
        <w:ind w:left="5440" w:right="4880" w:hanging="5324"/>
        <w:spacing w:after="0" w:line="462" w:lineRule="auto"/>
        <w:tabs>
          <w:tab w:leader="none" w:pos="33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persons whose ordinary business is to buy or sell shares or debentures, S-35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whether as principal or agent; or (ii) to “professional investors” as defined in the Securities and Futures Ordinance (Cap. 571) of Hong Kong (the “SFO”) and any rules made under that Ordinance; or in other circumstances which do not result in the document being a “prospectus” as defined in the Companies Ordinance (Cap. 32) of Hong Kong (the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that is directed at, or the contents of which are likely to be accessed or read by, the public of Hong Kong (except if permitted under the securities laws of Hong Kong) other than with respect to securities that are or are intended to be disposed of only to persons outside Hong Kong or only to “professional investors” as defined in the SFO and any rules made under that Ordinance.</w:t>
      </w:r>
    </w:p>
    <w:p>
      <w:pPr>
        <w:spacing w:after="0" w:line="9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This prospectus supplement and the accompanying prospectus have not been registered with the Registrar of Companies in Hong Kong. Accordingly, this prospectus supplement and the accompanying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accompanying prospectus and that he is not acquiring, and has not been offered, any securities in circumstances that contravene any such restrictions.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35"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the “FIEL”) and the underwriters will not offer or sell any securities, directly or indirectly, in Japan or to, or for the benefit of, any resident of Japan (the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35"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This prospectus supplement and the accompanying prospectus have not been and will not be lodged or registered as a prospectus with the Monetary Authority of Singapore. Accordingly, this prospectus supplement and the accompanying prospectus and any other document or material in connection with the offer or sale, or invitation for subscription or purchase, of the securities offered hereby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that is:</w:t>
      </w:r>
    </w:p>
    <w:p>
      <w:pPr>
        <w:spacing w:after="0" w:line="144" w:lineRule="exact"/>
        <w:rPr>
          <w:sz w:val="20"/>
          <w:szCs w:val="20"/>
          <w:color w:val="auto"/>
        </w:rPr>
      </w:pPr>
    </w:p>
    <w:p>
      <w:pPr>
        <w:ind w:left="340" w:right="460" w:hanging="224"/>
        <w:spacing w:after="0" w:line="301"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3" w:lineRule="exact"/>
        <w:rPr>
          <w:rFonts w:ascii="Arial" w:cs="Arial" w:eastAsia="Arial" w:hAnsi="Arial"/>
          <w:sz w:val="17"/>
          <w:szCs w:val="17"/>
          <w:color w:val="auto"/>
        </w:rPr>
      </w:pPr>
    </w:p>
    <w:p>
      <w:pPr>
        <w:ind w:left="340" w:right="220" w:hanging="224"/>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right="60"/>
        <w:spacing w:after="0" w:line="253" w:lineRule="auto"/>
        <w:rPr>
          <w:sz w:val="20"/>
          <w:szCs w:val="20"/>
          <w:color w:val="auto"/>
        </w:rPr>
      </w:pPr>
      <w:r>
        <w:rPr>
          <w:rFonts w:ascii="Arial" w:cs="Arial" w:eastAsia="Arial" w:hAnsi="Arial"/>
          <w:sz w:val="18"/>
          <w:szCs w:val="18"/>
          <w:color w:val="auto"/>
        </w:rPr>
        <w:t>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01" w:lineRule="exact"/>
        <w:rPr>
          <w:sz w:val="20"/>
          <w:szCs w:val="20"/>
          <w:color w:val="auto"/>
        </w:rPr>
      </w:pPr>
    </w:p>
    <w:p>
      <w:pPr>
        <w:ind w:left="340" w:right="20" w:hanging="224"/>
        <w:spacing w:after="0" w:line="27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institutional investor or to a relevant person defined in Section 275(2) of the SFA, or to any person arising from an offer referred to in Section 275(1A) or Section 276(4)(i)(B) of the SFA;</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44" w:lineRule="exact"/>
        <w:rPr>
          <w:rFonts w:ascii="Arial" w:cs="Arial" w:eastAsia="Arial" w:hAnsi="Arial"/>
          <w:sz w:val="18"/>
          <w:szCs w:val="18"/>
          <w:color w:val="auto"/>
        </w:rPr>
      </w:pPr>
    </w:p>
    <w:p>
      <w:pPr>
        <w:ind w:left="340" w:right="520" w:hanging="224"/>
        <w:spacing w:after="0" w:line="27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2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offering of the securities in Canada is being made only in the provinces of Ontario, Quebec, Alberta and British Columbia on a private placement basis exempt from the requirement that the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29"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By purchasing the securities in Canada and accepting delivery of a purchase confirmation, a purchaser is representing to us and the dealer from whom the purchase confirmation is received that:</w:t>
      </w:r>
    </w:p>
    <w:p>
      <w:pPr>
        <w:spacing w:after="0" w:line="86" w:lineRule="exact"/>
        <w:rPr>
          <w:sz w:val="20"/>
          <w:szCs w:val="20"/>
          <w:color w:val="auto"/>
        </w:rPr>
      </w:pPr>
    </w:p>
    <w:p>
      <w:pPr>
        <w:ind w:left="340" w:right="560" w:hanging="224"/>
        <w:spacing w:after="0" w:line="25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the securities without the benefit of a prospectus qualified under those securities laws, as it is an “accredited investor” as defined under National Instrument 45-106-Prospectus Exemptions;</w:t>
      </w:r>
    </w:p>
    <w:p>
      <w:pPr>
        <w:spacing w:after="0" w:line="101" w:lineRule="exact"/>
        <w:rPr>
          <w:rFonts w:ascii="Arial" w:cs="Arial" w:eastAsia="Arial" w:hAnsi="Arial"/>
          <w:sz w:val="18"/>
          <w:szCs w:val="18"/>
          <w:color w:val="auto"/>
        </w:rPr>
      </w:pPr>
    </w:p>
    <w:p>
      <w:pPr>
        <w:ind w:left="340" w:right="20" w:hanging="224"/>
        <w:spacing w:after="0" w:line="27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purchaser is a “permitted client” as defined under National Instrument 31-103-Registration Requirements, Exemptions and Ongoing Registrant Obligations;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42"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Canadian purchasers are hereby notified that the underwriters relying on the exemption set out in section 3A.3 or 3A.4, if applicable, of National Instrument 33-105-</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to not provide certain conflict of interest disclosures in this document.</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42"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42"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42" w:lineRule="exact"/>
        <w:rPr>
          <w:sz w:val="20"/>
          <w:szCs w:val="20"/>
          <w:color w:val="auto"/>
        </w:rPr>
      </w:pPr>
    </w:p>
    <w:p>
      <w:pPr>
        <w:ind w:left="120" w:right="500"/>
        <w:spacing w:after="0" w:line="253" w:lineRule="auto"/>
        <w:rPr>
          <w:sz w:val="20"/>
          <w:szCs w:val="20"/>
          <w:color w:val="auto"/>
        </w:rPr>
      </w:pPr>
      <w:r>
        <w:rPr>
          <w:rFonts w:ascii="Arial" w:cs="Arial" w:eastAsia="Arial" w:hAnsi="Arial"/>
          <w:sz w:val="18"/>
          <w:szCs w:val="18"/>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Australia</w:t>
      </w:r>
    </w:p>
    <w:p>
      <w:pPr>
        <w:spacing w:after="0" w:line="135"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This prospectus supplement and the accompanying prospectus is not a disclosure document for the purposes of Australia’s Corporations Act 2001 (Cth) of Australia (the “Corporations Act”), has not been lodged with the Australian Securities and Investments Commission and is only directed to the categories of exempt persons set out below. Accordingly, if you receive this prospectus supplement and the accompanying prospectus in Australia, you confirm and warrant that you are either:</w:t>
      </w:r>
    </w:p>
    <w:p>
      <w:pPr>
        <w:spacing w:after="0" w:line="106" w:lineRule="exact"/>
        <w:rPr>
          <w:sz w:val="20"/>
          <w:szCs w:val="20"/>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44" w:lineRule="exact"/>
        <w:rPr>
          <w:rFonts w:ascii="Arial" w:cs="Arial" w:eastAsia="Arial" w:hAnsi="Arial"/>
          <w:sz w:val="18"/>
          <w:szCs w:val="18"/>
          <w:color w:val="auto"/>
        </w:rPr>
      </w:pPr>
    </w:p>
    <w:p>
      <w:pPr>
        <w:jc w:val="both"/>
        <w:ind w:left="340" w:right="60" w:hanging="224"/>
        <w:spacing w:after="0" w:line="25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that complies with the requirements of Section 708(8)(c)(i) or (ii) of the Corporations Act and related regulations before the offer has been made;</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44" w:lineRule="exact"/>
        <w:rPr>
          <w:rFonts w:ascii="Arial" w:cs="Arial" w:eastAsia="Arial" w:hAnsi="Arial"/>
          <w:sz w:val="18"/>
          <w:szCs w:val="18"/>
          <w:color w:val="auto"/>
        </w:rPr>
      </w:pPr>
    </w:p>
    <w:p>
      <w:pPr>
        <w:jc w:val="both"/>
        <w:ind w:left="340" w:hanging="224"/>
        <w:spacing w:after="0" w:line="25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“professional investor” under Section 708(11)(a) or (b) of the Corporations Act. To the extent that you are unable to confirm or warrant that you are an exempt sophisticated investor, associated person or professional investor under the Corporations Act, any offer made to you under this prospectus supplement and the accompanying prospectus is void and incapable of acceptance.</w:t>
      </w:r>
    </w:p>
    <w:p>
      <w:pPr>
        <w:spacing w:after="0" w:line="10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Further, you warrant and agree that you will not offer any of the securities issued to you pursuant to this prospectus supplement and the accompanying prospectus for resale in Australia within 12 months of those securities being issued unless any such resale offer is exempt from the requirement to issue a disclosure document under Section 708 of the Corporations Act.</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Israel</w:t>
      </w:r>
    </w:p>
    <w:p>
      <w:pPr>
        <w:spacing w:after="0" w:line="148" w:lineRule="exact"/>
        <w:rPr>
          <w:sz w:val="20"/>
          <w:szCs w:val="20"/>
          <w:color w:val="auto"/>
        </w:rPr>
      </w:pPr>
    </w:p>
    <w:p>
      <w:pPr>
        <w:jc w:val="both"/>
        <w:ind w:left="120" w:right="220"/>
        <w:spacing w:after="0" w:line="247" w:lineRule="auto"/>
        <w:rPr>
          <w:sz w:val="20"/>
          <w:szCs w:val="20"/>
          <w:color w:val="auto"/>
        </w:rPr>
      </w:pPr>
      <w:r>
        <w:rPr>
          <w:rFonts w:ascii="Arial" w:cs="Arial" w:eastAsia="Arial" w:hAnsi="Arial"/>
          <w:sz w:val="18"/>
          <w:szCs w:val="18"/>
          <w:color w:val="auto"/>
        </w:rPr>
        <w:t>This document does not constitute a prospectus under the Israeli Securities Law, 5728-1968 (the “Israeli Securities Law”), and has not been filed with or approved by the Israel Securities Authority. In Israel, this prospectus supplement and the accompanying prospectus is being distributed only to, and is directed only at, and any offer of the securities offered hereby is directed only at: (i) a limited number of persons in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accordance with the Israeli Securities Law; and (ii) investors listed in the first addendum to the Israeli Securities Law, as it may be amended from time to time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the Addendum and agree to it.</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48" w:lineRule="exact"/>
        <w:rPr>
          <w:sz w:val="20"/>
          <w:szCs w:val="20"/>
          <w:color w:val="auto"/>
        </w:rPr>
      </w:pPr>
    </w:p>
    <w:p>
      <w:pPr>
        <w:ind w:left="120" w:right="40"/>
        <w:spacing w:after="0" w:line="259"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prospectus supplement and the accompanying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and the accompanying prospectus, nor any other offering or marketing material relating to the securities or the offering, may be publicly distributed or otherwise made publicly available in Switzerland.</w:t>
      </w:r>
    </w:p>
    <w:p>
      <w:pPr>
        <w:spacing w:after="0" w:line="84"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Neither this prospectus supplement and the accompanying prospectus, nor any other offering or marketing material relating to the offering, the Company or the securities offered hereby, have been or will be filed with or approved by any Swiss regulatory authority. In particular, this prospectus supplement and the accompanying prospectus will not be filed with, and the offer of securities will not be supervised by, the Swiss Financial Market Supervisory Authority FINMA, and the offer of securities has not been and will not be authorized under the Swiss Federal Act on Collective Investment Schemes (the “CISA”). The investor protection afforded to acquirers of interests in collective investment schemes under the CISA does not extend to acquirers of the securities offered hereby.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35"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The securities have not been, and are not being, publicly offered, sold, promoted or advertised in the United Arab Emirates (including the Dubai International Financial Centre (“DIFC”)) other than in compliance with the laws of the United Arab Emirates (and the DIFC) governing the issue, offering and sale of securities. Further, this prospectus supplement and the accompanying prospectus do not constitute a public offer of securities in the United Arab Emirates (including the DIFC) and is not intended to be a public offer. This prospectus supplement and the accompanying prospectus have not been approved by or filed with the Central Bank of the United Arab Emirates, the Securities and Commodities Authority, Financial Services Regulatory Authority or the Dubai Financial Services Authority.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Saudi Arabia</w:t>
      </w:r>
    </w:p>
    <w:p>
      <w:pPr>
        <w:spacing w:after="0" w:line="148" w:lineRule="exact"/>
        <w:rPr>
          <w:sz w:val="20"/>
          <w:szCs w:val="20"/>
          <w:color w:val="auto"/>
        </w:rPr>
      </w:pPr>
    </w:p>
    <w:p>
      <w:pPr>
        <w:ind w:left="120" w:right="100"/>
        <w:spacing w:after="0" w:line="261" w:lineRule="auto"/>
        <w:rPr>
          <w:sz w:val="20"/>
          <w:szCs w:val="20"/>
          <w:color w:val="auto"/>
        </w:rPr>
      </w:pPr>
      <w:r>
        <w:rPr>
          <w:rFonts w:ascii="Arial" w:cs="Arial" w:eastAsia="Arial" w:hAnsi="Arial"/>
          <w:sz w:val="17"/>
          <w:szCs w:val="17"/>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own due diligence on the accuracy of the information relating to the securities. If you do not understand the contents of this document, you should consult an authorized financial adviser.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Bermuda</w:t>
      </w:r>
    </w:p>
    <w:p>
      <w:pPr>
        <w:spacing w:after="0" w:line="148"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The 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British Virgin Islands</w:t>
      </w:r>
    </w:p>
    <w:p>
      <w:pPr>
        <w:spacing w:after="0" w:line="148"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The securities are not being, and may not be offered, to the public or to any person in the British Virgin Islands for purchase or subscription by or on behalf of the Issuer. The securities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Cayman Islands</w:t>
      </w:r>
    </w:p>
    <w:p>
      <w:pPr>
        <w:spacing w:after="0" w:line="135"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No invitation whether directly or indirectly may be made to the public in the Cayman Islands to subscribe for the securities and no such invitation is made hereby.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China</w:t>
      </w:r>
    </w:p>
    <w:p>
      <w:pPr>
        <w:spacing w:after="0" w:line="135"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This prospectus supplement will not be circulated or distributed in the PRC and the securities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Dubai International Financial Centre (“DIFC”)</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relates to an Exempt Offer in accordance with the Markets Law, DIFC Law No. 1 of 2012, as amended. This prospectus supplement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13"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Korea</w:t>
      </w:r>
    </w:p>
    <w:p>
      <w:pPr>
        <w:spacing w:after="0" w:line="135"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The securities have not been and will not be registered under the Financial Investments Services and Capital Markets Act of Korea and the decrees and regulations thereunder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Malaysia</w:t>
      </w:r>
    </w:p>
    <w:p>
      <w:pPr>
        <w:spacing w:after="0" w:line="135" w:lineRule="exact"/>
        <w:rPr>
          <w:sz w:val="20"/>
          <w:szCs w:val="20"/>
          <w:color w:val="auto"/>
        </w:rPr>
      </w:pPr>
    </w:p>
    <w:p>
      <w:pPr>
        <w:ind w:left="120" w:right="40"/>
        <w:spacing w:after="0" w:line="250" w:lineRule="auto"/>
        <w:rPr>
          <w:sz w:val="20"/>
          <w:szCs w:val="20"/>
          <w:color w:val="auto"/>
        </w:rPr>
      </w:pPr>
      <w:r>
        <w:rPr>
          <w:rFonts w:ascii="Arial" w:cs="Arial" w:eastAsia="Arial" w:hAnsi="Arial"/>
          <w:sz w:val="17"/>
          <w:szCs w:val="17"/>
          <w:color w:val="auto"/>
        </w:rPr>
        <w:t>No prospectus or other offering material or document in connection with the offer and sale of the securities has been or will be registered with the Securities Commission of Malaysia (“Commission”) for the Commission’s approval pursuant to the Capital Markets and Services Act 2007.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w:t>
      </w:r>
    </w:p>
    <w:p>
      <w:pPr>
        <w:spacing w:after="0" w:line="7" w:lineRule="exact"/>
        <w:rPr>
          <w:sz w:val="20"/>
          <w:szCs w:val="20"/>
          <w:color w:val="auto"/>
        </w:rPr>
      </w:pPr>
    </w:p>
    <w:p>
      <w:pPr>
        <w:ind w:left="120" w:hanging="4"/>
        <w:spacing w:after="0" w:line="236"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Licence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South Africa</w:t>
      </w:r>
    </w:p>
    <w:p>
      <w:pPr>
        <w:spacing w:after="0" w:line="135" w:lineRule="exact"/>
        <w:rPr>
          <w:sz w:val="20"/>
          <w:szCs w:val="20"/>
          <w:color w:val="auto"/>
        </w:rPr>
      </w:pPr>
    </w:p>
    <w:p>
      <w:pPr>
        <w:ind w:left="120" w:right="240"/>
        <w:spacing w:after="0" w:line="244" w:lineRule="auto"/>
        <w:rPr>
          <w:sz w:val="20"/>
          <w:szCs w:val="20"/>
          <w:color w:val="auto"/>
        </w:rPr>
      </w:pPr>
      <w:r>
        <w:rPr>
          <w:rFonts w:ascii="Arial" w:cs="Arial" w:eastAsia="Arial" w:hAnsi="Arial"/>
          <w:sz w:val="18"/>
          <w:szCs w:val="18"/>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securities in South Africa. Accordingly, this document does not, nor is it intended to, constitute a “registered prospectus” (as that term is defined in the South African Companies Act) prepared and registered under the South African Companies Act and has not been approved by,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and/or filed with, the South African Companies and Intellectual Property Commission or any other regulatory authority in South Africa. The securities are not offered, and the offer shall not be transferred, sold, renounced or delivered, in South Africa or to a person with an address in South Africa, unless one or other of the following exemptions stipulated in section 96 (1) applies:</w:t>
      </w:r>
    </w:p>
    <w:p>
      <w:pPr>
        <w:spacing w:after="0" w:line="101"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w:t>
      </w:r>
    </w:p>
    <w:p>
      <w:pPr>
        <w:spacing w:after="0" w:line="130" w:lineRule="exact"/>
        <w:rPr>
          <w:rFonts w:ascii="Arial" w:cs="Arial" w:eastAsia="Arial" w:hAnsi="Arial"/>
          <w:sz w:val="18"/>
          <w:szCs w:val="18"/>
          <w:color w:val="auto"/>
        </w:rPr>
      </w:pPr>
    </w:p>
    <w:p>
      <w:pPr>
        <w:ind w:left="760" w:hanging="204"/>
        <w:spacing w:after="0"/>
        <w:tabs>
          <w:tab w:leader="none" w:pos="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44" w:lineRule="exact"/>
        <w:rPr>
          <w:rFonts w:ascii="Arial" w:cs="Arial" w:eastAsia="Arial" w:hAnsi="Arial"/>
          <w:sz w:val="18"/>
          <w:szCs w:val="18"/>
          <w:color w:val="auto"/>
        </w:rPr>
      </w:pPr>
    </w:p>
    <w:p>
      <w:pPr>
        <w:ind w:left="800" w:hanging="244"/>
        <w:spacing w:after="0"/>
        <w:tabs>
          <w:tab w:leader="none" w:pos="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44" w:lineRule="exact"/>
        <w:rPr>
          <w:rFonts w:ascii="Arial" w:cs="Arial" w:eastAsia="Arial" w:hAnsi="Arial"/>
          <w:sz w:val="18"/>
          <w:szCs w:val="18"/>
          <w:color w:val="auto"/>
        </w:rPr>
      </w:pPr>
    </w:p>
    <w:p>
      <w:pPr>
        <w:ind w:left="840" w:hanging="284"/>
        <w:spacing w:after="0"/>
        <w:tabs>
          <w:tab w:leader="none" w:pos="8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30" w:lineRule="exact"/>
        <w:rPr>
          <w:rFonts w:ascii="Arial" w:cs="Arial" w:eastAsia="Arial" w:hAnsi="Arial"/>
          <w:sz w:val="18"/>
          <w:szCs w:val="18"/>
          <w:color w:val="auto"/>
        </w:rPr>
      </w:pPr>
    </w:p>
    <w:p>
      <w:pPr>
        <w:ind w:left="860" w:hanging="304"/>
        <w:spacing w:after="0"/>
        <w:tabs>
          <w:tab w:leader="none" w:pos="8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44" w:lineRule="exact"/>
        <w:rPr>
          <w:rFonts w:ascii="Arial" w:cs="Arial" w:eastAsia="Arial" w:hAnsi="Arial"/>
          <w:sz w:val="18"/>
          <w:szCs w:val="18"/>
          <w:color w:val="auto"/>
        </w:rPr>
      </w:pPr>
    </w:p>
    <w:p>
      <w:pPr>
        <w:ind w:left="820" w:hanging="264"/>
        <w:spacing w:after="0"/>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130" w:lineRule="exact"/>
        <w:rPr>
          <w:rFonts w:ascii="Arial" w:cs="Arial" w:eastAsia="Arial" w:hAnsi="Arial"/>
          <w:sz w:val="18"/>
          <w:szCs w:val="18"/>
          <w:color w:val="auto"/>
        </w:rPr>
      </w:pPr>
    </w:p>
    <w:p>
      <w:pPr>
        <w:jc w:val="both"/>
        <w:ind w:left="560" w:right="40" w:hanging="4"/>
        <w:spacing w:after="0" w:line="253" w:lineRule="auto"/>
        <w:tabs>
          <w:tab w:leader="none" w:pos="8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101" w:lineRule="exact"/>
        <w:rPr>
          <w:rFonts w:ascii="Arial" w:cs="Arial" w:eastAsia="Arial" w:hAnsi="Arial"/>
          <w:sz w:val="18"/>
          <w:szCs w:val="18"/>
          <w:color w:val="auto"/>
        </w:rPr>
      </w:pPr>
    </w:p>
    <w:p>
      <w:pPr>
        <w:ind w:left="900" w:hanging="344"/>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144" w:lineRule="exact"/>
        <w:rPr>
          <w:rFonts w:ascii="Arial" w:cs="Arial" w:eastAsia="Arial" w:hAnsi="Arial"/>
          <w:sz w:val="18"/>
          <w:szCs w:val="18"/>
          <w:color w:val="auto"/>
        </w:rPr>
      </w:pPr>
    </w:p>
    <w:p>
      <w:pPr>
        <w:jc w:val="both"/>
        <w:ind w:left="540" w:right="440" w:hanging="424"/>
        <w:spacing w:after="0" w:line="253"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01"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Information made available in this prospectus supplement should not be considered as “advice” as defined in the South African Financial Advisory and Intermediary Services Act, 2002.</w:t>
      </w:r>
    </w:p>
    <w:p>
      <w:pPr>
        <w:spacing w:after="0" w:line="73"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If Exchange Controls are applicable, add: No South African residents or offshore subsidiary of a South African resident may subscribe for or purchase any of the securities or beneficially own or hold any of the securities unless specific approval has been obtained from the financial surveillance department of the South African Reserve Bank (the “SARB”) by such persons or such subscription, purchase or beneficial holding or ownership is otherwise permitted under the South African Exchange Control Regulations or the rulings promulgated thereunder (including, without limitation, the rulings issued by the SARB providing for foreign investment allowances applicable to persons who are residents of South Africa under the applicable exchange control laws of South Africa).</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Taiwan</w:t>
      </w:r>
    </w:p>
    <w:p>
      <w:pPr>
        <w:spacing w:after="0" w:line="135"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LEGAL MATTERS</w:t>
      </w:r>
    </w:p>
    <w:p>
      <w:pPr>
        <w:spacing w:after="0" w:line="154"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The validity of the securities being offered in this prospectus supplement will be passed upon for us by Goodwin Procter LLP. Certain legal matters will be passed upon for the underwriters by Mintz, Levin, Cohn, Ferris, Glovsky and Popeo, P.C.</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EXPERTS</w:t>
      </w:r>
    </w:p>
    <w:p>
      <w:pPr>
        <w:spacing w:after="0" w:line="154"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The financial statements incorporated in this prospectus supplement by reference to the Annual Report on Form 10-K for the year ended December 31, 2024 have been so incorporated in reliance on the report (which contains an explanatory paragraph relating to the Company requiring additional financing to fund future operations as described in Note 1 to the financial statements) of PricewaterhouseCoopers LLP, an independent registered public accounting firm, given on the authority of said firm as experts in auditing and accounting.</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WHERE YOU CAN FIND MORE INFORMATION</w:t>
      </w:r>
    </w:p>
    <w:p>
      <w:pPr>
        <w:spacing w:after="0" w:line="154"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This prospectus supplement and the accompanying prospectus form part of a registration statement on Form S-3 filed with the SEC under the Securities Act. This prospectus supplement and the accompanying prospectus do not contain all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and accompanying prospectus, we refer you to the registration statement and the exhibits and schedules filed as a part of the registration statement and the documents incorporated by reference herein and therein.</w:t>
      </w:r>
    </w:p>
    <w:p>
      <w:pPr>
        <w:spacing w:after="0" w:line="11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We are currently subject to the reporting requirements of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 supplement or the accompanying prospectus.</w:t>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INCORPORATION OF CERTAIN INFORMATION BY REFERENCE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and the accompanying prospectus are part of a registration statement filed with the SEC. The SEC allows us to “incorporate by reference” into this prospectus supplement and the accompanying prospectus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w:t>
      </w:r>
    </w:p>
    <w:p>
      <w:pPr>
        <w:spacing w:after="0" w:line="113" w:lineRule="exact"/>
        <w:rPr>
          <w:sz w:val="20"/>
          <w:szCs w:val="20"/>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 filed with the SEC on March 24, 2025;</w:t>
      </w:r>
    </w:p>
    <w:p>
      <w:pPr>
        <w:spacing w:after="0" w:line="144" w:lineRule="exact"/>
        <w:rPr>
          <w:rFonts w:ascii="Arial" w:cs="Arial" w:eastAsia="Arial" w:hAnsi="Arial"/>
          <w:sz w:val="18"/>
          <w:szCs w:val="18"/>
          <w:color w:val="auto"/>
        </w:rPr>
      </w:pPr>
    </w:p>
    <w:p>
      <w:pPr>
        <w:ind w:left="340" w:right="300" w:hanging="224"/>
        <w:spacing w:after="0" w:line="27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March 31, 2025, June 30, 2025, and September 30, 2025, filed with the SEC on </w:t>
      </w:r>
      <w:hyperlink r:id="rId64">
        <w:r>
          <w:rPr>
            <w:rFonts w:ascii="Arial" w:cs="Arial" w:eastAsia="Arial" w:hAnsi="Arial"/>
            <w:sz w:val="18"/>
            <w:szCs w:val="18"/>
            <w:u w:val="single" w:color="auto"/>
            <w:color w:val="0000EE"/>
          </w:rPr>
          <w:t>April 30, 2025</w:t>
        </w:r>
      </w:hyperlink>
      <w:r>
        <w:rPr>
          <w:rFonts w:ascii="Arial" w:cs="Arial" w:eastAsia="Arial" w:hAnsi="Arial"/>
          <w:sz w:val="18"/>
          <w:szCs w:val="18"/>
          <w:color w:val="auto"/>
        </w:rPr>
        <w:t xml:space="preserve">, </w:t>
      </w:r>
      <w:hyperlink r:id="rId65">
        <w:r>
          <w:rPr>
            <w:rFonts w:ascii="Arial" w:cs="Arial" w:eastAsia="Arial" w:hAnsi="Arial"/>
            <w:sz w:val="18"/>
            <w:szCs w:val="18"/>
            <w:u w:val="single" w:color="auto"/>
            <w:color w:val="0000EE"/>
          </w:rPr>
          <w:t>August 14, 2025</w:t>
        </w:r>
      </w:hyperlink>
      <w:r>
        <w:rPr>
          <w:rFonts w:ascii="Arial" w:cs="Arial" w:eastAsia="Arial" w:hAnsi="Arial"/>
          <w:sz w:val="18"/>
          <w:szCs w:val="18"/>
          <w:color w:val="auto"/>
        </w:rPr>
        <w:t xml:space="preserve">, and </w:t>
      </w:r>
      <w:hyperlink r:id="rId66">
        <w:r>
          <w:rPr>
            <w:rFonts w:ascii="Arial" w:cs="Arial" w:eastAsia="Arial" w:hAnsi="Arial"/>
            <w:sz w:val="18"/>
            <w:szCs w:val="18"/>
            <w:u w:val="single" w:color="auto"/>
            <w:color w:val="0000EE"/>
          </w:rPr>
          <w:t>November 5, 2025</w:t>
        </w:r>
      </w:hyperlink>
      <w:r>
        <w:rPr>
          <w:rFonts w:ascii="Arial" w:cs="Arial" w:eastAsia="Arial" w:hAnsi="Arial"/>
          <w:sz w:val="18"/>
          <w:szCs w:val="18"/>
          <w:color w:val="auto"/>
        </w:rPr>
        <w:t>, respectively;</w:t>
      </w:r>
    </w:p>
    <w:p>
      <w:pPr>
        <w:spacing w:after="0" w:line="86"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right="380" w:hanging="224"/>
        <w:spacing w:after="0" w:line="27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2024 from our Definitive Proxy Statement on Schedule 14A, filed with the SEC on </w:t>
      </w:r>
      <w:hyperlink r:id="rId68">
        <w:r>
          <w:rPr>
            <w:rFonts w:ascii="Arial" w:cs="Arial" w:eastAsia="Arial" w:hAnsi="Arial"/>
            <w:sz w:val="18"/>
            <w:szCs w:val="18"/>
            <w:u w:val="single" w:color="auto"/>
            <w:color w:val="0000EE"/>
          </w:rPr>
          <w:t>April 11, 2025</w:t>
        </w:r>
      </w:hyperlink>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340" w:right="40" w:hanging="224"/>
        <w:spacing w:after="0" w:line="247" w:lineRule="auto"/>
        <w:tabs>
          <w:tab w:leader="none" w:pos="340" w:val="left"/>
        </w:tabs>
        <w:numPr>
          <w:ilvl w:val="0"/>
          <w:numId w:val="27"/>
        </w:numPr>
        <w:rPr>
          <w:rFonts w:ascii="Arial" w:cs="Arial" w:eastAsia="Arial" w:hAnsi="Arial"/>
          <w:sz w:val="18"/>
          <w:szCs w:val="18"/>
          <w:color w:val="0000EE"/>
        </w:rPr>
      </w:pPr>
      <w:hyperlink r:id="rId69">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10, 2025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27, 2025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24, 2025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5, 2025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13,</w:t>
        </w:r>
      </w:hyperlink>
      <w:r>
        <w:rPr>
          <w:rFonts w:ascii="Arial" w:cs="Arial" w:eastAsia="Arial" w:hAnsi="Arial"/>
          <w:sz w:val="18"/>
          <w:szCs w:val="18"/>
          <w:color w:val="auto"/>
        </w:rPr>
        <w:t xml:space="preserve"> </w:t>
      </w:r>
      <w:hyperlink r:id="rId70">
        <w:r>
          <w:rPr>
            <w:rFonts w:ascii="Arial" w:cs="Arial" w:eastAsia="Arial" w:hAnsi="Arial"/>
            <w:sz w:val="18"/>
            <w:szCs w:val="18"/>
            <w:u w:val="single" w:color="auto"/>
            <w:color w:val="0000EE"/>
          </w:rPr>
          <w:t>2025</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23, 2025</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23, 2025</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31, 2025</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August 14, 2025</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September 29, 2025</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October 14, 2025</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10,</w:t>
        </w:r>
      </w:hyperlink>
      <w:r>
        <w:rPr>
          <w:rFonts w:ascii="Arial" w:cs="Arial" w:eastAsia="Arial" w:hAnsi="Arial"/>
          <w:sz w:val="18"/>
          <w:szCs w:val="18"/>
          <w:color w:val="0000EE"/>
        </w:rPr>
        <w:t xml:space="preserve"> </w:t>
      </w:r>
      <w:hyperlink r:id="rId70">
        <w:r>
          <w:rPr>
            <w:rFonts w:ascii="Arial" w:cs="Arial" w:eastAsia="Arial" w:hAnsi="Arial"/>
            <w:sz w:val="18"/>
            <w:szCs w:val="18"/>
            <w:u w:val="single" w:color="auto"/>
            <w:color w:val="0000EE"/>
          </w:rPr>
          <w:t>2025</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71">
        <w:r>
          <w:rPr>
            <w:rFonts w:ascii="Arial" w:cs="Arial" w:eastAsia="Arial" w:hAnsi="Arial"/>
            <w:sz w:val="18"/>
            <w:szCs w:val="18"/>
            <w:u w:val="single" w:color="auto"/>
            <w:color w:val="0000EE"/>
          </w:rPr>
          <w:t>December 17, 2025</w:t>
        </w:r>
      </w:hyperlink>
      <w:hyperlink r:id="rId7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72">
        <w:r>
          <w:rPr>
            <w:rFonts w:ascii="Arial" w:cs="Arial" w:eastAsia="Arial" w:hAnsi="Arial"/>
            <w:sz w:val="18"/>
            <w:szCs w:val="18"/>
            <w:u w:val="single" w:color="auto"/>
            <w:color w:val="0000EE"/>
          </w:rPr>
          <w:t>January 12, 2026</w:t>
        </w:r>
      </w:hyperlink>
      <w:hyperlink r:id="rId7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73">
        <w:r>
          <w:rPr>
            <w:rFonts w:ascii="Arial" w:cs="Arial" w:eastAsia="Arial" w:hAnsi="Arial"/>
            <w:sz w:val="18"/>
            <w:szCs w:val="18"/>
            <w:u w:val="single" w:color="auto"/>
            <w:color w:val="0000EE"/>
          </w:rPr>
          <w:t xml:space="preserve">January 22, 2026 </w:t>
        </w:r>
      </w:hyperlink>
      <w:hyperlink r:id="rId70">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74">
        <w:r>
          <w:rPr>
            <w:rFonts w:ascii="Arial" w:cs="Arial" w:eastAsia="Arial" w:hAnsi="Arial"/>
            <w:sz w:val="18"/>
            <w:szCs w:val="18"/>
            <w:u w:val="single" w:color="auto"/>
            <w:color w:val="0000EE"/>
          </w:rPr>
          <w:t xml:space="preserve">February 24, 2026 </w:t>
        </w:r>
      </w:hyperlink>
      <w:hyperlink r:id="rId70">
        <w:r>
          <w:rPr>
            <w:rFonts w:ascii="Arial" w:cs="Arial" w:eastAsia="Arial" w:hAnsi="Arial"/>
            <w:sz w:val="18"/>
            <w:szCs w:val="18"/>
            <w:color w:val="000000"/>
          </w:rPr>
          <w:t xml:space="preserve">(in each case, other than any portions </w:t>
        </w:r>
      </w:hyperlink>
      <w:r>
        <w:rPr>
          <w:rFonts w:ascii="Arial" w:cs="Arial" w:eastAsia="Arial" w:hAnsi="Arial"/>
          <w:sz w:val="18"/>
          <w:szCs w:val="18"/>
          <w:color w:val="0000EE"/>
        </w:rPr>
        <w:t xml:space="preserve">thereof </w:t>
      </w:r>
      <w:r>
        <w:rPr>
          <w:rFonts w:ascii="Arial" w:cs="Arial" w:eastAsia="Arial" w:hAnsi="Arial"/>
          <w:sz w:val="18"/>
          <w:szCs w:val="18"/>
          <w:color w:val="000000"/>
        </w:rPr>
        <w:t>deemed furnished and not filed); and</w:t>
      </w:r>
    </w:p>
    <w:p>
      <w:pPr>
        <w:spacing w:after="0" w:line="106" w:lineRule="exact"/>
        <w:rPr>
          <w:rFonts w:ascii="Arial" w:cs="Arial" w:eastAsia="Arial" w:hAnsi="Arial"/>
          <w:sz w:val="18"/>
          <w:szCs w:val="18"/>
          <w:color w:val="0000EE"/>
        </w:rPr>
      </w:pPr>
    </w:p>
    <w:p>
      <w:pPr>
        <w:ind w:left="340" w:hanging="224"/>
        <w:spacing w:after="0" w:line="253" w:lineRule="auto"/>
        <w:tabs>
          <w:tab w:leader="none" w:pos="340" w:val="left"/>
        </w:tabs>
        <w:numPr>
          <w:ilvl w:val="0"/>
          <w:numId w:val="27"/>
        </w:numPr>
        <w:rPr>
          <w:rFonts w:ascii="Arial" w:cs="Arial" w:eastAsia="Arial" w:hAnsi="Arial"/>
          <w:sz w:val="18"/>
          <w:szCs w:val="18"/>
          <w:color w:val="0000EE"/>
        </w:rPr>
      </w:pPr>
      <w:r>
        <w:rPr>
          <w:rFonts w:ascii="Arial" w:cs="Arial" w:eastAsia="Arial" w:hAnsi="Arial"/>
          <w:sz w:val="18"/>
          <w:szCs w:val="18"/>
          <w:color w:val="auto"/>
        </w:rPr>
        <w:t xml:space="preserve">The description of our common stock contained in our registration statement on Form 8-A (File No. 001-36510), filed with the SEC on </w:t>
      </w:r>
      <w:hyperlink r:id="rId75">
        <w:r>
          <w:rPr>
            <w:rFonts w:ascii="Arial" w:cs="Arial" w:eastAsia="Arial" w:hAnsi="Arial"/>
            <w:sz w:val="18"/>
            <w:szCs w:val="18"/>
            <w:u w:val="single" w:color="auto"/>
            <w:color w:val="0000EE"/>
          </w:rPr>
          <w:t>June 18, 2014</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under the Exchange Act, including any amendment or report filed for the purpose of updating such description, including</w:t>
      </w:r>
      <w:r>
        <w:rPr>
          <w:rFonts w:ascii="Arial" w:cs="Arial" w:eastAsia="Arial" w:hAnsi="Arial"/>
          <w:sz w:val="18"/>
          <w:szCs w:val="18"/>
          <w:color w:val="0000EE"/>
        </w:rPr>
        <w:t xml:space="preserve"> </w:t>
      </w:r>
      <w:hyperlink r:id="rId76">
        <w:r>
          <w:rPr>
            <w:rFonts w:ascii="Arial" w:cs="Arial" w:eastAsia="Arial" w:hAnsi="Arial"/>
            <w:sz w:val="18"/>
            <w:szCs w:val="18"/>
            <w:u w:val="single" w:color="auto"/>
            <w:color w:val="0000EE"/>
          </w:rPr>
          <w:t>Exhibit 4.1</w:t>
        </w:r>
        <w:r>
          <w:rPr>
            <w:rFonts w:ascii="Arial" w:cs="Arial" w:eastAsia="Arial" w:hAnsi="Arial"/>
            <w:sz w:val="18"/>
            <w:szCs w:val="18"/>
            <w:color w:val="0000EE"/>
          </w:rPr>
          <w:t xml:space="preserve">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our Annual Report on Form 10-K for the year ended December 31, 2024.</w:t>
      </w:r>
    </w:p>
    <w:p>
      <w:pPr>
        <w:spacing w:after="0" w:line="88" w:lineRule="exact"/>
        <w:rPr>
          <w:rFonts w:ascii="Arial" w:cs="Arial" w:eastAsia="Arial" w:hAnsi="Arial"/>
          <w:sz w:val="18"/>
          <w:szCs w:val="18"/>
          <w:color w:val="auto"/>
        </w:rPr>
      </w:pPr>
    </w:p>
    <w:p>
      <w:pPr>
        <w:ind w:left="120" w:right="20"/>
        <w:spacing w:after="0" w:line="242" w:lineRule="auto"/>
        <w:rPr>
          <w:sz w:val="20"/>
          <w:szCs w:val="20"/>
          <w:color w:val="auto"/>
        </w:rPr>
      </w:pPr>
      <w:r>
        <w:rPr>
          <w:rFonts w:ascii="Arial" w:cs="Arial" w:eastAsia="Arial" w:hAnsi="Arial"/>
          <w:sz w:val="18"/>
          <w:szCs w:val="18"/>
          <w:color w:val="auto"/>
        </w:rPr>
        <w:t>In addition, all documents that we file with the SEC pursuant to Sections 13(a), 13(c), 14 or 15(d) of the Exchange Act after the date of this prospectus supplement and before the termination of the offering of our securities shall be deemed incorporated by reference into this prospectus supplement and accompanying prospectus and to be a part of this prospectus supplement and the accompanying prospectus from the respective dates of filing such documents. We are not, however, incorporating by reference any documents or portions thereof, whether specifically listed above or filed in the future, that are not deemed “filed” with the SEC, including any information furnished pursuant to items 2.02 or 7.01 of Form 8-K or related exhibits furnished pursuant to Item 9.01 of Form 8-K.</w:t>
      </w:r>
    </w:p>
    <w:p>
      <w:pPr>
        <w:spacing w:after="0" w:line="111" w:lineRule="exact"/>
        <w:rPr>
          <w:rFonts w:ascii="Arial" w:cs="Arial" w:eastAsia="Arial" w:hAnsi="Arial"/>
          <w:sz w:val="18"/>
          <w:szCs w:val="18"/>
          <w:color w:val="auto"/>
        </w:rPr>
      </w:pPr>
    </w:p>
    <w:p>
      <w:pPr>
        <w:ind w:left="120" w:right="60"/>
        <w:spacing w:after="0" w:line="242" w:lineRule="auto"/>
        <w:rPr>
          <w:sz w:val="20"/>
          <w:szCs w:val="20"/>
          <w:color w:val="auto"/>
        </w:rPr>
      </w:pPr>
      <w:r>
        <w:rPr>
          <w:rFonts w:ascii="Arial" w:cs="Arial" w:eastAsia="Arial" w:hAnsi="Arial"/>
          <w:sz w:val="18"/>
          <w:szCs w:val="18"/>
          <w:color w:val="auto"/>
        </w:rPr>
        <w:t>Any statement contained in a document incorporated by reference in this prospectus supplement and the accompanying prospectus shall be deemed to be modified or superseded for purposes of this prospectus supplement and the accompanying prospectus to the extent that a statement contained in this prospectus supplement or in any other subsequently filed document that also is or is deemed to be incorporated by reference in this prospectus supplement modifies or supersedes such statement. Any statement so modified or superseded shall not be deemed, except as so modified or superseded, to constitute a part of this prospectus supplement or the accompanying prospectus.</w:t>
      </w:r>
    </w:p>
    <w:p>
      <w:pPr>
        <w:spacing w:after="0" w:line="111" w:lineRule="exact"/>
        <w:rPr>
          <w:rFonts w:ascii="Arial" w:cs="Arial" w:eastAsia="Arial" w:hAnsi="Arial"/>
          <w:sz w:val="18"/>
          <w:szCs w:val="18"/>
          <w:color w:val="auto"/>
        </w:rPr>
      </w:pPr>
    </w:p>
    <w:p>
      <w:pPr>
        <w:ind w:left="120" w:right="120"/>
        <w:spacing w:after="0" w:line="275" w:lineRule="auto"/>
        <w:rPr>
          <w:sz w:val="20"/>
          <w:szCs w:val="20"/>
          <w:color w:val="auto"/>
        </w:rPr>
      </w:pPr>
      <w:r>
        <w:rPr>
          <w:rFonts w:ascii="Arial" w:cs="Arial" w:eastAsia="Arial" w:hAnsi="Arial"/>
          <w:sz w:val="17"/>
          <w:szCs w:val="17"/>
          <w:color w:val="auto"/>
        </w:rPr>
        <w:t>You may obtain copies of any of these filings by contacting us at the address and telephone number indicated below. Documents incorporated by reference are available from us without charge, excluding all exhibits unless an exhibit has been specifically incorporated by reference into this prospectus supplement and the accompanying prospectus, by requesting them in writing or by telephone at:</w:t>
      </w:r>
    </w:p>
    <w:p>
      <w:pPr>
        <w:spacing w:after="0" w:line="71"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Larimar Therapeutics, Inc.</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Three Bala Plaza East, Suite 506</w:t>
      </w:r>
    </w:p>
    <w:p>
      <w:pPr>
        <w:jc w:val="center"/>
        <w:ind w:right="-139"/>
        <w:spacing w:after="0" w:line="234" w:lineRule="auto"/>
        <w:rPr>
          <w:sz w:val="20"/>
          <w:szCs w:val="20"/>
          <w:color w:val="auto"/>
        </w:rPr>
      </w:pPr>
      <w:r>
        <w:rPr>
          <w:rFonts w:ascii="Arial" w:cs="Arial" w:eastAsia="Arial" w:hAnsi="Arial"/>
          <w:sz w:val="18"/>
          <w:szCs w:val="18"/>
          <w:color w:val="auto"/>
        </w:rPr>
        <w:t>Bala Cynwyd, PA 19004</w:t>
      </w:r>
    </w:p>
    <w:p>
      <w:pPr>
        <w:ind w:left="5480" w:hanging="465"/>
        <w:spacing w:after="0" w:line="235" w:lineRule="auto"/>
        <w:tabs>
          <w:tab w:leader="none" w:pos="5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511-9056</w:t>
      </w:r>
    </w:p>
    <w:p>
      <w:pPr>
        <w:ind w:left="4340"/>
        <w:spacing w:after="0"/>
        <w:rPr>
          <w:rFonts w:ascii="Arial" w:cs="Arial" w:eastAsia="Arial" w:hAnsi="Arial"/>
          <w:sz w:val="18"/>
          <w:szCs w:val="18"/>
          <w:color w:val="auto"/>
        </w:rPr>
      </w:pPr>
      <w:r>
        <w:rPr>
          <w:rFonts w:ascii="Arial" w:cs="Arial" w:eastAsia="Arial" w:hAnsi="Arial"/>
          <w:sz w:val="18"/>
          <w:szCs w:val="18"/>
          <w:color w:val="auto"/>
        </w:rPr>
        <w:t>Attention: Chief Financial Officer</w:t>
      </w:r>
    </w:p>
    <w:p>
      <w:pPr>
        <w:spacing w:after="0" w:line="126"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182245</wp:posOffset>
            </wp:positionV>
            <wp:extent cx="2571750" cy="10198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257175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may offer and sell up to $300,000,000 in the aggregate of the securities identified above from time to time in one or more offerings. This prospectus provides you with a general description of the securities.</w:t>
      </w:r>
    </w:p>
    <w:p>
      <w:pPr>
        <w:spacing w:after="0" w:line="162"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Each time we offer and sell securities, we will provide a supplement to this prospectus that contains specific information about the offering and the amounts, prices and terms of the securities. The prospectus supplement may also add, update or change information contained in this prospectus with respect to that offering. You should carefully read this prospectus and the applicable prospectus supplement before you invest in any of our securities.</w:t>
      </w:r>
    </w:p>
    <w:p>
      <w:pPr>
        <w:spacing w:after="0" w:line="15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right="72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8 OF THIS PROSPECTUS AND ANY SIMILAR SECTION CONTAINED IN THE APPLICABLE PROSPECTUS SUPPLEMENT CONCERNING FACTORS YOU SHOULD CONSIDER BEFORE INVESTING IN OUR SECURITIES.</w:t>
      </w:r>
    </w:p>
    <w:p>
      <w:pPr>
        <w:spacing w:after="0" w:line="18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“LRMR.” On May 8, 2024, the last reported sale price of our common stock on the Nasdaq Global Market was $7.92 per share.</w:t>
      </w:r>
    </w:p>
    <w:p>
      <w:pPr>
        <w:spacing w:after="0" w:line="15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24, 2024.</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22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51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040" w:type="dxa"/>
            <w:vAlign w:val="bottom"/>
            <w:gridSpan w:val="2"/>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57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44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1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ABOUT LARIMAR</w:t>
            </w:r>
          </w:p>
        </w:tc>
        <w:tc>
          <w:tcPr>
            <w:tcW w:w="6720" w:type="dxa"/>
            <w:vAlign w:val="bottom"/>
            <w:gridSpan w:val="13"/>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15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6640" w:type="dxa"/>
            <w:vAlign w:val="bottom"/>
            <w:gridSpan w:val="12"/>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30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200" w:type="dxa"/>
            <w:vAlign w:val="bottom"/>
            <w:gridSpan w:val="5"/>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5740" w:type="dxa"/>
            <w:vAlign w:val="bottom"/>
            <w:gridSpan w:val="7"/>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2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6200" w:type="dxa"/>
            <w:vAlign w:val="bottom"/>
            <w:gridSpan w:val="10"/>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OUR SUBSCRIPTION RIGHTS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18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GLOBAL SECURITIES</w:t>
            </w:r>
          </w:p>
        </w:tc>
        <w:tc>
          <w:tcPr>
            <w:tcW w:w="2080" w:type="dxa"/>
            <w:vAlign w:val="bottom"/>
            <w:tcBorders>
              <w:top w:val="single" w:sz="8" w:color="0000EE"/>
            </w:tcBorders>
            <w:gridSpan w:val="8"/>
          </w:tcPr>
          <w:p>
            <w:pPr>
              <w:spacing w:after="0"/>
              <w:rPr>
                <w:sz w:val="24"/>
                <w:szCs w:val="24"/>
                <w:color w:val="auto"/>
              </w:rPr>
            </w:pPr>
          </w:p>
        </w:tc>
        <w:tc>
          <w:tcPr>
            <w:tcW w:w="4340" w:type="dxa"/>
            <w:vAlign w:val="bottom"/>
            <w:gridSpan w:val="3"/>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1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24"/>
                <w:szCs w:val="24"/>
                <w:color w:val="auto"/>
              </w:rPr>
            </w:pPr>
          </w:p>
        </w:tc>
        <w:tc>
          <w:tcPr>
            <w:tcW w:w="6180" w:type="dxa"/>
            <w:vAlign w:val="bottom"/>
            <w:gridSpan w:val="9"/>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EXPERTS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85"/>
        </w:trPr>
        <w:tc>
          <w:tcPr>
            <w:tcW w:w="7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w:t>
            </w:r>
          </w:p>
        </w:tc>
        <w:tc>
          <w:tcPr>
            <w:tcW w:w="27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By using a shelf registration statement, we may, from time to time, offer and sell, either individually or in combination, in one or more offerings, up to a total dollar amount of $300,000,000 of any combination of the securities described in this prospectus.</w:t>
      </w:r>
    </w:p>
    <w:p>
      <w:pPr>
        <w:spacing w:after="0" w:line="176"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This prospectus provides you only with a general description of the securities that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or incorporated by reference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When we refer to “Larimar,” “Larimar Therapeutics,” “we,” “our,” “us” and the “Company” in this prospectus, we mean Larimar Therapeutics, Inc. and its subsidiary unless otherwise specified. When we refer to “you,” we mean the potential holders of the applicable series of securities.</w:t>
      </w:r>
    </w:p>
    <w:p>
      <w:pPr>
        <w:spacing w:after="0" w:line="162" w:lineRule="exact"/>
        <w:rPr>
          <w:sz w:val="20"/>
          <w:szCs w:val="20"/>
          <w:color w:val="auto"/>
        </w:rPr>
      </w:pPr>
    </w:p>
    <w:p>
      <w:pPr>
        <w:ind w:left="120" w:right="80"/>
        <w:spacing w:after="0" w:line="236" w:lineRule="auto"/>
        <w:rPr>
          <w:sz w:val="20"/>
          <w:szCs w:val="20"/>
          <w:color w:val="auto"/>
        </w:rPr>
      </w:pPr>
      <w:r>
        <w:rPr>
          <w:rFonts w:ascii="Times New Roman" w:cs="Times New Roman" w:eastAsia="Times New Roman" w:hAnsi="Times New Roman"/>
          <w:sz w:val="18"/>
          <w:szCs w:val="18"/>
          <w:color w:val="auto"/>
        </w:rPr>
        <w:t xml:space="preserve">This prospectus contains or incorporates by reference documents that contain references to trademarks, service marks and trade names owned by us or other entities. All trademarks, service marks and trade names included or incorporated by reference into this prospectus are the property of their respective owners. Solely for convenience, trademarks, service 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their respective owners will not assert, to the fullest extent under applicable law, their rights thereto. We do not intend our use or display of other companies’ trade names, trademarks or service marks to imply a relationship with, or endorsement or sponsorship of us by, these other companies.</w:t>
      </w:r>
    </w:p>
    <w:p>
      <w:pPr>
        <w:spacing w:after="0" w:line="1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filed with the SEC under the Securities Act of 1933, as amended, or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80"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93"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14,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with the SEC on </w:t>
      </w:r>
      <w:hyperlink r:id="rId86">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8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2023 from our Definitive Proxy Statement on </w:t>
      </w:r>
      <w:hyperlink r:id="rId87">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29, 2024;</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88">
        <w:r>
          <w:rPr>
            <w:rFonts w:ascii="Times New Roman" w:cs="Times New Roman" w:eastAsia="Times New Roman" w:hAnsi="Times New Roman"/>
            <w:sz w:val="18"/>
            <w:szCs w:val="18"/>
            <w:u w:val="single" w:color="auto"/>
            <w:color w:val="0000EE"/>
          </w:rPr>
          <w:t>February 12, 2024</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EE"/>
          </w:rPr>
          <w:t>February 16, 2024</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EE"/>
          </w:rPr>
          <w:t>March 11,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2">
        <w:r>
          <w:rPr>
            <w:rFonts w:ascii="Times New Roman" w:cs="Times New Roman" w:eastAsia="Times New Roman" w:hAnsi="Times New Roman"/>
            <w:sz w:val="18"/>
            <w:szCs w:val="18"/>
            <w:u w:val="single" w:color="auto"/>
            <w:color w:val="0000EE"/>
          </w:rPr>
          <w:t>May 9,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case other than any portions thereof deemed furnished and not filed); and</w:t>
      </w:r>
    </w:p>
    <w:p>
      <w:pPr>
        <w:spacing w:after="0" w:line="67" w:lineRule="exact"/>
        <w:rPr>
          <w:rFonts w:ascii="Times New Roman" w:cs="Times New Roman" w:eastAsia="Times New Roman" w:hAnsi="Times New Roman"/>
          <w:sz w:val="18"/>
          <w:szCs w:val="18"/>
          <w:color w:val="0000EE"/>
        </w:rPr>
      </w:pPr>
    </w:p>
    <w:p>
      <w:pPr>
        <w:ind w:left="1080" w:right="200" w:hanging="424"/>
        <w:spacing w:after="0" w:line="266" w:lineRule="auto"/>
        <w:tabs>
          <w:tab w:leader="none" w:pos="1080" w:val="left"/>
        </w:tabs>
        <w:numPr>
          <w:ilvl w:val="0"/>
          <w:numId w:val="2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7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001-36510) filed with the SEC on June 18, 2014, under the Exchange Act, including any amendment or report filed for the purpose of updating such description, including </w:t>
      </w:r>
      <w:hyperlink r:id="rId76">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year ended December 31, 2023.</w:t>
      </w:r>
    </w:p>
    <w:p>
      <w:pPr>
        <w:spacing w:after="0" w:line="176" w:lineRule="exact"/>
        <w:rPr>
          <w:rFonts w:ascii="Times New Roman" w:cs="Times New Roman" w:eastAsia="Times New Roman" w:hAnsi="Times New Roman"/>
          <w:sz w:val="18"/>
          <w:szCs w:val="18"/>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w:t>
      </w:r>
    </w:p>
    <w:p>
      <w:pPr>
        <w:spacing w:after="0" w:line="121"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you, upon written or oral request, a copy of any or all of the documents incorporated by reference in this prospectus, including exhibits to these documents by writing or telephoning us at the following address or phone number below. You may also access this information on our website at www.larimartx.com by viewing the “Financials &amp; Filings” subsection of the “Investors” menu. No additional information is deemed to be part of or incorporated by reference into this prospectus.</w:t>
      </w:r>
    </w:p>
    <w:p>
      <w:pPr>
        <w:spacing w:after="0" w:line="1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sz w:val="20"/>
          <w:szCs w:val="20"/>
          <w:color w:val="auto"/>
        </w:rPr>
      </w:pPr>
    </w:p>
    <w:p>
      <w:pPr>
        <w:ind w:left="5500" w:hanging="435"/>
        <w:spacing w:after="0"/>
        <w:tabs>
          <w:tab w:leader="none" w:pos="5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511-9056</w:t>
      </w:r>
    </w:p>
    <w:p>
      <w:pPr>
        <w:spacing w:after="0" w:line="9"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Financial Officer</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This prospectus, any applicable prospectus supplement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statements contain these identifying words. Forward-looking statements include, but are not limited to, statements concerning:</w:t>
      </w:r>
    </w:p>
    <w:p>
      <w:pPr>
        <w:spacing w:after="0" w:line="94" w:lineRule="exact"/>
        <w:rPr>
          <w:sz w:val="20"/>
          <w:szCs w:val="20"/>
          <w:color w:val="auto"/>
        </w:rPr>
      </w:pPr>
    </w:p>
    <w:p>
      <w:pPr>
        <w:ind w:left="1080" w:hanging="424"/>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U.S. Food and Drug Administration, or FDA, European Medicines Agency, and other comparable regulatory authorities for marketing approval for nomlabofusp (nomlabofusp is the International Nonproprietary Name and the United States Adopted Name for CTI-1601) or any other product candidate that we may develop in the future and unexpected costs that may result therefrom;</w:t>
      </w:r>
    </w:p>
    <w:p>
      <w:pPr>
        <w:spacing w:after="0" w:line="88"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execute our ongoing open label extension study, including the timing of site initiations and rate of patient enrollment, and our ability to pursue dose escalation;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nomlabofusp, including potential delays in the commencement, enrollment and completion of clinical trials, the timing of a potential Biologics License Application submission for accelerated approval, including our ability to supply to the FDA all required data for FDA to review and accept an accelerated application, or any other product candidate that we may develop in the future;</w:t>
      </w:r>
    </w:p>
    <w:p>
      <w:pPr>
        <w:spacing w:after="0" w:line="85"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recruitment for our clinical trials (including as a result of the impact of FDA approval of competitive products for the treatment of Friedreich’s ataxia, and/or the impact of other clinical trials of competitive products), delays as a result of clinical and non-clinical results and/or FDA’s request for additional information or studies, changes in clinical protocols, regulatory restrictions, including additional clinical holds, and milestones for nomlabofusp;</w:t>
      </w:r>
    </w:p>
    <w:p>
      <w:pPr>
        <w:spacing w:after="0" w:line="85"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nomlabofusp or any other product candidate we may develop in the future, and the indication and labeling under any such approval;</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third-party manufacturers we engage, to optimize and scale nomlabofusp or any other product candidate’s manufacturing process and to manufacture sufficient quantities of clinical supplies, and, if approved, commercial supplies of nomlabofusp or any other product candidate that we may develop in the future and our ability to maintain our relationships and contracts with our key vendors and to identify and contract with alternate or secondary key vendors;</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nomlabofusp and/or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nomlabofusp, if approved, or any other product candidate that we may develop in the future, the rate and degree of market acceptance of nomlabofusp or any other product candidate, if approved, that we may develop in the future and our ability to serve those markets;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competing therapies and products for the treatment of Friedreich’s ataxia, our ability to obtain and maintain designations or eligibility for expedited regulatory programs, and to commercialize current and future product candidates, if approved, (including the impact of potential barriers to entry if a competitor is able to establish a strong market position before we are able to commercialize our products);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 parties;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with the rules and regulations of the FDA (and all other regulatory authorities) of third parties upon which we depend, including third-party contract research organizations, consultants and third-party suppliers, manufacturers, distributors, and logistics providers;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geopolitical tensions, including regional conflicts around the world, adverse macroeconomic events, including those due to inflationary pressures, rising interest rates, banking instability, 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 and any other product candidates that we may develop;</w:t>
      </w:r>
    </w:p>
    <w:p>
      <w:pPr>
        <w:spacing w:after="0" w:line="88"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healthcare reform in the United States, including the Inflation Reduction Act of 2022, and measures being taken worldwide designed to reduce healthcare costs and limit the overall level of government expenditures;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 including our expected use of the proceeds from any offering under this prospectus.</w:t>
      </w:r>
    </w:p>
    <w:p>
      <w:pPr>
        <w:spacing w:after="0" w:line="22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any applicable prospectus supplement and any related free writing prospectus, and under similar headings in the other documents that are incorporated by reference into this prospectus.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any accompanying prospectus supplement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combination of factors, may cause actual results to differ materially from those contained in any forward-looking statements. Unless required by law, we undertake no obligation to release publicly any revisions to such forward-looking statements to reflect events or circumstances after the date of this prospectus or to reflect the occurrence of unanticipated events.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LARIMAR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or CPP, technology platform. Our lead product candidate, nomlabofusp (nomlabofusp is the International Nonproprietary Name and the United States Adopted Name for CTI-1601), is a subcutaneously administered, recombinant fusion protein intended to deliver tissue frataxin, or FXN, an essential protein, to the mitochondria of patients with Friedreich’s ataxia. Friedreich’s ataxia is a rare, progressive, and fatal disease in which patients are unable to produce sufficient FXN due to a genetic abnormality. Currently, there are no treatment options that address the core deficit of Friedreich’s ataxia, low levels of FXN. Nomlabofusp represents the first potential therapy designed to increase FXN levels in patients with Friedreich’s ataxia.</w:t>
      </w:r>
    </w:p>
    <w:p>
      <w:pPr>
        <w:spacing w:after="0" w:line="189"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We have completed two Phase 1 clinical trials and a Phase 2 dose exploration trial, and recently initiated an open label extension trial, or OLE, in patients with Friedreich’s ataxia. We have received an orphan drug designation, fast track designation and rare pediatric disease designation from the U.S. Food and Drug Administration, or FDA, for nomlabofusp. In addition, we received orphan drug designation for nomlabofusp from the European Commission and a PRIority MEdicines designation from the European Medicines Agency, or EMA. We intend to pursue accelerated approval from the FDA for nomlabofusp.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7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76" w:lineRule="exact"/>
        <w:rPr>
          <w:sz w:val="20"/>
          <w:szCs w:val="20"/>
          <w:color w:val="auto"/>
        </w:rPr>
      </w:pPr>
    </w:p>
    <w:p>
      <w:pPr>
        <w:jc w:val="both"/>
        <w:ind w:left="120" w:right="680"/>
        <w:spacing w:after="0" w:line="26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have assembled an experienced management team, each member of which has over 20 years of pharmaceutical industry experience. Our management team and consultants have significant expertise in discovery, nonclinical and clinical development, regulatory affairs and the development of manufacturing processes utilizing good manufacturing practices for biologics and small molecules. We believe that our management team’s diverse mix of skills provides for the implementation of effective approaches to drug and biologic development.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Times New Roman" w:cs="Times New Roman" w:eastAsia="Times New Roman" w:hAnsi="Times New Roman"/>
          <w:sz w:val="18"/>
          <w:szCs w:val="18"/>
          <w:i w:val="1"/>
          <w:iCs w:val="1"/>
          <w:color w:val="auto"/>
        </w:rPr>
        <w:t>www.larimartx.com</w:t>
      </w:r>
      <w:r>
        <w:rPr>
          <w:rFonts w:ascii="Times New Roman" w:cs="Times New Roman" w:eastAsia="Times New Roman" w:hAnsi="Times New Roman"/>
          <w:sz w:val="18"/>
          <w:szCs w:val="18"/>
          <w:color w:val="auto"/>
        </w:rPr>
        <w:t>. The information on, or that can be accessed through, our website is not part of this prospectus and is not incorporated by reference herein. We have included our website address as an inactive textual reference only. References in this prospectus to “we,” “us,” “our,” “our company,” “Larimar” or “Larimar Therapeutics” refer to Larimar Therapeutics, Inc. and its subsidiary.</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You should carefully consider the risk factors included in our most recent Annual Report on Form 10-K and subsequent Quarterly Reports on Form 10-Q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More Information” and “Incorporation of Certain Information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39"/>
          </w:cols>
          <w:pgMar w:left="320" w:top="455"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For a complete description, you should refer to our Ninth Amended and Restated Certificate of Incorporation, as amended, or the Charter, and our Amended and Restated Bylaws, or the Bylaws, copies of which are incorporated by reference as exhibits to the registration statement of which this prospectus is a part.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Authorized Capital Stock</w:t>
      </w:r>
      <w:r>
        <w:rPr>
          <w:rFonts w:ascii="Times New Roman" w:cs="Times New Roman" w:eastAsia="Times New Roman" w:hAnsi="Times New Roman"/>
          <w:sz w:val="18"/>
          <w:szCs w:val="18"/>
          <w:color w:val="auto"/>
        </w:rPr>
        <w:t>. Our authorized capital stock consists of (i) 115,000,000 shares of common stock, par value $0.001 per share,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63,802,017 shares have been issued and are outstanding as of May 8, 2024, referred to as the capitalization date, and (ii) 5,000,000 shares of preferred stock, par value $0.001 per share, of which no shares have been issued and there currently are no shares outstanding as of the capitalization date. We do not hold any shares of our capital stock in our treasury.</w:t>
      </w:r>
    </w:p>
    <w:p>
      <w:pPr>
        <w:spacing w:after="0" w:line="17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of record on all matters submitted to a vote of stockholders.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common stock do not have any cumulative voting rights.</w:t>
      </w:r>
    </w:p>
    <w:p>
      <w:pPr>
        <w:spacing w:after="0" w:line="15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Holders of our common stock are entitled to receive ratably any dividends declared by our Board of Directors, or the Board, out of funds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legally available for that purpose, subject to any preferential dividend rights of any outstanding preferred stock.</w:t>
      </w:r>
    </w:p>
    <w:p>
      <w:pPr>
        <w:spacing w:after="0" w:line="155"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r>
        <w:rPr>
          <w:rFonts w:ascii="Times New Roman" w:cs="Times New Roman" w:eastAsia="Times New Roman" w:hAnsi="Times New Roman"/>
          <w:sz w:val="18"/>
          <w:szCs w:val="18"/>
          <w:color w:val="auto"/>
        </w:rPr>
        <w:t>. Our common stock has no preemptive rights, conversion rights or other subscription rights or redemption or sinking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provisions. In the event of a liquidation, dissolution or winding up of us, holders of our common stock will be entitled to share ratably in all assets remaining after payment of all debts and other liabilities and any liquidation preference of any preferred stock then outstanding.</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r>
        <w:rPr>
          <w:rFonts w:ascii="Times New Roman" w:cs="Times New Roman" w:eastAsia="Times New Roman" w:hAnsi="Times New Roman"/>
          <w:sz w:val="18"/>
          <w:szCs w:val="18"/>
          <w:color w:val="auto"/>
        </w:rPr>
        <w:t>. The transfer agent and registrar for our common stock is Computershare Trust Company, N.A.</w:t>
      </w:r>
    </w:p>
    <w:p>
      <w:pPr>
        <w:spacing w:after="0" w:line="225"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color w:val="auto"/>
        </w:rPr>
        <w:t>. Our common stock is listed on the Nasdaq Global Market under the symbol “LRMR.” On May 8, 2024, the last reported sale price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on the Nasdaq Global Market was $7.92 per share. As of May 8, 2024, we had approximately 19 stockholders of record.</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Board currently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us could adversely affect the voting power of holders of our common stock and the likelihood that such holders will receive dividend payments and payments upon a liquidation of us. In addition, the issuance of preferred stock could have the effect of delaying, deferring or preventing a change in control of us or other corporate action. No shares of preferred stock are outstanding, and we have no present plans to issue any shares of preferred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of Our Charter and Bylaws and Delaware Anti-Takeover Law</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Certain provisions of the Delaware General Corporation Law, or DGCL, and of our Charter and Bylaws could have the effect of delaying, deferring or discouraging another party from acquiring control of us. These provisions, which are summarized below, are expected to discourage certain types of coercive takeover practices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85"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r>
        <w:rPr>
          <w:rFonts w:ascii="Times New Roman" w:cs="Times New Roman" w:eastAsia="Times New Roman" w:hAnsi="Times New Roman"/>
          <w:sz w:val="18"/>
          <w:szCs w:val="18"/>
          <w:color w:val="auto"/>
        </w:rPr>
        <w:t>. Our Charter provides for the division of our Board into three classes serving staggered three-year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one class being elected each year. Our Charter also provides that directors may be removed only for cause and then only by the 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79"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r>
        <w:rPr>
          <w:rFonts w:ascii="Times New Roman" w:cs="Times New Roman" w:eastAsia="Times New Roman" w:hAnsi="Times New Roman"/>
          <w:sz w:val="18"/>
          <w:szCs w:val="18"/>
          <w:color w:val="auto"/>
        </w:rPr>
        <w:t>. Our Charter provides that all stockholder actions are required to be taken by a vote of the stockholders at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or special meeting, and that stockholders may not take any action by written consent in lieu of a meeting.</w:t>
      </w:r>
    </w:p>
    <w:p>
      <w:pPr>
        <w:spacing w:after="0" w:line="155" w:lineRule="exact"/>
        <w:rPr>
          <w:sz w:val="20"/>
          <w:szCs w:val="20"/>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Meetings of Stockholders</w:t>
      </w:r>
      <w:r>
        <w:rPr>
          <w:rFonts w:ascii="Times New Roman" w:cs="Times New Roman" w:eastAsia="Times New Roman" w:hAnsi="Times New Roman"/>
          <w:sz w:val="17"/>
          <w:szCs w:val="17"/>
          <w:color w:val="auto"/>
        </w:rPr>
        <w:t>. Our Charter and Bylaws provide that only a majority of the members of our Board then in office may call special meetings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53"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r>
        <w:rPr>
          <w:rFonts w:ascii="Times New Roman" w:cs="Times New Roman" w:eastAsia="Times New Roman" w:hAnsi="Times New Roman"/>
          <w:sz w:val="18"/>
          <w:szCs w:val="18"/>
          <w:color w:val="auto"/>
        </w:rPr>
        <w:t>. Our Bylaws establish advance notice procedures with regard to stockholder proposals relating to the nomination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7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Amendment to Charter and Bylaws</w:t>
      </w:r>
      <w:r>
        <w:rPr>
          <w:rFonts w:ascii="Times New Roman" w:cs="Times New Roman" w:eastAsia="Times New Roman" w:hAnsi="Times New Roman"/>
          <w:sz w:val="18"/>
          <w:szCs w:val="18"/>
          <w:color w:val="auto"/>
        </w:rPr>
        <w:t>. As required by the DGCL, any amendment of our Charter must first be approved by a majority of our Board, and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9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stockholder is prohibited unless it satisfies one of the following conditions:</w:t>
      </w:r>
    </w:p>
    <w:p>
      <w:pPr>
        <w:spacing w:after="0" w:line="67" w:lineRule="exact"/>
        <w:rPr>
          <w:sz w:val="20"/>
          <w:szCs w:val="20"/>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interested stockholder;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r>
        <w:rPr>
          <w:rFonts w:ascii="Times New Roman" w:cs="Times New Roman" w:eastAsia="Times New Roman" w:hAnsi="Times New Roman"/>
          <w:sz w:val="18"/>
          <w:szCs w:val="18"/>
          <w:color w:val="auto"/>
        </w:rPr>
        <w:t>. Our Charter provides that, unless we consent in writing to the selection of an alternative forum, the Court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our Charter or our Bylaws, or (iv) any action asserting a claim against us governed by the internal affairs doctrine. This provision does not apply to claims arising under the Exchange Act or the Securities Act.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named in the applicable indenture.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Capitalized terms used in the summary and not defined herein have the meanings specified in the indenture.</w:t>
      </w:r>
    </w:p>
    <w:p>
      <w:pPr>
        <w:spacing w:after="0" w:line="180"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As used in this section only, “Larimar,” “Larimar Therapeutics,” “we,” “our” or “us” refer to Larimar Therapeutics, Inc., excluding our subsidiary, unless expressly stated or the context otherwise requires.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1"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5"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4"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i w:val="1"/>
          <w:iCs w:val="1"/>
          <w:color w:val="auto"/>
        </w:rPr>
        <w:t>Global Debt Securities and Book-Entry System</w:t>
      </w:r>
      <w:r>
        <w:rPr>
          <w:rFonts w:ascii="Times New Roman" w:cs="Times New Roman" w:eastAsia="Times New Roman" w:hAnsi="Times New Roman"/>
          <w:sz w:val="18"/>
          <w:szCs w:val="18"/>
          <w:color w:val="auto"/>
        </w:rPr>
        <w:t>. Each global debt security representing book-entry debt securities will be deposited with, or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and registered in the name of the Depositary or a nominee of the Depositary. Please see “Global Securities.”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67" w:lineRule="exact"/>
        <w:rPr>
          <w:sz w:val="20"/>
          <w:szCs w:val="20"/>
          <w:color w:val="auto"/>
        </w:rPr>
      </w:pPr>
    </w:p>
    <w:p>
      <w:pPr>
        <w:ind w:left="1080" w:right="2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Larimar)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Larimar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Larimar;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subsidiary outstanding from time to time.</w:t>
      </w:r>
    </w:p>
    <w:p>
      <w:pPr>
        <w:spacing w:after="0" w:line="158"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66" w:lineRule="exact"/>
        <w:rPr>
          <w:sz w:val="20"/>
          <w:szCs w:val="20"/>
          <w:color w:val="auto"/>
        </w:rPr>
      </w:pPr>
    </w:p>
    <w:p>
      <w:pPr>
        <w:ind w:left="1080" w:right="20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31" w:lineRule="exact"/>
        <w:rPr>
          <w:sz w:val="20"/>
          <w:szCs w:val="20"/>
          <w:color w:val="auto"/>
        </w:rPr>
      </w:pPr>
    </w:p>
    <w:p>
      <w:pPr>
        <w:ind w:left="1080" w:right="100" w:hanging="424"/>
        <w:spacing w:after="0" w:line="25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92"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131" w:lineRule="exact"/>
        <w:rPr>
          <w:sz w:val="20"/>
          <w:szCs w:val="20"/>
          <w:color w:val="auto"/>
        </w:rPr>
      </w:pPr>
    </w:p>
    <w:p>
      <w:pPr>
        <w:ind w:left="1080" w:right="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equity warrants will not be entitled to:</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our stockholders.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67"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or debt securities upon the exercise of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or debt securities which may be purchased per each subscription right;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5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67" w:lineRule="exact"/>
        <w:rPr>
          <w:sz w:val="20"/>
          <w:szCs w:val="20"/>
          <w:color w:val="auto"/>
        </w:rPr>
      </w:pPr>
    </w:p>
    <w:p>
      <w:pPr>
        <w:ind w:left="1080" w:right="200" w:hanging="424"/>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“at-the-market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(as defined in Rule 415 under the Securities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method permitted by applicable law and described in a prospectus supplement.</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left="120" w:right="180"/>
        <w:spacing w:after="0" w:line="273" w:lineRule="auto"/>
        <w:rPr>
          <w:sz w:val="20"/>
          <w:szCs w:val="20"/>
          <w:color w:val="auto"/>
        </w:rPr>
      </w:pPr>
      <w:r>
        <w:rPr>
          <w:rFonts w:ascii="Times New Roman" w:cs="Times New Roman" w:eastAsia="Times New Roman" w:hAnsi="Times New Roman"/>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7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7"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Any common stock or preferred stock will be listed on the Nasdaq Global Market, but any other securities may or may not be listed on a national securities exchange.</w:t>
      </w:r>
    </w:p>
    <w:p>
      <w:pPr>
        <w:spacing w:after="0" w:line="5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To facilitate the offering of securities, and to the extent permitted by and in accordance with Regulation M under the Exchange Act, certain persons participating in the offering may engage in transactions that stabilize, maintain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To the extent permitted by and in accordance with Regulation M under the Exchange Act, any underwriters who are qualified market makers on Nasdaq may engage in passive market making transactions in the securities on Nasdaq during the business day prior to the pricing of an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8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62"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No securities may be sold under this prospectus without delivery, in paper format or in electronic format, or both, of the applicable prospectus supplement describing the method and terms of the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540"/>
        <w:spacing w:after="0" w:line="266" w:lineRule="auto"/>
        <w:rPr>
          <w:sz w:val="20"/>
          <w:szCs w:val="20"/>
          <w:color w:val="auto"/>
        </w:rPr>
      </w:pPr>
      <w:r>
        <w:rPr>
          <w:rFonts w:ascii="Times New Roman" w:cs="Times New Roman" w:eastAsia="Times New Roman" w:hAnsi="Times New Roman"/>
          <w:sz w:val="18"/>
          <w:szCs w:val="18"/>
          <w:color w:val="auto"/>
        </w:rPr>
        <w:t>Goodwin Procter LLP will pass upon certain legal matters relating to the issuance and sale of the securities offered hereby on behalf of Larimar Therapeutics, Inc.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40"/>
          </w:cols>
          <w:pgMar w:left="320" w:top="455" w:right="5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39"/>
        <w:spacing w:after="0"/>
        <w:rPr>
          <w:sz w:val="20"/>
          <w:szCs w:val="20"/>
          <w:color w:val="auto"/>
        </w:rPr>
      </w:pPr>
      <w:r>
        <w:rPr>
          <w:rFonts w:ascii="Arial" w:cs="Arial" w:eastAsia="Arial" w:hAnsi="Arial"/>
          <w:sz w:val="32"/>
          <w:szCs w:val="32"/>
          <w:b w:val="1"/>
          <w:bCs w:val="1"/>
          <w:color w:val="auto"/>
        </w:rPr>
        <w:t>$75,000,000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120015</wp:posOffset>
            </wp:positionV>
            <wp:extent cx="2520315" cy="917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252031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39"/>
        <w:spacing w:after="0"/>
        <w:rPr>
          <w:sz w:val="20"/>
          <w:szCs w:val="20"/>
          <w:color w:val="auto"/>
        </w:rPr>
      </w:pPr>
      <w:r>
        <w:rPr>
          <w:rFonts w:ascii="Arial" w:cs="Arial" w:eastAsia="Arial" w:hAnsi="Arial"/>
          <w:sz w:val="32"/>
          <w:szCs w:val="32"/>
          <w:b w:val="1"/>
          <w:bCs w:val="1"/>
          <w:color w:val="auto"/>
        </w:rPr>
        <w:t>Shares of Common Stock</w:t>
      </w:r>
    </w:p>
    <w:p>
      <w:pPr>
        <w:spacing w:after="0" w:line="200" w:lineRule="exact"/>
        <w:rPr>
          <w:sz w:val="20"/>
          <w:szCs w:val="20"/>
          <w:color w:val="auto"/>
        </w:rPr>
      </w:pPr>
    </w:p>
    <w:p>
      <w:pPr>
        <w:spacing w:after="0" w:line="242" w:lineRule="exact"/>
        <w:rPr>
          <w:sz w:val="20"/>
          <w:szCs w:val="20"/>
          <w:color w:val="auto"/>
        </w:rPr>
      </w:pPr>
    </w:p>
    <w:p>
      <w:pPr>
        <w:jc w:val="center"/>
        <w:ind w:left="760"/>
        <w:spacing w:after="0" w:line="298" w:lineRule="auto"/>
        <w:rPr>
          <w:sz w:val="20"/>
          <w:szCs w:val="20"/>
          <w:color w:val="auto"/>
        </w:rPr>
      </w:pPr>
      <w:r>
        <w:rPr>
          <w:rFonts w:ascii="Arial" w:cs="Arial" w:eastAsia="Arial" w:hAnsi="Arial"/>
          <w:sz w:val="32"/>
          <w:szCs w:val="32"/>
          <w:b w:val="1"/>
          <w:bCs w:val="1"/>
          <w:color w:val="auto"/>
        </w:rPr>
        <w:t>Pre-Funded Warrants to Purchase up to            Shares of Common Stock</w:t>
      </w:r>
    </w:p>
    <w:p>
      <w:pPr>
        <w:spacing w:after="0" w:line="261" w:lineRule="exact"/>
        <w:rPr>
          <w:sz w:val="20"/>
          <w:szCs w:val="20"/>
          <w:color w:val="auto"/>
        </w:rPr>
      </w:pPr>
    </w:p>
    <w:p>
      <w:pPr>
        <w:ind w:left="2600"/>
        <w:spacing w:after="0"/>
        <w:rPr>
          <w:sz w:val="20"/>
          <w:szCs w:val="20"/>
          <w:color w:val="auto"/>
        </w:rPr>
      </w:pPr>
      <w:r>
        <w:rPr>
          <w:rFonts w:ascii="Arial" w:cs="Arial" w:eastAsia="Arial" w:hAnsi="Arial"/>
          <w:sz w:val="43"/>
          <w:szCs w:val="43"/>
          <w:b w:val="1"/>
          <w:bCs w:val="1"/>
          <w:color w:val="auto"/>
        </w:rPr>
        <w:t>PROSPECTUS SUPPLEMENT</w:t>
      </w:r>
    </w:p>
    <w:p>
      <w:pPr>
        <w:spacing w:after="0" w:line="200" w:lineRule="exact"/>
        <w:rPr>
          <w:sz w:val="20"/>
          <w:szCs w:val="20"/>
          <w:color w:val="auto"/>
        </w:rPr>
      </w:pP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00" w:lineRule="exact"/>
        <w:rPr>
          <w:sz w:val="20"/>
          <w:szCs w:val="20"/>
          <w:color w:val="auto"/>
        </w:rPr>
      </w:pPr>
    </w:p>
    <w:p>
      <w:pPr>
        <w:spacing w:after="0" w:line="292" w:lineRule="exact"/>
        <w:rPr>
          <w:sz w:val="20"/>
          <w:szCs w:val="20"/>
          <w:color w:val="auto"/>
        </w:rPr>
      </w:pPr>
    </w:p>
    <w:p>
      <w:pPr>
        <w:ind w:left="2240"/>
        <w:spacing w:after="0"/>
        <w:tabs>
          <w:tab w:leader="none" w:pos="7120" w:val="left"/>
        </w:tabs>
        <w:rPr>
          <w:sz w:val="20"/>
          <w:szCs w:val="20"/>
          <w:color w:val="auto"/>
        </w:rPr>
      </w:pP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5"/>
          <w:szCs w:val="25"/>
          <w:b w:val="1"/>
          <w:b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            , 2026</w:t>
      </w:r>
    </w:p>
    <w:sectPr>
      <w:pgSz w:w="11900" w:h="16838" w:orient="portrait"/>
      <w:cols w:equalWidth="0" w:num="1">
        <w:col w:w="10820"/>
      </w:cols>
      <w:pgMar w:left="320" w:top="455"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2"/>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lowerLetter"/>
      <w:start w:val="1"/>
    </w:lvl>
  </w:abstractNum>
  <w:abstractNum w:abstractNumId="17">
    <w:nsid w:val="419AC241"/>
    <w:multiLevelType w:val="hybridMultilevel"/>
    <w:lvl w:ilvl="0">
      <w:lvlJc w:val="left"/>
      <w:lvlText w:val="(%1)"/>
      <w:numFmt w:val="lowerLetter"/>
      <w:start w:val="1"/>
    </w:lvl>
  </w:abstractNum>
  <w:abstractNum w:abstractNumId="18">
    <w:nsid w:val="5577F8E1"/>
    <w:multiLevelType w:val="hybridMultilevel"/>
    <w:lvl w:ilvl="0">
      <w:lvlJc w:val="left"/>
      <w:lvlText w:val="(%1)"/>
      <w:numFmt w:val="lowerRoman"/>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lowerRoman"/>
      <w:start w:val="6"/>
    </w:lvl>
  </w:abstractNum>
  <w:abstractNum w:abstractNumId="24">
    <w:nsid w:val="5C482A97"/>
    <w:multiLevelType w:val="hybridMultilevel"/>
    <w:lvl w:ilvl="0">
      <w:lvlJc w:val="left"/>
      <w:lvlText w:val="(%1)"/>
      <w:numFmt w:val="lowerLetter"/>
      <w:start w:val="1"/>
    </w:lvl>
    <w:lvl w:ilvl="1">
      <w:lvlJc w:val="left"/>
      <w:lvlText w:val="(%2)"/>
      <w:numFmt w:val="lowerRoman"/>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844"/>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844"/>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7"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jpe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jpeg"/><Relationship Id="rId63" Type="http://schemas.openxmlformats.org/officeDocument/2006/relationships/hyperlink" Target="http://www.sec.gov/ix?doc=/Archives/edgar/data/1374690/000095017025043925/lrmr-20241231.htm" TargetMode="External"/><Relationship Id="rId64" Type="http://schemas.openxmlformats.org/officeDocument/2006/relationships/hyperlink" Target="http://www.sec.gov/ix?doc=/Archives/edgar/data/1374690/000095017025061222/lrmr-20250331.htm" TargetMode="External"/><Relationship Id="rId65" Type="http://schemas.openxmlformats.org/officeDocument/2006/relationships/hyperlink" Target="http://www.sec.gov/ix?doc=/Archives/edgar/data/1374690/000095017025108797/lrmr-20250630.htm" TargetMode="External"/><Relationship Id="rId66" Type="http://schemas.openxmlformats.org/officeDocument/2006/relationships/hyperlink" Target="http://www.sec.gov/ix?doc=/Archives/edgar/data/1374690/000119312525266969/lrmr-20250930.htm" TargetMode="External"/><Relationship Id="rId68" Type="http://schemas.openxmlformats.org/officeDocument/2006/relationships/hyperlink" Target="http://www.sec.gov/ix?doc=/Archives/edgar/data/1374690/000095017025053028/lrmr-20250409.htm" TargetMode="External"/><Relationship Id="rId69" Type="http://schemas.openxmlformats.org/officeDocument/2006/relationships/hyperlink" Target="http://www.sec.gov/ix?doc=/Archives/edgar/data/1374690/000095017025070287/lrmr-20250513.htm" TargetMode="External"/><Relationship Id="rId70" Type="http://schemas.openxmlformats.org/officeDocument/2006/relationships/hyperlink" Target="http://www.sec.gov/ix?doc=/Archives/edgar/data/1374690/000119312525273217/lrmr-20251110.htm" TargetMode="External"/><Relationship Id="rId71" Type="http://schemas.openxmlformats.org/officeDocument/2006/relationships/hyperlink" Target="http://www.sec.gov/ix?doc=/Archives/edgar/data/1374690/000119312525321738/d42051d8k.htm" TargetMode="External"/><Relationship Id="rId72" Type="http://schemas.openxmlformats.org/officeDocument/2006/relationships/hyperlink" Target="http://www.sec.gov/ix?doc=/Archives/edgar/data/1374690/000119312526010409/lrmr-20260112.htm" TargetMode="External"/><Relationship Id="rId73" Type="http://schemas.openxmlformats.org/officeDocument/2006/relationships/hyperlink" Target="http://www.sec.gov/ix?doc=/Archives/edgar/data/1374690/000119312526018664/d27699d8k.htm" TargetMode="External"/><Relationship Id="rId74" Type="http://schemas.openxmlformats.org/officeDocument/2006/relationships/hyperlink" Target="http://www.sec.gov/ix?doc=/Archives/edgar/data/0001374690/000119312526065186/lrmr-20260224.htm" TargetMode="External"/><Relationship Id="rId75" Type="http://schemas.openxmlformats.org/officeDocument/2006/relationships/hyperlink" Target="http://www.sec.gov/Archives/edgar/data/1374690/000119312514240257/d745277d8a12b.htm" TargetMode="External"/><Relationship Id="rId76" Type="http://schemas.openxmlformats.org/officeDocument/2006/relationships/hyperlink" Target="http://www.sec.gov/Archives/edgar/data/1374690/000156459021011003/lrmr-ex42_407.htm" TargetMode="External"/><Relationship Id="rId85" Type="http://schemas.openxmlformats.org/officeDocument/2006/relationships/hyperlink" Target="http://www.sec.gov/Archives/edgar/data/1374690/000095017024031529/lrmr-20231231.htm" TargetMode="External"/><Relationship Id="rId86" Type="http://schemas.openxmlformats.org/officeDocument/2006/relationships/hyperlink" Target="http://www.sec.gov/ix?doc=/Archives/edgar/data/0001374690/000095017024056965/lrmr-20240331.htm" TargetMode="External"/><Relationship Id="rId87" Type="http://schemas.openxmlformats.org/officeDocument/2006/relationships/hyperlink" Target="http://www.sec.gov/Archives/edgar/data/1374690/000119312524122191/d636298ddef14a.htm" TargetMode="External"/><Relationship Id="rId88" Type="http://schemas.openxmlformats.org/officeDocument/2006/relationships/hyperlink" Target="http://www.sec.gov/Archives/edgar/data/1374690/000095017024013563/lrmr-20240212.htm" TargetMode="External"/><Relationship Id="rId89" Type="http://schemas.openxmlformats.org/officeDocument/2006/relationships/hyperlink" Target="http://www.sec.gov/Archives/edgar/data/1374690/000095017024014919/lrmr-20240213.htm" TargetMode="External"/><Relationship Id="rId90" Type="http://schemas.openxmlformats.org/officeDocument/2006/relationships/hyperlink" Target="http://www.sec.gov/Archives/edgar/data/1374690/000119312524038473/d780024d8k.htm" TargetMode="External"/><Relationship Id="rId91" Type="http://schemas.openxmlformats.org/officeDocument/2006/relationships/hyperlink" Target="http://www.sec.gov/Archives/edgar/data/1374690/000095017024029236/lrmr-20240311.htm" TargetMode="External"/><Relationship Id="rId92" Type="http://schemas.openxmlformats.org/officeDocument/2006/relationships/hyperlink" Target="http://www.sec.gov/ix?doc=/Archives/edgar/data/0001374690/000095017024056248/lrmr-202405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2026-02-25T15:23:41Z</dcterms:created>
  <dcterms:modified xsi:type="dcterms:W3CDTF">2026-02-25T15:23:41Z</dcterms:modified>
</cp:coreProperties>
</file>