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1442085</wp:posOffset>
            </wp:positionH>
            <wp:positionV relativeFrom="page">
              <wp:posOffset>140335</wp:posOffset>
            </wp:positionV>
            <wp:extent cx="46780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page">
              <wp:posOffset>1442085</wp:posOffset>
            </wp:positionH>
            <wp:positionV relativeFrom="page">
              <wp:posOffset>168910</wp:posOffset>
            </wp:positionV>
            <wp:extent cx="46780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8045" cy="5715"/>
                    </a:xfrm>
                    <a:prstGeom prst="rect">
                      <a:avLst/>
                    </a:prstGeom>
                    <a:noFill/>
                  </pic:spPr>
                </pic:pic>
              </a:graphicData>
            </a:graphic>
          </wp:anchor>
        </w:drawing>
        <w:t>UNITED STATES</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151765</wp:posOffset>
            </wp:positionV>
            <wp:extent cx="9861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160655</wp:posOffset>
            </wp:positionV>
            <wp:extent cx="9861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Date of Report (Date of Earliest Event Reported): January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156210</wp:posOffset>
            </wp:positionV>
            <wp:extent cx="9861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4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Zafgen, Inc.</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146685</wp:posOffset>
            </wp:positionV>
            <wp:extent cx="9861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88" w:lineRule="exact"/>
        <w:rPr>
          <w:sz w:val="24"/>
          <w:szCs w:val="24"/>
          <w:color w:val="auto"/>
        </w:rPr>
      </w:pPr>
    </w:p>
    <w:tbl>
      <w:tblPr>
        <w:tblLayout w:type="fixed"/>
        <w:tblInd w:w="1540" w:type="dxa"/>
        <w:tblCellMar>
          <w:top w:w="0" w:type="dxa"/>
          <w:left w:w="0" w:type="dxa"/>
          <w:bottom w:w="0" w:type="dxa"/>
          <w:right w:w="0" w:type="dxa"/>
        </w:tblCellMar>
      </w:tblPr>
      <w:tr>
        <w:trPr>
          <w:trHeight w:val="143"/>
        </w:trPr>
        <w:tc>
          <w:tcPr>
            <w:tcW w:w="2660" w:type="dxa"/>
            <w:vAlign w:val="bottom"/>
          </w:tcPr>
          <w:p>
            <w:pPr>
              <w:jc w:val="center"/>
              <w:ind w:right="1526"/>
              <w:spacing w:after="0"/>
              <w:rPr>
                <w:sz w:val="20"/>
                <w:szCs w:val="20"/>
                <w:color w:val="auto"/>
              </w:rPr>
            </w:pPr>
            <w:r>
              <w:rPr>
                <w:rFonts w:ascii="Arial" w:cs="Arial" w:eastAsia="Arial" w:hAnsi="Arial"/>
                <w:sz w:val="12"/>
                <w:szCs w:val="12"/>
                <w:b w:val="1"/>
                <w:bCs w:val="1"/>
                <w:color w:val="auto"/>
                <w:w w:val="98"/>
              </w:rPr>
              <w:t>DELAWARE</w:t>
            </w:r>
          </w:p>
        </w:tc>
        <w:tc>
          <w:tcPr>
            <w:tcW w:w="1560" w:type="dxa"/>
            <w:vAlign w:val="bottom"/>
          </w:tcPr>
          <w:p>
            <w:pPr>
              <w:ind w:left="140"/>
              <w:spacing w:after="0"/>
              <w:rPr>
                <w:sz w:val="20"/>
                <w:szCs w:val="20"/>
                <w:color w:val="auto"/>
              </w:rPr>
            </w:pPr>
            <w:r>
              <w:rPr>
                <w:rFonts w:ascii="Arial" w:cs="Arial" w:eastAsia="Arial" w:hAnsi="Arial"/>
                <w:sz w:val="12"/>
                <w:szCs w:val="12"/>
                <w:b w:val="1"/>
                <w:bCs w:val="1"/>
                <w:color w:val="auto"/>
              </w:rPr>
              <w:t>001-36510</w:t>
            </w:r>
          </w:p>
        </w:tc>
        <w:tc>
          <w:tcPr>
            <w:tcW w:w="1640" w:type="dxa"/>
            <w:vAlign w:val="bottom"/>
          </w:tcPr>
          <w:p>
            <w:pPr>
              <w:jc w:val="right"/>
              <w:ind w:right="27"/>
              <w:spacing w:after="0"/>
              <w:rPr>
                <w:sz w:val="20"/>
                <w:szCs w:val="20"/>
                <w:color w:val="auto"/>
              </w:rPr>
            </w:pPr>
            <w:r>
              <w:rPr>
                <w:rFonts w:ascii="Arial" w:cs="Arial" w:eastAsia="Arial" w:hAnsi="Arial"/>
                <w:sz w:val="12"/>
                <w:szCs w:val="12"/>
                <w:b w:val="1"/>
                <w:bCs w:val="1"/>
                <w:color w:val="auto"/>
              </w:rPr>
              <w:t>20-3857670</w:t>
            </w:r>
          </w:p>
        </w:tc>
      </w:tr>
      <w:tr>
        <w:trPr>
          <w:trHeight w:val="99"/>
        </w:trPr>
        <w:tc>
          <w:tcPr>
            <w:tcW w:w="2660" w:type="dxa"/>
            <w:vAlign w:val="bottom"/>
          </w:tcPr>
          <w:p>
            <w:pPr>
              <w:jc w:val="center"/>
              <w:ind w:right="1506"/>
              <w:spacing w:after="0" w:line="100" w:lineRule="exact"/>
              <w:rPr>
                <w:sz w:val="20"/>
                <w:szCs w:val="20"/>
                <w:color w:val="auto"/>
              </w:rPr>
            </w:pPr>
            <w:r>
              <w:rPr>
                <w:rFonts w:ascii="Arial" w:cs="Arial" w:eastAsia="Arial" w:hAnsi="Arial"/>
                <w:sz w:val="10"/>
                <w:szCs w:val="10"/>
                <w:b w:val="1"/>
                <w:bCs w:val="1"/>
                <w:color w:val="auto"/>
                <w:w w:val="87"/>
              </w:rPr>
              <w:t>(State or other jurisdiction</w:t>
            </w:r>
          </w:p>
        </w:tc>
        <w:tc>
          <w:tcPr>
            <w:tcW w:w="1560" w:type="dxa"/>
            <w:vAlign w:val="bottom"/>
          </w:tcPr>
          <w:p>
            <w:pPr>
              <w:ind w:left="120"/>
              <w:spacing w:after="0" w:line="100"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27"/>
              <w:spacing w:after="0" w:line="100" w:lineRule="exact"/>
              <w:rPr>
                <w:sz w:val="20"/>
                <w:szCs w:val="20"/>
                <w:color w:val="auto"/>
              </w:rPr>
            </w:pPr>
            <w:r>
              <w:rPr>
                <w:rFonts w:ascii="Arial" w:cs="Arial" w:eastAsia="Arial" w:hAnsi="Arial"/>
                <w:sz w:val="10"/>
                <w:szCs w:val="10"/>
                <w:b w:val="1"/>
                <w:bCs w:val="1"/>
                <w:color w:val="auto"/>
                <w:w w:val="88"/>
              </w:rPr>
              <w:t>(I.R.S. Employer</w:t>
            </w:r>
          </w:p>
        </w:tc>
      </w:tr>
      <w:tr>
        <w:trPr>
          <w:trHeight w:val="124"/>
        </w:trPr>
        <w:tc>
          <w:tcPr>
            <w:tcW w:w="2660" w:type="dxa"/>
            <w:vAlign w:val="bottom"/>
          </w:tcPr>
          <w:p>
            <w:pPr>
              <w:jc w:val="center"/>
              <w:ind w:right="1526"/>
              <w:spacing w:after="0"/>
              <w:rPr>
                <w:sz w:val="20"/>
                <w:szCs w:val="20"/>
                <w:color w:val="auto"/>
              </w:rPr>
            </w:pPr>
            <w:r>
              <w:rPr>
                <w:rFonts w:ascii="Arial" w:cs="Arial" w:eastAsia="Arial" w:hAnsi="Arial"/>
                <w:sz w:val="10"/>
                <w:szCs w:val="10"/>
                <w:b w:val="1"/>
                <w:bCs w:val="1"/>
                <w:color w:val="auto"/>
                <w:w w:val="89"/>
              </w:rPr>
              <w:t>of incorporation)</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9"/>
              </w:rPr>
              <w:t>Identification No.)</w:t>
            </w:r>
          </w:p>
        </w:tc>
      </w:tr>
      <w:tr>
        <w:trPr>
          <w:trHeight w:val="275"/>
        </w:trPr>
        <w:tc>
          <w:tcPr>
            <w:tcW w:w="2660" w:type="dxa"/>
            <w:vAlign w:val="bottom"/>
          </w:tcPr>
          <w:p>
            <w:pPr>
              <w:jc w:val="center"/>
              <w:ind w:left="806"/>
              <w:spacing w:after="0"/>
              <w:rPr>
                <w:sz w:val="20"/>
                <w:szCs w:val="20"/>
                <w:color w:val="auto"/>
              </w:rPr>
            </w:pPr>
            <w:r>
              <w:rPr>
                <w:rFonts w:ascii="Arial" w:cs="Arial" w:eastAsia="Arial" w:hAnsi="Arial"/>
                <w:sz w:val="12"/>
                <w:szCs w:val="12"/>
                <w:b w:val="1"/>
                <w:bCs w:val="1"/>
                <w:color w:val="auto"/>
                <w:w w:val="90"/>
              </w:rPr>
              <w:t>3 Center Plaza, Suite 610</w:t>
            </w:r>
          </w:p>
        </w:tc>
        <w:tc>
          <w:tcPr>
            <w:tcW w:w="15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52"/>
        </w:trPr>
        <w:tc>
          <w:tcPr>
            <w:tcW w:w="2660" w:type="dxa"/>
            <w:vAlign w:val="bottom"/>
          </w:tcPr>
          <w:p>
            <w:pPr>
              <w:jc w:val="center"/>
              <w:ind w:left="806"/>
              <w:spacing w:after="0"/>
              <w:rPr>
                <w:sz w:val="20"/>
                <w:szCs w:val="20"/>
                <w:color w:val="auto"/>
              </w:rPr>
            </w:pPr>
            <w:r>
              <w:rPr>
                <w:rFonts w:ascii="Arial" w:cs="Arial" w:eastAsia="Arial" w:hAnsi="Arial"/>
                <w:sz w:val="12"/>
                <w:szCs w:val="12"/>
                <w:b w:val="1"/>
                <w:bCs w:val="1"/>
                <w:color w:val="auto"/>
                <w:w w:val="86"/>
              </w:rPr>
              <w:t>Boston, Massachusetts</w:t>
            </w:r>
          </w:p>
        </w:tc>
        <w:tc>
          <w:tcPr>
            <w:tcW w:w="1560" w:type="dxa"/>
            <w:vAlign w:val="bottom"/>
          </w:tcPr>
          <w:p>
            <w:pPr>
              <w:spacing w:after="0"/>
              <w:rPr>
                <w:sz w:val="13"/>
                <w:szCs w:val="13"/>
                <w:color w:val="auto"/>
              </w:rPr>
            </w:pPr>
          </w:p>
        </w:tc>
        <w:tc>
          <w:tcPr>
            <w:tcW w:w="1640" w:type="dxa"/>
            <w:vAlign w:val="bottom"/>
          </w:tcPr>
          <w:p>
            <w:pPr>
              <w:jc w:val="right"/>
              <w:ind w:right="187"/>
              <w:spacing w:after="0"/>
              <w:rPr>
                <w:sz w:val="20"/>
                <w:szCs w:val="20"/>
                <w:color w:val="auto"/>
              </w:rPr>
            </w:pPr>
            <w:r>
              <w:rPr>
                <w:rFonts w:ascii="Arial" w:cs="Arial" w:eastAsia="Arial" w:hAnsi="Arial"/>
                <w:sz w:val="12"/>
                <w:szCs w:val="12"/>
                <w:b w:val="1"/>
                <w:bCs w:val="1"/>
                <w:color w:val="auto"/>
              </w:rPr>
              <w:t>02108</w:t>
            </w:r>
          </w:p>
        </w:tc>
      </w:tr>
      <w:tr>
        <w:trPr>
          <w:trHeight w:val="124"/>
        </w:trPr>
        <w:tc>
          <w:tcPr>
            <w:tcW w:w="2660" w:type="dxa"/>
            <w:vAlign w:val="bottom"/>
          </w:tcPr>
          <w:p>
            <w:pPr>
              <w:jc w:val="center"/>
              <w:ind w:left="806"/>
              <w:spacing w:after="0"/>
              <w:rPr>
                <w:sz w:val="20"/>
                <w:szCs w:val="20"/>
                <w:color w:val="auto"/>
              </w:rPr>
            </w:pPr>
            <w:r>
              <w:rPr>
                <w:rFonts w:ascii="Arial" w:cs="Arial" w:eastAsia="Arial" w:hAnsi="Arial"/>
                <w:sz w:val="10"/>
                <w:szCs w:val="10"/>
                <w:b w:val="1"/>
                <w:bCs w:val="1"/>
                <w:color w:val="auto"/>
                <w:w w:val="85"/>
              </w:rPr>
              <w:t>(Address of principal executive offices)</w:t>
            </w:r>
          </w:p>
        </w:tc>
        <w:tc>
          <w:tcPr>
            <w:tcW w:w="1560" w:type="dxa"/>
            <w:vAlign w:val="bottom"/>
          </w:tcPr>
          <w:p>
            <w:pPr>
              <w:spacing w:after="0"/>
              <w:rPr>
                <w:sz w:val="10"/>
                <w:szCs w:val="10"/>
                <w:color w:val="auto"/>
              </w:rPr>
            </w:pP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8"/>
              </w:rPr>
              <w:t>(Zip Code)</w:t>
            </w:r>
          </w:p>
        </w:tc>
      </w:tr>
    </w:tbl>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 (617) 622-4003</w:t>
      </w: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142875</wp:posOffset>
            </wp:positionV>
            <wp:extent cx="9861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31" w:lineRule="exact"/>
        <w:rPr>
          <w:sz w:val="24"/>
          <w:szCs w:val="24"/>
          <w:color w:val="auto"/>
        </w:rPr>
      </w:pPr>
    </w:p>
    <w:p>
      <w:pPr>
        <w:ind w:left="840" w:right="1139"/>
        <w:spacing w:after="0" w:line="277"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8" w:lineRule="exact"/>
        <w:rPr>
          <w:sz w:val="24"/>
          <w:szCs w:val="24"/>
          <w:color w:val="auto"/>
        </w:rPr>
      </w:pPr>
    </w:p>
    <w:p>
      <w:pPr>
        <w:ind w:left="1120" w:hanging="289"/>
        <w:spacing w:after="0"/>
        <w:tabs>
          <w:tab w:leader="none" w:pos="11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8" w:lineRule="exact"/>
        <w:rPr>
          <w:sz w:val="24"/>
          <w:szCs w:val="24"/>
          <w:color w:val="auto"/>
        </w:rPr>
      </w:pPr>
    </w:p>
    <w:p>
      <w:pPr>
        <w:ind w:left="1120" w:hanging="289"/>
        <w:spacing w:after="0"/>
        <w:tabs>
          <w:tab w:leader="none" w:pos="112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2"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3"/>
        </w:trPr>
        <w:tc>
          <w:tcPr>
            <w:tcW w:w="2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w:t>
            </w:r>
          </w:p>
        </w:tc>
        <w:tc>
          <w:tcPr>
            <w:tcW w:w="80" w:type="dxa"/>
            <w:vAlign w:val="bottom"/>
          </w:tcPr>
          <w:p>
            <w:pPr>
              <w:spacing w:after="0"/>
              <w:rPr>
                <w:sz w:val="12"/>
                <w:szCs w:val="12"/>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ZFGN</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NASDAQ Global Market</w:t>
            </w:r>
          </w:p>
        </w:tc>
      </w:tr>
    </w:tbl>
    <w:p>
      <w:pPr>
        <w:spacing w:after="0" w:line="114" w:lineRule="exact"/>
        <w:rPr>
          <w:sz w:val="24"/>
          <w:szCs w:val="24"/>
          <w:color w:val="auto"/>
        </w:rPr>
      </w:pPr>
    </w:p>
    <w:p>
      <w:pPr>
        <w:ind w:left="840" w:right="999"/>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4"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64" w:lineRule="exact"/>
        <w:rPr>
          <w:sz w:val="24"/>
          <w:szCs w:val="24"/>
          <w:color w:val="auto"/>
        </w:rPr>
      </w:pPr>
    </w:p>
    <w:p>
      <w:pPr>
        <w:ind w:left="840" w:right="101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95885</wp:posOffset>
            </wp:positionV>
            <wp:extent cx="467804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124460</wp:posOffset>
            </wp:positionV>
            <wp:extent cx="467804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804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3" w:lineRule="exact"/>
        <w:rPr>
          <w:sz w:val="20"/>
          <w:szCs w:val="20"/>
          <w:color w:val="auto"/>
        </w:rPr>
      </w:pPr>
    </w:p>
    <w:p>
      <w:pPr>
        <w:ind w:left="840" w:right="959"/>
        <w:spacing w:after="0" w:line="277" w:lineRule="auto"/>
        <w:rPr>
          <w:sz w:val="20"/>
          <w:szCs w:val="20"/>
          <w:color w:val="auto"/>
        </w:rPr>
      </w:pPr>
      <w:r>
        <w:rPr>
          <w:rFonts w:ascii="Arial" w:cs="Arial" w:eastAsia="Arial" w:hAnsi="Arial"/>
          <w:sz w:val="12"/>
          <w:szCs w:val="12"/>
          <w:color w:val="auto"/>
        </w:rPr>
        <w:t>Members of Zafgen, Inc. (the “Company”) management will be participating in upcoming meetings with investors. A copy of the presentation used in connection with the meetings with investors is filed as Exhibit 99.1 and incorporated herein by reference.</w:t>
      </w:r>
    </w:p>
    <w:p>
      <w:pPr>
        <w:spacing w:after="0" w:line="115" w:lineRule="exact"/>
        <w:rPr>
          <w:sz w:val="20"/>
          <w:szCs w:val="20"/>
          <w:color w:val="auto"/>
        </w:rPr>
      </w:pPr>
    </w:p>
    <w:p>
      <w:pPr>
        <w:ind w:left="840" w:right="819"/>
        <w:spacing w:after="0" w:line="260" w:lineRule="auto"/>
        <w:rPr>
          <w:sz w:val="20"/>
          <w:szCs w:val="20"/>
          <w:color w:val="auto"/>
        </w:rPr>
      </w:pPr>
      <w:r>
        <w:rPr>
          <w:rFonts w:ascii="Arial" w:cs="Arial" w:eastAsia="Arial" w:hAnsi="Arial"/>
          <w:sz w:val="12"/>
          <w:szCs w:val="12"/>
          <w:color w:val="auto"/>
        </w:rPr>
        <w:t>The information disclosed under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20"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0"/>
          <w:szCs w:val="10"/>
          <w:b w:val="1"/>
          <w:bCs w:val="1"/>
          <w:color w:val="auto"/>
        </w:rPr>
        <w:t>Other Events.</w:t>
      </w:r>
    </w:p>
    <w:p>
      <w:pPr>
        <w:spacing w:after="0" w:line="83" w:lineRule="exact"/>
        <w:rPr>
          <w:sz w:val="20"/>
          <w:szCs w:val="20"/>
          <w:color w:val="auto"/>
        </w:rPr>
      </w:pPr>
    </w:p>
    <w:p>
      <w:pPr>
        <w:ind w:left="840" w:right="859"/>
        <w:spacing w:after="0" w:line="257" w:lineRule="auto"/>
        <w:rPr>
          <w:sz w:val="20"/>
          <w:szCs w:val="20"/>
          <w:color w:val="auto"/>
        </w:rPr>
      </w:pPr>
      <w:r>
        <w:rPr>
          <w:rFonts w:ascii="Arial" w:cs="Arial" w:eastAsia="Arial" w:hAnsi="Arial"/>
          <w:sz w:val="12"/>
          <w:szCs w:val="12"/>
          <w:color w:val="auto"/>
        </w:rPr>
        <w:t>As previously disclosed, on September 17, 2019, the Company received a written notice from the Listing Qualifications Department of The Nasdaq Stock Market LLC (“Nasdaq”) notifying that the Company was not in compliance with Nasdaq’s minimum bid price requirement and providing that the Company has 180 calendar days to regain compliance. On January 9, 2020, the Company was notified by Nasdaq that as of January 8, 2020, the Company had maintained a closing bid price at or above $1.00 per share for a period of 10 consecutive trading days and therefore had regained compliance with the minimum bid price requirement.</w:t>
      </w:r>
    </w:p>
    <w:p>
      <w:pPr>
        <w:spacing w:after="0" w:line="223" w:lineRule="exact"/>
        <w:rPr>
          <w:sz w:val="20"/>
          <w:szCs w:val="20"/>
          <w:color w:val="auto"/>
        </w:rPr>
      </w:pPr>
    </w:p>
    <w:tbl>
      <w:tblPr>
        <w:tblLayout w:type="fixed"/>
        <w:tblInd w:w="840" w:type="dxa"/>
        <w:tblCellMar>
          <w:top w:w="0" w:type="dxa"/>
          <w:left w:w="0" w:type="dxa"/>
          <w:bottom w:w="0" w:type="dxa"/>
          <w:right w:w="0" w:type="dxa"/>
        </w:tblCellMar>
      </w:tblPr>
      <w:tr>
        <w:trPr>
          <w:trHeight w:val="157"/>
        </w:trPr>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Item 9.01</w:t>
            </w:r>
          </w:p>
        </w:tc>
        <w:tc>
          <w:tcPr>
            <w:tcW w:w="2540" w:type="dxa"/>
            <w:vAlign w:val="bottom"/>
            <w:gridSpan w:val="3"/>
          </w:tcPr>
          <w:p>
            <w:pPr>
              <w:ind w:left="120"/>
              <w:spacing w:after="0"/>
              <w:rPr>
                <w:sz w:val="20"/>
                <w:szCs w:val="20"/>
                <w:color w:val="auto"/>
              </w:rPr>
            </w:pPr>
            <w:r>
              <w:rPr>
                <w:rFonts w:ascii="Arial" w:cs="Arial" w:eastAsia="Arial" w:hAnsi="Arial"/>
                <w:sz w:val="12"/>
                <w:szCs w:val="12"/>
                <w:b w:val="1"/>
                <w:bCs w:val="1"/>
                <w:color w:val="auto"/>
              </w:rPr>
              <w:t>Financial Statements and Exhibits.</w:t>
            </w:r>
          </w:p>
        </w:tc>
      </w:tr>
      <w:tr>
        <w:trPr>
          <w:trHeight w:val="217"/>
        </w:trPr>
        <w:tc>
          <w:tcPr>
            <w:tcW w:w="680" w:type="dxa"/>
            <w:vAlign w:val="bottom"/>
            <w:gridSpan w:val="2"/>
          </w:tcPr>
          <w:p>
            <w:pPr>
              <w:spacing w:after="0"/>
              <w:rPr>
                <w:sz w:val="20"/>
                <w:szCs w:val="20"/>
                <w:color w:val="auto"/>
              </w:rPr>
            </w:pPr>
            <w:r>
              <w:rPr>
                <w:rFonts w:ascii="Arial" w:cs="Arial" w:eastAsia="Arial" w:hAnsi="Arial"/>
                <w:sz w:val="12"/>
                <w:szCs w:val="12"/>
                <w:color w:val="auto"/>
              </w:rPr>
              <w:t>(d) Exhibits</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62"/>
        </w:trPr>
        <w:tc>
          <w:tcPr>
            <w:tcW w:w="68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280" w:type="dxa"/>
            <w:vAlign w:val="bottom"/>
          </w:tcPr>
          <w:p>
            <w:pPr>
              <w:spacing w:after="0"/>
              <w:rPr>
                <w:sz w:val="22"/>
                <w:szCs w:val="22"/>
                <w:color w:val="auto"/>
              </w:rPr>
            </w:pPr>
          </w:p>
        </w:tc>
        <w:tc>
          <w:tcPr>
            <w:tcW w:w="22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79"/>
        </w:trPr>
        <w:tc>
          <w:tcPr>
            <w:tcW w:w="460" w:type="dxa"/>
            <w:vAlign w:val="bottom"/>
          </w:tcPr>
          <w:p>
            <w:pPr>
              <w:spacing w:after="0"/>
              <w:rPr>
                <w:sz w:val="20"/>
                <w:szCs w:val="20"/>
                <w:color w:val="auto"/>
              </w:rPr>
            </w:pPr>
            <w:r>
              <w:rPr>
                <w:rFonts w:ascii="Arial" w:cs="Arial" w:eastAsia="Arial" w:hAnsi="Arial"/>
                <w:sz w:val="12"/>
                <w:szCs w:val="12"/>
                <w:color w:val="auto"/>
              </w:rPr>
              <w:t>99.1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tcBorders>
              <w:bottom w:val="single" w:sz="8" w:color="0000EE"/>
            </w:tcBorders>
            <w:gridSpan w:val="2"/>
          </w:tcPr>
          <w:p>
            <w:pPr>
              <w:spacing w:after="0"/>
              <w:rPr>
                <w:rFonts w:ascii="Arial" w:cs="Arial" w:eastAsia="Arial" w:hAnsi="Arial"/>
                <w:sz w:val="12"/>
                <w:szCs w:val="12"/>
                <w:color w:val="0000EE"/>
                <w:w w:val="90"/>
              </w:rPr>
            </w:pPr>
            <w:hyperlink w:anchor="page4">
              <w:r>
                <w:rPr>
                  <w:rFonts w:ascii="Arial" w:cs="Arial" w:eastAsia="Arial" w:hAnsi="Arial"/>
                  <w:sz w:val="12"/>
                  <w:szCs w:val="12"/>
                  <w:color w:val="0000EE"/>
                  <w:w w:val="90"/>
                </w:rPr>
                <w:t>Zafgen, Inc. presentation for investor meetings</w:t>
              </w:r>
            </w:hyperlink>
          </w:p>
        </w:tc>
      </w:tr>
    </w:tbl>
    <w:p>
      <w:pPr>
        <w:sectPr>
          <w:pgSz w:w="11900" w:h="16838" w:orient="portrait"/>
          <w:cols w:equalWidth="0" w:num="1">
            <w:col w:w="9019"/>
          </w:cols>
          <w:pgMar w:left="1440" w:top="22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w:t>
      </w:r>
    </w:p>
    <w:p>
      <w:pPr>
        <w:spacing w:after="0" w:line="155" w:lineRule="exact"/>
        <w:rPr>
          <w:sz w:val="20"/>
          <w:szCs w:val="20"/>
          <w:color w:val="auto"/>
        </w:rPr>
      </w:pPr>
    </w:p>
    <w:p>
      <w:pPr>
        <w:ind w:left="840" w:right="1319"/>
        <w:spacing w:after="0" w:line="277"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4360"/>
        <w:spacing w:after="0"/>
        <w:rPr>
          <w:sz w:val="20"/>
          <w:szCs w:val="20"/>
          <w:color w:val="auto"/>
        </w:rPr>
      </w:pPr>
      <w:r>
        <w:rPr>
          <w:rFonts w:ascii="Arial" w:cs="Arial" w:eastAsia="Arial" w:hAnsi="Arial"/>
          <w:sz w:val="12"/>
          <w:szCs w:val="12"/>
          <w:b w:val="1"/>
          <w:bCs w:val="1"/>
          <w:color w:val="auto"/>
        </w:rPr>
        <w:t>ZAFGEN, INC.</w:t>
      </w:r>
    </w:p>
    <w:p>
      <w:pPr>
        <w:spacing w:after="0" w:line="155" w:lineRule="exact"/>
        <w:rPr>
          <w:sz w:val="20"/>
          <w:szCs w:val="20"/>
          <w:color w:val="auto"/>
        </w:rPr>
      </w:pPr>
    </w:p>
    <w:p>
      <w:pPr>
        <w:ind w:left="840"/>
        <w:spacing w:after="0"/>
        <w:tabs>
          <w:tab w:leader="none" w:pos="4340" w:val="left"/>
          <w:tab w:leader="none" w:pos="4720" w:val="left"/>
        </w:tabs>
        <w:rPr>
          <w:sz w:val="20"/>
          <w:szCs w:val="20"/>
          <w:color w:val="auto"/>
        </w:rPr>
      </w:pPr>
      <w:r>
        <w:rPr>
          <w:rFonts w:ascii="Arial" w:cs="Arial" w:eastAsia="Arial" w:hAnsi="Arial"/>
          <w:sz w:val="12"/>
          <w:szCs w:val="12"/>
          <w:color w:val="auto"/>
        </w:rPr>
        <w:t>Date: January 13,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9525</wp:posOffset>
            </wp:positionV>
            <wp:extent cx="21958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95830" cy="5715"/>
                    </a:xfrm>
                    <a:prstGeom prst="rect">
                      <a:avLst/>
                    </a:prstGeom>
                    <a:noFill/>
                  </pic:spPr>
                </pic:pic>
              </a:graphicData>
            </a:graphic>
          </wp:anchor>
        </w:drawing>
      </w:r>
    </w:p>
    <w:p>
      <w:pPr>
        <w:spacing w:after="0" w:line="5" w:lineRule="exact"/>
        <w:rPr>
          <w:sz w:val="20"/>
          <w:szCs w:val="20"/>
          <w:color w:val="auto"/>
        </w:rPr>
      </w:pPr>
    </w:p>
    <w:p>
      <w:pPr>
        <w:ind w:left="4740"/>
        <w:spacing w:after="0"/>
        <w:rPr>
          <w:sz w:val="20"/>
          <w:szCs w:val="20"/>
          <w:color w:val="auto"/>
        </w:rPr>
      </w:pPr>
      <w:r>
        <w:rPr>
          <w:rFonts w:ascii="Arial" w:cs="Arial" w:eastAsia="Arial" w:hAnsi="Arial"/>
          <w:sz w:val="12"/>
          <w:szCs w:val="12"/>
          <w:color w:val="auto"/>
        </w:rPr>
        <w:t>Jeffrey S. Hatfield, Chief Executive Officer</w:t>
      </w:r>
    </w:p>
    <w:p>
      <w:pPr>
        <w:sectPr>
          <w:pgSz w:w="11900" w:h="16838" w:orient="portrait"/>
          <w:cols w:equalWidth="0" w:num="1">
            <w:col w:w="9019"/>
          </w:cols>
          <w:pgMar w:left="1440" w:top="226"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2020-01-13T06:20:54Z</dcterms:created>
  <dcterms:modified xsi:type="dcterms:W3CDTF">2020-01-13T06:20:54Z</dcterms:modified>
</cp:coreProperties>
</file>