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184150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217170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517125100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Blue Owl Capital Holdings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4,166,829</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4,166,829</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4,166,829</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6.53%</w:t>
            </w:r>
            <w:r>
              <w:rPr>
                <w:rFonts w:ascii="Times New Roman" w:cs="Times New Roman" w:eastAsia="Times New Roman" w:hAnsi="Times New Roman"/>
                <w:sz w:val="29"/>
                <w:szCs w:val="29"/>
                <w:b w:val="1"/>
                <w:bCs w:val="1"/>
                <w:color w:val="auto"/>
                <w:vertAlign w:val="superscript"/>
              </w:rPr>
              <w:t>(1)</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63,806,628 shares of Common Stock outstanding as of October 28, 2024, as reported in the Issuer’s quarterly report on Form 10-Q filed with the Securities and Exchange Commission on October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866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Larimar Therapeutics, Inc. (the “Issuer”)</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the Issuer’s Principal Executive Offices</w:t>
            </w:r>
          </w:p>
        </w:tc>
      </w:tr>
      <w:tr>
        <w:trPr>
          <w:trHeight w:val="414"/>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Three Bala Plaza East. Suite 506,</w:t>
            </w:r>
          </w:p>
        </w:tc>
      </w:tr>
      <w:tr>
        <w:trPr>
          <w:trHeight w:val="234"/>
        </w:trPr>
        <w:tc>
          <w:tcPr>
            <w:tcW w:w="104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Bala Cynwyd, PA, 19004</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Names of Persons Filing</w:t>
            </w:r>
          </w:p>
        </w:tc>
      </w:tr>
      <w:tr>
        <w:trPr>
          <w:trHeight w:val="432"/>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This statement is filed by the Blue Owl Capital Holdings LP, referred to herein as the “Reporting Person.”</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the Principal Business Office, or if none, Residence</w:t>
            </w:r>
          </w:p>
        </w:tc>
      </w:tr>
      <w:tr>
        <w:trPr>
          <w:trHeight w:val="414"/>
        </w:trPr>
        <w:tc>
          <w:tcPr>
            <w:tcW w:w="104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399 Park Avenue</w:t>
            </w:r>
          </w:p>
        </w:tc>
        <w:tc>
          <w:tcPr>
            <w:tcW w:w="86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New York, NY 10022</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866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See response to Item 4 on the cover page.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40" w:type="dxa"/>
            <w:vAlign w:val="bottom"/>
          </w:tcPr>
          <w:p>
            <w:pPr>
              <w:spacing w:after="0"/>
              <w:rPr>
                <w:sz w:val="24"/>
                <w:szCs w:val="24"/>
                <w:color w:val="auto"/>
              </w:rPr>
            </w:pP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Common Stock, par value $0.001 per share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866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517125100</w:t>
            </w:r>
          </w:p>
        </w:tc>
        <w:tc>
          <w:tcPr>
            <w:tcW w:w="866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Rules 13d-1(b), or 13d-2(b) or (c), check whether the person filing is a (n):</w:t>
            </w:r>
          </w:p>
        </w:tc>
      </w:tr>
      <w:tr>
        <w:trPr>
          <w:trHeight w:val="460"/>
        </w:trPr>
        <w:tc>
          <w:tcPr>
            <w:tcW w:w="1040" w:type="dxa"/>
            <w:vAlign w:val="bottom"/>
          </w:tcPr>
          <w:p>
            <w:pPr>
              <w:spacing w:after="0"/>
              <w:rPr>
                <w:sz w:val="24"/>
                <w:szCs w:val="24"/>
                <w:color w:val="auto"/>
              </w:rPr>
            </w:pPr>
          </w:p>
        </w:tc>
        <w:tc>
          <w:tcPr>
            <w:tcW w:w="10200" w:type="dxa"/>
            <w:vAlign w:val="bottom"/>
            <w:gridSpan w:val="3"/>
          </w:tcPr>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tc>
      </w:tr>
      <w:tr>
        <w:trPr>
          <w:trHeight w:val="40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8660" w:type="dxa"/>
            <w:vAlign w:val="bottom"/>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 to Item 9 on the cover page.</w:t>
            </w:r>
          </w:p>
        </w:tc>
      </w:tr>
      <w:tr>
        <w:trPr>
          <w:trHeight w:val="414"/>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 to Item 11 on the cover page.</w:t>
            </w:r>
          </w:p>
        </w:tc>
      </w:tr>
      <w:tr>
        <w:trPr>
          <w:trHeight w:val="432"/>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shares as to which the Reporting Person has:</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w:t>
            </w:r>
          </w:p>
        </w:tc>
        <w:tc>
          <w:tcPr>
            <w:tcW w:w="8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power to vote or to direct the vote:</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 response to Item 5 on the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w:t>
            </w:r>
          </w:p>
        </w:tc>
        <w:tc>
          <w:tcPr>
            <w:tcW w:w="8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power to vote or to direct the vote:</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 response to Item 6 on the cover page.</w:t>
            </w:r>
          </w:p>
        </w:tc>
      </w:tr>
      <w:tr>
        <w:trPr>
          <w:trHeight w:val="182"/>
        </w:trPr>
        <w:tc>
          <w:tcPr>
            <w:tcW w:w="10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66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0" w:type="dxa"/>
            <w:vAlign w:val="bottom"/>
          </w:tcPr>
          <w:p>
            <w:pPr>
              <w:spacing w:after="0"/>
              <w:rPr>
                <w:sz w:val="19"/>
                <w:szCs w:val="19"/>
                <w:color w:val="auto"/>
              </w:rPr>
            </w:pP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(iii)</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Sole power to dispose or to direct the disposition of:</w:t>
            </w:r>
          </w:p>
        </w:tc>
      </w:tr>
      <w:tr>
        <w:trPr>
          <w:trHeight w:val="234"/>
        </w:trPr>
        <w:tc>
          <w:tcPr>
            <w:tcW w:w="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 to Item 7 on the cover page.</w:t>
            </w:r>
          </w:p>
        </w:tc>
      </w:tr>
      <w:tr>
        <w:trPr>
          <w:trHeight w:val="414"/>
        </w:trPr>
        <w:tc>
          <w:tcPr>
            <w:tcW w:w="980" w:type="dxa"/>
            <w:vAlign w:val="bottom"/>
          </w:tcPr>
          <w:p>
            <w:pPr>
              <w:spacing w:after="0"/>
              <w:rPr>
                <w:sz w:val="24"/>
                <w:szCs w:val="24"/>
                <w:color w:val="auto"/>
              </w:rPr>
            </w:pP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(iv)</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Shared power to dispose or to direct the disposition of:</w:t>
            </w:r>
          </w:p>
        </w:tc>
      </w:tr>
      <w:tr>
        <w:trPr>
          <w:trHeight w:val="234"/>
        </w:trPr>
        <w:tc>
          <w:tcPr>
            <w:tcW w:w="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 to Item 8 on the cover page.</w:t>
            </w:r>
          </w:p>
        </w:tc>
      </w:tr>
      <w:tr>
        <w:trPr>
          <w:trHeight w:val="414"/>
        </w:trPr>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filing of this Statement shall not be construed as an admission that the Reporting Person is, for the purpose of</w:t>
            </w:r>
          </w:p>
        </w:tc>
      </w:tr>
      <w:tr>
        <w:trPr>
          <w:trHeight w:val="234"/>
        </w:trPr>
        <w:tc>
          <w:tcPr>
            <w:tcW w:w="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13(d) or 13(g) of the Exchange Act, the beneficial owner of any securities covered by this Statement.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0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432"/>
        </w:trPr>
        <w:tc>
          <w:tcPr>
            <w:tcW w:w="980" w:type="dxa"/>
            <w:vAlign w:val="bottom"/>
          </w:tcPr>
          <w:p>
            <w:pPr>
              <w:spacing w:after="0"/>
              <w:rPr>
                <w:sz w:val="24"/>
                <w:szCs w:val="24"/>
                <w:color w:val="auto"/>
              </w:rPr>
            </w:pPr>
          </w:p>
        </w:tc>
        <w:tc>
          <w:tcPr>
            <w:tcW w:w="1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852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980" w:type="dxa"/>
            <w:vAlign w:val="bottom"/>
          </w:tcPr>
          <w:p>
            <w:pPr>
              <w:spacing w:after="0"/>
              <w:rPr>
                <w:sz w:val="24"/>
                <w:szCs w:val="24"/>
                <w:color w:val="auto"/>
              </w:rPr>
            </w:pPr>
          </w:p>
        </w:tc>
        <w:tc>
          <w:tcPr>
            <w:tcW w:w="1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8520" w:type="dxa"/>
            <w:vAlign w:val="bottom"/>
          </w:tcPr>
          <w:p>
            <w:pPr>
              <w:spacing w:after="0"/>
              <w:rPr>
                <w:sz w:val="24"/>
                <w:szCs w:val="24"/>
                <w:color w:val="auto"/>
              </w:rPr>
            </w:pP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0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80" w:type="dxa"/>
            <w:vAlign w:val="bottom"/>
          </w:tcPr>
          <w:p>
            <w:pPr>
              <w:spacing w:after="0"/>
              <w:rPr>
                <w:sz w:val="20"/>
                <w:szCs w:val="20"/>
                <w:color w:val="auto"/>
              </w:rPr>
            </w:pPr>
          </w:p>
        </w:tc>
        <w:tc>
          <w:tcPr>
            <w:tcW w:w="15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52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1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852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0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980" w:type="dxa"/>
            <w:vAlign w:val="bottom"/>
          </w:tcPr>
          <w:p>
            <w:pPr>
              <w:spacing w:after="0"/>
              <w:rPr>
                <w:sz w:val="24"/>
                <w:szCs w:val="24"/>
                <w:color w:val="auto"/>
              </w:rPr>
            </w:pPr>
          </w:p>
        </w:tc>
        <w:tc>
          <w:tcPr>
            <w:tcW w:w="1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852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0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80" w:type="dxa"/>
            <w:vAlign w:val="bottom"/>
          </w:tcPr>
          <w:p>
            <w:pPr>
              <w:spacing w:after="0"/>
              <w:rPr>
                <w:sz w:val="24"/>
                <w:szCs w:val="24"/>
                <w:color w:val="auto"/>
              </w:rPr>
            </w:pPr>
          </w:p>
        </w:tc>
        <w:tc>
          <w:tcPr>
            <w:tcW w:w="1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852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5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852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10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By signing below I certify that / the Reporting Person certifies that, to the best of my knowledge and belief, the securities referred to</w:t>
            </w:r>
          </w:p>
        </w:tc>
      </w:tr>
      <w:tr>
        <w:trPr>
          <w:trHeight w:val="234"/>
        </w:trPr>
        <w:tc>
          <w:tcPr>
            <w:tcW w:w="980" w:type="dxa"/>
            <w:vAlign w:val="bottom"/>
          </w:tcPr>
          <w:p>
            <w:pPr>
              <w:spacing w:after="0"/>
              <w:rPr>
                <w:sz w:val="20"/>
                <w:szCs w:val="20"/>
                <w:color w:val="auto"/>
              </w:rPr>
            </w:pPr>
          </w:p>
        </w:tc>
        <w:tc>
          <w:tcPr>
            <w:tcW w:w="10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above were not acquired and are not held for the purpose of or with the effect of changing or influencing the control of the issuer of the</w:t>
            </w:r>
          </w:p>
        </w:tc>
      </w:tr>
    </w:tbl>
    <w:p>
      <w:pPr>
        <w:ind w:left="1300" w:right="20"/>
        <w:spacing w:after="0" w:line="260" w:lineRule="auto"/>
        <w:rPr>
          <w:sz w:val="20"/>
          <w:szCs w:val="20"/>
          <w:color w:val="auto"/>
        </w:rPr>
      </w:pPr>
      <w:r>
        <w:rPr>
          <w:rFonts w:ascii="Times New Roman" w:cs="Times New Roman" w:eastAsia="Times New Roman" w:hAnsi="Times New Roman"/>
          <w:sz w:val="18"/>
          <w:szCs w:val="18"/>
          <w:color w:val="auto"/>
        </w:rPr>
        <w:t>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BLUE OWL CAPITAL HOLDINGS 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Karen Hager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Karen Hager</w:t>
      </w:r>
    </w:p>
    <w:p>
      <w:pPr>
        <w:spacing w:after="0" w:line="27" w:lineRule="exact"/>
        <w:rPr>
          <w:sz w:val="20"/>
          <w:szCs w:val="20"/>
          <w:color w:val="auto"/>
        </w:rPr>
      </w:pPr>
    </w:p>
    <w:p>
      <w:pPr>
        <w:ind w:left="594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11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2024-11-14T16:33:17Z</dcterms:created>
  <dcterms:modified xsi:type="dcterms:W3CDTF">2024-11-14T16:33:17Z</dcterms:modified>
</cp:coreProperties>
</file>