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40" w:type="dxa"/>
            <w:vAlign w:val="bottom"/>
          </w:tcPr>
          <w:p>
            <w:pPr>
              <w:jc w:val="center"/>
              <w:ind w:right="1799"/>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001-36510</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20-3857670</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3 Center Plaza, Suite 610</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5"/>
              </w:rPr>
              <w:t>Boston,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02108</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ZFGN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NASDAQ Global Market</w:t>
            </w: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ind w:left="87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73"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21, 2020, Zafgen, Inc. (the “Company”) received a letter (the “Notice”) from The Nasdaq Stock Market (“Nasdaq”) advising the Company that for 30 consecutive trading days preceding the date of the Notice, the bid price of the Company’s common stock had closed below the $1.00 per share minimum required for continued listing on the Nasdaq Global Market pursuant to Nasdaq Listing Rule 5550(a)(1) (the “Minimum Bid Price Requirement”). The Notice has no effect on the listing of the Company’s common stock at this time, and the Company’s common stock continues to trade on the Nasdaq Global Market under the symbol “ZFGN.”</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Nasdaq Listing Rule 5810(c)(3)(A), if during the 180 calendar day period following the date of the Notice the closing bid price of the Company’s common stock is at or above $1.00 for a minimum of 10 consecutive business days, the Company will regain compliance with the Minimum Bid Price Requirement and its common stock will continue to be eligible for listing on the Nasdaq Global Market, absent noncompliance with any other requirement for continued listing.</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April 16, 2020, Nasdaq announced it was providing temporary relief from continued listing bid price requirements through June 30, 2020. Under the relief the Company will have additional time to regain compliance with the listing bid price requirements with the compliance period beginning July 1, 2020. As such, the compliance period for the Company will expire on December 28, 2020 (the “Compliance Period”).</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the Company does not regain compliance with the Minimum Bid Price Requirement by the end of the Compliance Period, then under Nasdaq Listing Rule 5810(c)(3)(A)(i) the Company may transfer to The Nasdaq Capital Market, provided that it meets the applicable market value of publicly held shares requirement for continued listing as well as all other standards for initial listing of its common stock on the Nasdaq Capital Market (other than the Minimum Bid Price Requirement) and notifies Nasdaq of its intention to cure the deficiency during a second compliance period (by effecting a reverse stock split if necessary). Following a transfer to The Nasdaq Capital Market, under Nasdaq Listing Rule 5810(c)(3)(A)(ii), the Company may be afforded an additional 180-days to regain compliance with the Minimum Bid Price Requirement.</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the Company does not regain compliance with the Minimum Bid Price Requirement by the end of the Compliance Period (or the Compliance Period as may be extended) the Company’s common stock will be subject to delisting.</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intends to monitor the closing bid price of its common stock and may, if appropriate, consider implementing available options to regain compliance with the Minimum Bid Price Requirement under the Nasdaq Listing Rules.</w:t>
      </w:r>
    </w:p>
    <w:p>
      <w:pPr>
        <w:spacing w:after="0" w:line="170" w:lineRule="exact"/>
        <w:rPr>
          <w:sz w:val="20"/>
          <w:szCs w:val="20"/>
          <w:color w:val="auto"/>
        </w:rPr>
      </w:pPr>
    </w:p>
    <w:p>
      <w:pPr>
        <w:jc w:val="center"/>
        <w:spacing w:after="0"/>
        <w:tabs>
          <w:tab w:leader="none" w:pos="340" w:val="left"/>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spacing w:after="0"/>
        <w:tabs>
          <w:tab w:leader="none" w:pos="5360" w:val="left"/>
          <w:tab w:leader="none" w:pos="5820" w:val="left"/>
        </w:tabs>
        <w:rPr>
          <w:sz w:val="20"/>
          <w:szCs w:val="20"/>
          <w:color w:val="auto"/>
        </w:rPr>
      </w:pPr>
      <w:r>
        <w:rPr>
          <w:rFonts w:ascii="Arial" w:cs="Arial" w:eastAsia="Arial" w:hAnsi="Arial"/>
          <w:sz w:val="18"/>
          <w:szCs w:val="18"/>
          <w:color w:val="auto"/>
        </w:rPr>
        <w:t>Date: April 24,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Jeffrey S. Hatfield</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2020-04-24T16:03:03Z</dcterms:created>
  <dcterms:modified xsi:type="dcterms:W3CDTF">2020-04-24T16:03:03Z</dcterms:modified>
</cp:coreProperties>
</file>