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(Amendment No. 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James Silverman, One Boston Place,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 Boston MA 02108, 617-229-5085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10020" w:firstLine="8"/>
        <w:spacing w:after="0" w:line="220" w:lineRule="exact"/>
        <w:tabs>
          <w:tab w:leader="none" w:pos="2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6" w:lineRule="exact"/>
        <w:rPr>
          <w:sz w:val="24"/>
          <w:szCs w:val="24"/>
          <w:color w:val="auto"/>
        </w:rPr>
      </w:pPr>
    </w:p>
    <w:p>
      <w:pPr>
        <w:ind w:firstLine="8"/>
        <w:spacing w:after="0" w:line="194" w:lineRule="auto"/>
        <w:tabs>
          <w:tab w:leader="none" w:pos="112"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5460" w:val="left"/>
          <w:tab w:leader="none" w:pos="9940" w:val="left"/>
        </w:tabs>
        <w:rPr>
          <w:sz w:val="20"/>
          <w:szCs w:val="20"/>
          <w:color w:val="auto"/>
        </w:rPr>
      </w:pPr>
      <w:r>
        <w:rPr>
          <w:rFonts w:ascii="Arial" w:cs="Arial" w:eastAsia="Arial" w:hAnsi="Arial"/>
          <w:sz w:val="18"/>
          <w:szCs w:val="18"/>
          <w:color w:val="auto"/>
        </w:rPr>
        <w:t>CUSIP No. 517125100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Opaleye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660" w:hanging="39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37" w:lineRule="exact"/>
        <w:rPr>
          <w:rFonts w:ascii="Arial" w:cs="Arial" w:eastAsia="Arial" w:hAnsi="Arial"/>
          <w:sz w:val="18"/>
          <w:szCs w:val="18"/>
          <w:color w:val="auto"/>
        </w:rPr>
      </w:pPr>
    </w:p>
    <w:p>
      <w:pPr>
        <w:ind w:left="660" w:right="5620" w:hanging="396"/>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900" w:hanging="244"/>
        <w:spacing w:after="0" w:line="207" w:lineRule="exact"/>
        <w:tabs>
          <w:tab w:leader="none" w:pos="9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20" w:hanging="264"/>
        <w:spacing w:after="0" w:line="207" w:lineRule="exact"/>
        <w:tabs>
          <w:tab w:leader="none" w:pos="9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660" w:hanging="39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660" w:right="6920" w:hanging="39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MA</w:t>
      </w:r>
    </w:p>
    <w:p>
      <w:pPr>
        <w:spacing w:after="0" w:line="197" w:lineRule="exact"/>
        <w:rPr>
          <w:rFonts w:ascii="Arial" w:cs="Arial" w:eastAsia="Arial" w:hAnsi="Arial"/>
          <w:sz w:val="18"/>
          <w:szCs w:val="18"/>
          <w:color w:val="auto"/>
        </w:rPr>
      </w:pPr>
    </w:p>
    <w:p>
      <w:pPr>
        <w:ind w:left="2280" w:hanging="328"/>
        <w:spacing w:after="0"/>
        <w:tabs>
          <w:tab w:leader="none" w:pos="22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-1424940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440" w:type="dxa"/>
            <w:vAlign w:val="bottom"/>
            <w:vMerge w:val="restart"/>
          </w:tcPr>
          <w:p>
            <w:pPr>
              <w:jc w:val="center"/>
              <w:ind w:right="70"/>
              <w:spacing w:after="0"/>
              <w:rPr>
                <w:sz w:val="20"/>
                <w:szCs w:val="20"/>
                <w:color w:val="auto"/>
              </w:rPr>
            </w:pPr>
            <w:r>
              <w:rPr>
                <w:rFonts w:ascii="Arial" w:cs="Arial" w:eastAsia="Arial" w:hAnsi="Arial"/>
                <w:sz w:val="18"/>
                <w:szCs w:val="18"/>
                <w:color w:val="auto"/>
                <w:w w:val="96"/>
              </w:rPr>
              <w:t>NUMBER OF</w:t>
            </w:r>
          </w:p>
        </w:tc>
        <w:tc>
          <w:tcPr>
            <w:tcW w:w="560" w:type="dxa"/>
            <w:vAlign w:val="bottom"/>
          </w:tcPr>
          <w:p>
            <w:pPr>
              <w:spacing w:after="0"/>
              <w:rPr>
                <w:sz w:val="20"/>
                <w:szCs w:val="20"/>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0"/>
        </w:trPr>
        <w:tc>
          <w:tcPr>
            <w:tcW w:w="14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440" w:type="dxa"/>
            <w:vAlign w:val="bottom"/>
            <w:vMerge w:val="restart"/>
          </w:tcPr>
          <w:p>
            <w:pPr>
              <w:jc w:val="center"/>
              <w:ind w:right="70"/>
              <w:spacing w:after="0"/>
              <w:rPr>
                <w:sz w:val="20"/>
                <w:szCs w:val="20"/>
                <w:color w:val="auto"/>
              </w:rPr>
            </w:pPr>
            <w:r>
              <w:rPr>
                <w:rFonts w:ascii="Arial" w:cs="Arial" w:eastAsia="Arial" w:hAnsi="Arial"/>
                <w:sz w:val="18"/>
                <w:szCs w:val="18"/>
                <w:color w:val="auto"/>
                <w:w w:val="91"/>
              </w:rPr>
              <w:t>SHARES</w:t>
            </w:r>
          </w:p>
        </w:tc>
        <w:tc>
          <w:tcPr>
            <w:tcW w:w="560" w:type="dxa"/>
            <w:vAlign w:val="bottom"/>
            <w:tcBorders>
              <w:bottom w:val="single" w:sz="8" w:color="auto"/>
            </w:tcBorders>
          </w:tcPr>
          <w:p>
            <w:pPr>
              <w:spacing w:after="0"/>
              <w:rPr>
                <w:sz w:val="7"/>
                <w:szCs w:val="7"/>
                <w:color w:val="auto"/>
              </w:rPr>
            </w:pPr>
          </w:p>
        </w:tc>
        <w:tc>
          <w:tcPr>
            <w:tcW w:w="9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40" w:type="dxa"/>
            <w:vAlign w:val="bottom"/>
            <w:vMerge w:val="continue"/>
          </w:tcPr>
          <w:p>
            <w:pPr>
              <w:spacing w:after="0"/>
              <w:rPr>
                <w:sz w:val="9"/>
                <w:szCs w:val="9"/>
                <w:color w:val="auto"/>
              </w:rPr>
            </w:pPr>
          </w:p>
        </w:tc>
        <w:tc>
          <w:tcPr>
            <w:tcW w:w="560" w:type="dxa"/>
            <w:vAlign w:val="bottom"/>
            <w:vMerge w:val="restart"/>
          </w:tcPr>
          <w:p>
            <w:pPr>
              <w:jc w:val="right"/>
              <w:ind w:right="10"/>
              <w:spacing w:after="0" w:line="201" w:lineRule="exact"/>
              <w:rPr>
                <w:sz w:val="20"/>
                <w:szCs w:val="20"/>
                <w:color w:val="auto"/>
              </w:rPr>
            </w:pPr>
            <w:r>
              <w:rPr>
                <w:rFonts w:ascii="Arial" w:cs="Arial" w:eastAsia="Arial" w:hAnsi="Arial"/>
                <w:sz w:val="18"/>
                <w:szCs w:val="18"/>
                <w:color w:val="auto"/>
              </w:rPr>
              <w:t>6.</w:t>
            </w:r>
          </w:p>
        </w:tc>
        <w:tc>
          <w:tcPr>
            <w:tcW w:w="9060" w:type="dxa"/>
            <w:vAlign w:val="bottom"/>
            <w:vMerge w:val="restart"/>
          </w:tcPr>
          <w:p>
            <w:pPr>
              <w:ind w:left="10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440" w:type="dxa"/>
            <w:vAlign w:val="bottom"/>
            <w:vMerge w:val="restart"/>
          </w:tcPr>
          <w:p>
            <w:pPr>
              <w:jc w:val="center"/>
              <w:ind w:right="70"/>
              <w:spacing w:after="0"/>
              <w:rPr>
                <w:sz w:val="20"/>
                <w:szCs w:val="20"/>
                <w:color w:val="auto"/>
              </w:rPr>
            </w:pPr>
            <w:r>
              <w:rPr>
                <w:rFonts w:ascii="Arial" w:cs="Arial" w:eastAsia="Arial" w:hAnsi="Arial"/>
                <w:sz w:val="18"/>
                <w:szCs w:val="18"/>
                <w:color w:val="auto"/>
              </w:rPr>
              <w:t>BENEFICIALLY</w:t>
            </w:r>
          </w:p>
        </w:tc>
        <w:tc>
          <w:tcPr>
            <w:tcW w:w="560" w:type="dxa"/>
            <w:vAlign w:val="bottom"/>
            <w:vMerge w:val="continue"/>
          </w:tcPr>
          <w:p>
            <w:pPr>
              <w:spacing w:after="0"/>
              <w:rPr>
                <w:sz w:val="8"/>
                <w:szCs w:val="8"/>
                <w:color w:val="auto"/>
              </w:rPr>
            </w:pPr>
          </w:p>
        </w:tc>
        <w:tc>
          <w:tcPr>
            <w:tcW w:w="9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943,702</w:t>
            </w:r>
          </w:p>
        </w:tc>
        <w:tc>
          <w:tcPr>
            <w:tcW w:w="0" w:type="dxa"/>
            <w:vAlign w:val="bottom"/>
          </w:tcPr>
          <w:p>
            <w:pPr>
              <w:spacing w:after="0"/>
              <w:rPr>
                <w:sz w:val="1"/>
                <w:szCs w:val="1"/>
                <w:color w:val="auto"/>
              </w:rPr>
            </w:pPr>
          </w:p>
        </w:tc>
      </w:tr>
      <w:tr>
        <w:trPr>
          <w:trHeight w:val="109"/>
        </w:trPr>
        <w:tc>
          <w:tcPr>
            <w:tcW w:w="1440" w:type="dxa"/>
            <w:vAlign w:val="bottom"/>
            <w:vMerge w:val="restart"/>
          </w:tcPr>
          <w:p>
            <w:pPr>
              <w:jc w:val="center"/>
              <w:ind w:right="70"/>
              <w:spacing w:after="0"/>
              <w:rPr>
                <w:sz w:val="20"/>
                <w:szCs w:val="20"/>
                <w:color w:val="auto"/>
              </w:rPr>
            </w:pPr>
            <w:r>
              <w:rPr>
                <w:rFonts w:ascii="Arial" w:cs="Arial" w:eastAsia="Arial" w:hAnsi="Arial"/>
                <w:sz w:val="18"/>
                <w:szCs w:val="18"/>
                <w:color w:val="auto"/>
                <w:w w:val="97"/>
              </w:rPr>
              <w:t>OWNED BY</w:t>
            </w:r>
          </w:p>
        </w:tc>
        <w:tc>
          <w:tcPr>
            <w:tcW w:w="560" w:type="dxa"/>
            <w:vAlign w:val="bottom"/>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440" w:type="dxa"/>
            <w:vAlign w:val="bottom"/>
            <w:vMerge w:val="restart"/>
          </w:tcPr>
          <w:p>
            <w:pPr>
              <w:jc w:val="center"/>
              <w:ind w:right="70"/>
              <w:spacing w:after="0"/>
              <w:rPr>
                <w:sz w:val="20"/>
                <w:szCs w:val="20"/>
                <w:color w:val="auto"/>
              </w:rPr>
            </w:pPr>
            <w:r>
              <w:rPr>
                <w:rFonts w:ascii="Arial" w:cs="Arial" w:eastAsia="Arial" w:hAnsi="Arial"/>
                <w:sz w:val="18"/>
                <w:szCs w:val="18"/>
                <w:color w:val="auto"/>
                <w:w w:val="95"/>
              </w:rPr>
              <w:t>EACH</w:t>
            </w:r>
          </w:p>
        </w:tc>
        <w:tc>
          <w:tcPr>
            <w:tcW w:w="56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40" w:type="dxa"/>
            <w:vAlign w:val="bottom"/>
            <w:vMerge w:val="continue"/>
          </w:tcPr>
          <w:p>
            <w:pPr>
              <w:spacing w:after="0"/>
              <w:rPr>
                <w:sz w:val="6"/>
                <w:szCs w:val="6"/>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vMerge w:val="restart"/>
          </w:tcPr>
          <w:p>
            <w:pPr>
              <w:jc w:val="center"/>
              <w:ind w:right="70"/>
              <w:spacing w:after="0"/>
              <w:rPr>
                <w:sz w:val="20"/>
                <w:szCs w:val="20"/>
                <w:color w:val="auto"/>
              </w:rPr>
            </w:pPr>
            <w:r>
              <w:rPr>
                <w:rFonts w:ascii="Arial" w:cs="Arial" w:eastAsia="Arial" w:hAnsi="Arial"/>
                <w:sz w:val="18"/>
                <w:szCs w:val="18"/>
                <w:color w:val="auto"/>
                <w:w w:val="93"/>
              </w:rPr>
              <w:t>REPORTING</w:t>
            </w:r>
          </w:p>
        </w:tc>
        <w:tc>
          <w:tcPr>
            <w:tcW w:w="56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440" w:type="dxa"/>
            <w:vAlign w:val="bottom"/>
            <w:vMerge w:val="restart"/>
          </w:tcPr>
          <w:p>
            <w:pPr>
              <w:jc w:val="center"/>
              <w:ind w:right="70"/>
              <w:spacing w:after="0"/>
              <w:rPr>
                <w:sz w:val="20"/>
                <w:szCs w:val="20"/>
                <w:color w:val="auto"/>
              </w:rPr>
            </w:pPr>
            <w:r>
              <w:rPr>
                <w:rFonts w:ascii="Arial" w:cs="Arial" w:eastAsia="Arial" w:hAnsi="Arial"/>
                <w:sz w:val="18"/>
                <w:szCs w:val="18"/>
                <w:color w:val="auto"/>
                <w:w w:val="94"/>
              </w:rPr>
              <w:t>PERSON WITH</w:t>
            </w:r>
          </w:p>
        </w:tc>
        <w:tc>
          <w:tcPr>
            <w:tcW w:w="560" w:type="dxa"/>
            <w:vAlign w:val="bottom"/>
            <w:tcBorders>
              <w:bottom w:val="single" w:sz="8" w:color="auto"/>
            </w:tcBorders>
          </w:tcPr>
          <w:p>
            <w:pPr>
              <w:spacing w:after="0"/>
              <w:rPr>
                <w:sz w:val="12"/>
                <w:szCs w:val="12"/>
                <w:color w:val="auto"/>
              </w:rPr>
            </w:pPr>
          </w:p>
        </w:tc>
        <w:tc>
          <w:tcPr>
            <w:tcW w:w="9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40" w:type="dxa"/>
            <w:vAlign w:val="bottom"/>
            <w:vMerge w:val="continue"/>
          </w:tcPr>
          <w:p>
            <w:pPr>
              <w:spacing w:after="0"/>
              <w:rPr>
                <w:sz w:val="5"/>
                <w:szCs w:val="5"/>
                <w:color w:val="auto"/>
              </w:rPr>
            </w:pPr>
          </w:p>
        </w:tc>
        <w:tc>
          <w:tcPr>
            <w:tcW w:w="560" w:type="dxa"/>
            <w:vAlign w:val="bottom"/>
            <w:vMerge w:val="restart"/>
          </w:tcPr>
          <w:p>
            <w:pPr>
              <w:jc w:val="right"/>
              <w:ind w:right="10"/>
              <w:spacing w:after="0" w:line="201" w:lineRule="exact"/>
              <w:rPr>
                <w:sz w:val="20"/>
                <w:szCs w:val="20"/>
                <w:color w:val="auto"/>
              </w:rPr>
            </w:pPr>
            <w:r>
              <w:rPr>
                <w:rFonts w:ascii="Arial" w:cs="Arial" w:eastAsia="Arial" w:hAnsi="Arial"/>
                <w:sz w:val="18"/>
                <w:szCs w:val="18"/>
                <w:color w:val="auto"/>
              </w:rPr>
              <w:t>8.</w:t>
            </w:r>
          </w:p>
        </w:tc>
        <w:tc>
          <w:tcPr>
            <w:tcW w:w="9060" w:type="dxa"/>
            <w:vAlign w:val="bottom"/>
            <w:vMerge w:val="restart"/>
          </w:tcPr>
          <w:p>
            <w:pPr>
              <w:ind w:left="10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9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943,702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943,702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660" w:right="3940" w:hanging="440"/>
        <w:spacing w:after="0" w:line="233"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9" w:lineRule="exact"/>
        <w:rPr>
          <w:rFonts w:ascii="Arial" w:cs="Arial" w:eastAsia="Arial" w:hAnsi="Arial"/>
          <w:sz w:val="18"/>
          <w:szCs w:val="18"/>
          <w:color w:val="auto"/>
        </w:rPr>
      </w:pPr>
    </w:p>
    <w:p>
      <w:pPr>
        <w:ind w:left="660" w:hanging="43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5.32%</w:t>
      </w:r>
    </w:p>
    <w:p>
      <w:pPr>
        <w:spacing w:after="0" w:line="237" w:lineRule="exact"/>
        <w:rPr>
          <w:rFonts w:ascii="Arial" w:cs="Arial" w:eastAsia="Arial" w:hAnsi="Arial"/>
          <w:sz w:val="18"/>
          <w:szCs w:val="18"/>
          <w:color w:val="auto"/>
        </w:rPr>
      </w:pPr>
    </w:p>
    <w:p>
      <w:pPr>
        <w:ind w:left="660" w:hanging="44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37"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Based upon 17,710,450 shares of common stock issued and outstanding on November 10, 2021 as reported by the Issuer on its registration statement on Form 10-Q filed with the Securities and Exchange Commission on November 12, 2021. This calculation does not include the exercise or conversion of outstanding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-1296670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-868045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spacing w:after="0"/>
        <w:tabs>
          <w:tab w:leader="none" w:pos="5460" w:val="left"/>
          <w:tab w:leader="none" w:pos="9940" w:val="left"/>
        </w:tabs>
        <w:rPr>
          <w:sz w:val="20"/>
          <w:szCs w:val="20"/>
          <w:color w:val="auto"/>
        </w:rPr>
      </w:pPr>
      <w:r>
        <w:rPr>
          <w:rFonts w:ascii="Arial" w:cs="Arial" w:eastAsia="Arial" w:hAnsi="Arial"/>
          <w:sz w:val="18"/>
          <w:szCs w:val="18"/>
          <w:color w:val="auto"/>
        </w:rPr>
        <w:t>CUSIP No. 517125100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 Larimar Therapeutics, Inc.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 Three Bala Plaza East, Suite 506, Bala Cynwyd, PA 19004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-276225</wp:posOffset>
            </wp:positionV>
            <wp:extent cx="67208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 This statement is filed by the entities and persons listed below, who are collectively referred to herein as “Reporting Persons” with respect to the shares of common stock of the Company.</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Opaleye Fund</w:t>
      </w:r>
    </w:p>
    <w:p>
      <w:pPr>
        <w:spacing w:after="0" w:line="225" w:lineRule="exact"/>
        <w:rPr>
          <w:rFonts w:ascii="Arial" w:cs="Arial" w:eastAsia="Arial" w:hAnsi="Arial"/>
          <w:sz w:val="18"/>
          <w:szCs w:val="18"/>
          <w:color w:val="auto"/>
        </w:rPr>
      </w:pPr>
    </w:p>
    <w:p>
      <w:pPr>
        <w:ind w:left="660" w:right="4560"/>
        <w:spacing w:after="0" w:line="500" w:lineRule="auto"/>
        <w:rPr>
          <w:rFonts w:ascii="Arial" w:cs="Arial" w:eastAsia="Arial" w:hAnsi="Arial"/>
          <w:sz w:val="18"/>
          <w:szCs w:val="18"/>
          <w:color w:val="auto"/>
        </w:rPr>
      </w:pPr>
      <w:r>
        <w:rPr>
          <w:rFonts w:ascii="Arial" w:cs="Arial" w:eastAsia="Arial" w:hAnsi="Arial"/>
          <w:sz w:val="18"/>
          <w:szCs w:val="18"/>
          <w:color w:val="auto"/>
        </w:rPr>
        <w:t xml:space="preserve">Opaleye, L.P. (the “Opaleye Fund”), a private fund formed in the state of Delaware. </w:t>
      </w:r>
      <w:r>
        <w:rPr>
          <w:rFonts w:ascii="Arial" w:cs="Arial" w:eastAsia="Arial" w:hAnsi="Arial"/>
          <w:sz w:val="18"/>
          <w:szCs w:val="18"/>
          <w:u w:val="single" w:color="auto"/>
          <w:color w:val="auto"/>
        </w:rPr>
        <w:t>Investment Manager</w:t>
      </w:r>
    </w:p>
    <w:p>
      <w:pPr>
        <w:spacing w:after="0" w:line="1"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Opaleye Management Inc. (the “Investment Manager”), with respect to the shares of common stock held by the Opaleye Fund, a private fund to which the Investment Manager serves as investment manager. The Investment Manager also serves as a portfolio manager for a separate managed account (the “Managed Account”) and may be deemed to indirectly beneficially own securities owned by the Managed Account. The Investment Manager disclaims beneficial ownership of the shares held by the Managed Account.</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Reporting Individual</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Mr. James Silverman (the “Reporting Individual”), with respect to the shares of common stock held by the Opaleye Fund. Mr. Silverman is the President of the Investment Manager.</w:t>
      </w:r>
    </w:p>
    <w:p>
      <w:pPr>
        <w:spacing w:after="0" w:line="15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Address of the Principal Office or, if none, residence One Boston Place,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02108</w:t>
      </w:r>
    </w:p>
    <w:p>
      <w:pPr>
        <w:spacing w:after="0" w:line="78" w:lineRule="exact"/>
        <w:rPr>
          <w:rFonts w:ascii="Arial" w:cs="Arial" w:eastAsia="Arial" w:hAnsi="Arial"/>
          <w:sz w:val="36"/>
          <w:szCs w:val="36"/>
          <w:color w:val="auto"/>
          <w:vertAlign w:val="superscript"/>
        </w:rPr>
      </w:pPr>
    </w:p>
    <w:p>
      <w:pPr>
        <w:ind w:left="660" w:right="29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is set forth in Row 4 of the cover page for each Reporting Person and is incorporated herein by reference for each such Reporting Person.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 Stock, par value $0.001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208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6" w:lineRule="exact"/>
        <w:rPr>
          <w:sz w:val="20"/>
          <w:szCs w:val="20"/>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980" w:hanging="648"/>
        <w:spacing w:after="0" w:line="239" w:lineRule="exact"/>
        <w:tabs>
          <w:tab w:leader="none" w:pos="656"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 w:name="page4"/>
    <w:bookmarkEnd w:id="3"/>
    <w:p>
      <w:pPr>
        <w:spacing w:after="0"/>
        <w:tabs>
          <w:tab w:leader="none" w:pos="5460" w:val="left"/>
          <w:tab w:leader="none" w:pos="9940" w:val="left"/>
        </w:tabs>
        <w:rPr>
          <w:sz w:val="20"/>
          <w:szCs w:val="20"/>
          <w:color w:val="auto"/>
        </w:rPr>
      </w:pPr>
      <w:r>
        <w:rPr>
          <w:rFonts w:ascii="Arial" w:cs="Arial" w:eastAsia="Arial" w:hAnsi="Arial"/>
          <w:sz w:val="18"/>
          <w:szCs w:val="18"/>
          <w:color w:val="auto"/>
        </w:rPr>
        <w:t>CUSIP No. 517125100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943,702</w:t>
      </w:r>
    </w:p>
    <w:p>
      <w:pPr>
        <w:spacing w:after="0" w:line="225" w:lineRule="exact"/>
        <w:rPr>
          <w:rFonts w:ascii="Arial" w:cs="Arial" w:eastAsia="Arial" w:hAnsi="Arial"/>
          <w:sz w:val="18"/>
          <w:szCs w:val="18"/>
          <w:color w:val="auto"/>
        </w:rPr>
      </w:pPr>
    </w:p>
    <w:p>
      <w:pPr>
        <w:ind w:left="660" w:right="594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943,702 shares of common stock* Opaleye, L.P. — 943,702 shares of common stock*</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James Silverman — 943,702 shares of common stock*</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Includes 48,702 shares of common stock held by the Managed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5.32%</w:t>
      </w:r>
    </w:p>
    <w:p>
      <w:pPr>
        <w:spacing w:after="0" w:line="225" w:lineRule="exact"/>
        <w:rPr>
          <w:rFonts w:ascii="Arial" w:cs="Arial" w:eastAsia="Arial" w:hAnsi="Arial"/>
          <w:sz w:val="18"/>
          <w:szCs w:val="18"/>
          <w:color w:val="auto"/>
        </w:rPr>
      </w:pPr>
    </w:p>
    <w:p>
      <w:pPr>
        <w:ind w:left="660" w:right="776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5.32%** Opaleye, L.P. — 5.32%**</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James Silverman — 5.32%**</w:t>
      </w:r>
    </w:p>
    <w:p>
      <w:pPr>
        <w:spacing w:after="0" w:line="210" w:lineRule="exact"/>
        <w:rPr>
          <w:rFonts w:ascii="Arial" w:cs="Arial" w:eastAsia="Arial" w:hAnsi="Arial"/>
          <w:sz w:val="18"/>
          <w:szCs w:val="18"/>
          <w:color w:val="auto"/>
        </w:rPr>
      </w:pPr>
    </w:p>
    <w:p>
      <w:pPr>
        <w:jc w:val="both"/>
        <w:ind w:left="660" w:hanging="4"/>
        <w:spacing w:after="0" w:line="263" w:lineRule="auto"/>
        <w:tabs>
          <w:tab w:leader="none" w:pos="898" w:val="left"/>
        </w:tabs>
        <w:numPr>
          <w:ilvl w:val="1"/>
          <w:numId w:val="9"/>
        </w:numPr>
        <w:rPr>
          <w:rFonts w:ascii="Arial" w:cs="Arial" w:eastAsia="Arial" w:hAnsi="Arial"/>
          <w:sz w:val="18"/>
          <w:szCs w:val="18"/>
          <w:color w:val="auto"/>
        </w:rPr>
      </w:pPr>
      <w:r>
        <w:rPr>
          <w:rFonts w:ascii="Arial" w:cs="Arial" w:eastAsia="Arial" w:hAnsi="Arial"/>
          <w:sz w:val="18"/>
          <w:szCs w:val="18"/>
          <w:color w:val="auto"/>
        </w:rPr>
        <w:t>Based upon 17,710,450 shares of common stock issued and outstanding on November 10, 2021 as reported by the Issuer on its registration statement on Form 10-Q filed with the Securities and Exchange Commission on November 12, 2021. This calculation does not include the exercise or conversion of outstanding securities of the Issuer.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 943,702*</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943,702*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943,702*</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Includes 48,702 shares of common stock held by the Managed Account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jc w:val="both"/>
        <w:ind w:left="660" w:right="20"/>
        <w:spacing w:after="0" w:line="311"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spacing w:after="0"/>
        <w:tabs>
          <w:tab w:leader="none" w:pos="5460" w:val="left"/>
          <w:tab w:leader="none" w:pos="9940" w:val="left"/>
        </w:tabs>
        <w:rPr>
          <w:sz w:val="20"/>
          <w:szCs w:val="20"/>
          <w:color w:val="auto"/>
        </w:rPr>
      </w:pPr>
      <w:r>
        <w:rPr>
          <w:rFonts w:ascii="Arial" w:cs="Arial" w:eastAsia="Arial" w:hAnsi="Arial"/>
          <w:sz w:val="18"/>
          <w:szCs w:val="18"/>
          <w:color w:val="auto"/>
        </w:rPr>
        <w:t>CUSIP No. 517125100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02/18/2022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James Silverman</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Opaleye, L.P.</w:t>
      </w:r>
    </w:p>
    <w:p>
      <w:pPr>
        <w:spacing w:after="0" w:line="27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Managing Member of Opaleye</w:t>
      </w:r>
    </w:p>
    <w:p>
      <w:pPr>
        <w:spacing w:after="0" w:line="27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 GP LLC, the General Partner of Opaleye, L.P.</w:t>
      </w:r>
    </w:p>
    <w:p>
      <w:pPr>
        <w:spacing w:after="0" w:line="27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Title: President, Opaleye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79E2A9E3"/>
    <w:multiLevelType w:val="hybridMultilevel"/>
    <w:lvl w:ilvl="0">
      <w:lvlJc w:val="left"/>
      <w:lvlText w:val="%1."/>
      <w:numFmt w:val="decimal"/>
      <w:start w:val="10"/>
    </w:lvl>
    <w:lvl w:ilvl="1">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lvl w:ilvl="1">
      <w:lvlJc w:val="left"/>
      <w:lvlText w:val="*"/>
      <w:numFmt w:val="bullet"/>
      <w:start w:val="1"/>
    </w:lvl>
  </w:abstractNum>
  <w:abstractNum w:abstractNumId="8">
    <w:nsid w:val="4DB127F8"/>
    <w:multiLevelType w:val="hybridMultilevel"/>
    <w:lvl w:ilvl="0">
      <w:lvlJc w:val="left"/>
      <w:lvlText w:val="(%1)"/>
      <w:numFmt w:val="lowerLetter"/>
      <w:start w:val="2"/>
    </w:lvl>
    <w:lvl w:ilvl="1">
      <w:lvlJc w:val="left"/>
      <w:lvlText w:val="**"/>
      <w:numFmt w:val="bullet"/>
      <w:start w:val="1"/>
    </w:lvl>
  </w:abstractNum>
  <w:abstractNum w:abstractNumId="9">
    <w:nsid w:val="216231B"/>
    <w:multiLevelType w:val="hybridMultilevel"/>
    <w:lvl w:ilvl="0">
      <w:lvlJc w:val="left"/>
      <w:lvlText w:val="(%1)"/>
      <w:numFmt w:val="lowerRoman"/>
      <w:start w:val="1"/>
    </w:lvl>
    <w:lvl w:ilvl="1">
      <w:lvlJc w:val="left"/>
      <w:lvlText w:val="*"/>
      <w:numFmt w:val="bullet"/>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2022-02-18T15:35:23Z</dcterms:created>
  <dcterms:modified xsi:type="dcterms:W3CDTF">2022-02-18T15:35:23Z</dcterms:modified>
</cp:coreProperties>
</file>