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restart"/>
          </w:tcPr>
          <w:p>
            <w:pPr>
              <w:spacing w:after="0"/>
              <w:rPr>
                <w:rFonts w:ascii="Arial" w:cs="Arial" w:eastAsia="Arial" w:hAnsi="Arial"/>
                <w:sz w:val="22"/>
                <w:szCs w:val="22"/>
                <w:color w:val="0000EE"/>
                <w:w w:val="96"/>
              </w:rPr>
            </w:pPr>
            <w:hyperlink r:id="rId12">
              <w:r>
                <w:rPr>
                  <w:rFonts w:ascii="Arial" w:cs="Arial" w:eastAsia="Arial" w:hAnsi="Arial"/>
                  <w:sz w:val="22"/>
                  <w:szCs w:val="22"/>
                  <w:color w:val="0000EE"/>
                  <w:w w:val="96"/>
                </w:rPr>
                <w:t>Goldberg Avi Y.</w:t>
              </w:r>
            </w:hyperlink>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ZAFGEN,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ZFGN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3"/>
            <w:vMerge w:val="continue"/>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820" w:type="dxa"/>
            <w:vAlign w:val="bottom"/>
            <w:gridSpan w:val="3"/>
          </w:tcPr>
          <w:p>
            <w:pPr>
              <w:ind w:left="56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4"/>
              </w:rPr>
              <w:t>C/O ZAFGEN, INC.</w:t>
            </w:r>
          </w:p>
        </w:tc>
        <w:tc>
          <w:tcPr>
            <w:tcW w:w="1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5"/>
          </w:tcPr>
          <w:p>
            <w:pPr>
              <w:ind w:left="160"/>
              <w:spacing w:after="0"/>
              <w:rPr>
                <w:sz w:val="20"/>
                <w:szCs w:val="20"/>
                <w:color w:val="auto"/>
              </w:rPr>
            </w:pPr>
            <w:r>
              <w:rPr>
                <w:rFonts w:ascii="Arial" w:cs="Arial" w:eastAsia="Arial" w:hAnsi="Arial"/>
                <w:sz w:val="18"/>
                <w:szCs w:val="18"/>
                <w:color w:val="0000FF"/>
              </w:rPr>
              <w:t>06/01/2015</w:t>
            </w: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3"/>
            <w:vMerge w:val="continue"/>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175 PORTLAND STREET, 4TH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1820" w:type="dxa"/>
            <w:vAlign w:val="bottom"/>
            <w:gridSpan w:val="3"/>
          </w:tcPr>
          <w:p>
            <w:pPr>
              <w:ind w:left="56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02114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1820" w:type="dxa"/>
            <w:vAlign w:val="bottom"/>
            <w:gridSpan w:val="3"/>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5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2"/>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80" w:type="dxa"/>
            <w:vAlign w:val="bottom"/>
            <w:gridSpan w:val="5"/>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4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40"/>
              <w:spacing w:after="0"/>
              <w:rPr>
                <w:sz w:val="20"/>
                <w:szCs w:val="20"/>
                <w:color w:val="auto"/>
              </w:rPr>
            </w:pPr>
            <w:r>
              <w:rPr>
                <w:rFonts w:ascii="Arial" w:cs="Arial" w:eastAsia="Arial" w:hAnsi="Arial"/>
                <w:sz w:val="18"/>
                <w:szCs w:val="18"/>
                <w:color w:val="0000FF"/>
              </w:rPr>
              <w:t>06/01/2015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4"/>
                <w:szCs w:val="14"/>
                <w:color w:val="0000FF"/>
                <w:w w:val="85"/>
              </w:rPr>
              <w:t>S</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8"/>
              </w:rPr>
              <w:t>2,000</w:t>
            </w:r>
            <w:r>
              <w:rPr>
                <w:rFonts w:ascii="Arial" w:cs="Arial" w:eastAsia="Arial" w:hAnsi="Arial"/>
                <w:sz w:val="22"/>
                <w:szCs w:val="22"/>
                <w:color w:val="008000"/>
                <w:w w:val="88"/>
                <w:vertAlign w:val="superscript"/>
              </w:rPr>
              <w:t>(1)</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4"/>
          </w:tcPr>
          <w:p>
            <w:pPr>
              <w:ind w:left="16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32.2262</w:t>
            </w:r>
          </w:p>
        </w:tc>
        <w:tc>
          <w:tcPr>
            <w:tcW w:w="122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61,734</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7"/>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20" w:type="dxa"/>
            <w:vAlign w:val="bottom"/>
            <w:gridSpan w:val="15"/>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sale of 2,000 shares of Common Stock by the Reporting Person was effected pursuant to a Rule 10b5-1 trading plan adopted by the Reporting Person in accordance with Rule 10b5-1 of the Securities Exchange Act of 1934, as amended.</w:t>
      </w:r>
    </w:p>
    <w:p>
      <w:pPr>
        <w:spacing w:after="0" w:line="30" w:lineRule="exact"/>
        <w:rPr>
          <w:rFonts w:ascii="Arial" w:cs="Arial" w:eastAsia="Arial" w:hAnsi="Arial"/>
          <w:sz w:val="14"/>
          <w:szCs w:val="14"/>
          <w:color w:val="008000"/>
        </w:rPr>
      </w:pPr>
    </w:p>
    <w:p>
      <w:pPr>
        <w:ind w:left="40" w:right="8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At the time of the Reporting Person's last ownership report, the Reporting Person was a partner at Greatpoint Ventures Fund I, LLC ("GPV") and reported as beneficial owned 345,642 shares of Common Stock owned by GPV. On December 29, 2014, GPV made a distribution of 115,880 shares of Common Stock to the Reporting Person upon the termination of the relationship between the Reporting Person and GPV. The reporting person no longer reports as beneficially owned any securities owned by GPV. On April 17, 2015, the Reporting Person transferred 52,146 shares pursuant to a court decree. The Reporting Person no longer reports as beneficially owned these transferred shares.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Laurie Burlingame</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06/03/2015</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(Attorney-In-Fact)</w:t>
            </w:r>
          </w:p>
        </w:tc>
        <w:tc>
          <w:tcPr>
            <w:tcW w:w="220" w:type="dxa"/>
            <w:vAlign w:val="bottom"/>
            <w:tcBorders>
              <w:top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220" w:type="dxa"/>
            <w:vAlign w:val="bottom"/>
            <w:tcBorders>
              <w:top w:val="single" w:sz="8" w:color="auto"/>
            </w:tcBorders>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0" w:lineRule="exact"/>
        <w:rPr>
          <w:sz w:val="20"/>
          <w:szCs w:val="20"/>
          <w:color w:val="auto"/>
        </w:rPr>
      </w:pP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undersigned hereby constitutes and appoints each of Thomas E. Hughes, Ph.D., Patricia L. Allen and Laurie Burlingame, signing singly, and with full power of substitution, the undersigned's true and lawful attorney-in-fact to:</w:t>
      </w:r>
    </w:p>
    <w:p>
      <w:pPr>
        <w:spacing w:after="0" w:line="209" w:lineRule="exact"/>
        <w:rPr>
          <w:sz w:val="20"/>
          <w:szCs w:val="20"/>
          <w:color w:val="auto"/>
        </w:rPr>
      </w:pPr>
    </w:p>
    <w:p>
      <w:pPr>
        <w:ind w:right="619" w:firstLine="851"/>
        <w:spacing w:after="0" w:line="268" w:lineRule="auto"/>
        <w:tabs>
          <w:tab w:leader="none" w:pos="1686"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Zafgen, Inc. (the "Company"), from time to time</w:t>
      </w:r>
    </w:p>
    <w:p>
      <w:pPr>
        <w:ind w:right="17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5, Annual Statement of Beneficial Ownership of Securities in</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accordance with Section 16(a) of the Securities Exchange Act of 1934, as amended, and the rules thereunder, including any attached documents; (v) Schedule 13D and (vi) amendments of each thereof, in accordance with the Securities Exchange Act of 1934, as amended, and the rules thereunder, including any attached documents;</w:t>
      </w:r>
    </w:p>
    <w:p>
      <w:pPr>
        <w:spacing w:after="0" w:line="209" w:lineRule="exact"/>
        <w:rPr>
          <w:sz w:val="20"/>
          <w:szCs w:val="20"/>
          <w:color w:val="auto"/>
        </w:rPr>
      </w:pPr>
    </w:p>
    <w:p>
      <w:pPr>
        <w:ind w:right="73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w:t>
      </w:r>
    </w:p>
    <w:p>
      <w:pPr>
        <w:spacing w:after="0" w:line="5" w:lineRule="exact"/>
        <w:rPr>
          <w:rFonts w:ascii="Courier New" w:cs="Courier New" w:eastAsia="Courier New" w:hAnsi="Courier New"/>
          <w:sz w:val="18"/>
          <w:szCs w:val="18"/>
          <w:color w:val="auto"/>
        </w:rPr>
      </w:pPr>
    </w:p>
    <w:p>
      <w:pPr>
        <w:jc w:val="both"/>
        <w:ind w:right="18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Schedule 13D or any amendment(s) thereto, and timely file such form(s) with the SEC and any securities exchange, national association or similar authority; and</w:t>
      </w:r>
    </w:p>
    <w:p>
      <w:pPr>
        <w:spacing w:after="0" w:line="169" w:lineRule="exact"/>
        <w:rPr>
          <w:rFonts w:ascii="Courier New" w:cs="Courier New" w:eastAsia="Courier New" w:hAnsi="Courier New"/>
          <w:sz w:val="18"/>
          <w:szCs w:val="18"/>
          <w:color w:val="auto"/>
        </w:rPr>
      </w:pPr>
    </w:p>
    <w:p>
      <w:pPr>
        <w:ind w:right="1459" w:firstLine="851"/>
        <w:spacing w:after="0" w:line="268" w:lineRule="auto"/>
        <w:tabs>
          <w:tab w:leader="none" w:pos="168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459" w:firstLine="843"/>
        <w:spacing w:after="0" w:line="236" w:lineRule="auto"/>
        <w:rPr>
          <w:sz w:val="20"/>
          <w:szCs w:val="20"/>
          <w:color w:val="auto"/>
        </w:rPr>
      </w:pPr>
      <w:r>
        <w:rPr>
          <w:rFonts w:ascii="Courier New" w:cs="Courier New" w:eastAsia="Courier New" w:hAnsi="Courier New"/>
          <w:sz w:val="18"/>
          <w:szCs w:val="18"/>
          <w:color w:val="auto"/>
        </w:rPr>
        <w:t>The undersigned hereby grants to each such attorney-in-fact, acting singly, full power and authority to do and perform any and every act and thing whatsoever requisite, necessary or proper to be done in the exercise of any of</w:t>
      </w:r>
    </w:p>
    <w:p>
      <w:pPr>
        <w:spacing w:after="0" w:line="6"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4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June 12, 2014.</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Avi Y. Goldberg</w:t>
      </w:r>
    </w:p>
    <w:p>
      <w:pPr>
        <w:ind w:left="2540"/>
        <w:spacing w:after="0" w:line="238" w:lineRule="auto"/>
        <w:rPr>
          <w:sz w:val="20"/>
          <w:szCs w:val="20"/>
          <w:color w:val="auto"/>
        </w:rPr>
      </w:pPr>
      <w:r>
        <w:rPr>
          <w:rFonts w:ascii="Courier New" w:cs="Courier New" w:eastAsia="Courier New" w:hAnsi="Courier New"/>
          <w:sz w:val="18"/>
          <w:szCs w:val="18"/>
          <w:color w:val="auto"/>
        </w:rPr>
        <w:t>Avi Y. Goldberg</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Roman"/>
      <w:start w:val="1"/>
    </w:lvl>
    <w:lvl w:ilvl="1">
      <w:lvlJc w:val="left"/>
      <w:lvlText w:val="(%2)"/>
      <w:numFmt w:val="decimal"/>
      <w:start w:val="1"/>
    </w:lvl>
  </w:abstractNum>
  <w:abstractNum w:abstractNumId="3">
    <w:nsid w:val="238E1F29"/>
    <w:multiLevelType w:val="hybridMultilevel"/>
    <w:lvl w:ilvl="0">
      <w:lvlJc w:val="left"/>
      <w:lvlText w:val="(%1)"/>
      <w:numFmt w:val="lowerRoman"/>
      <w:start w:val="4"/>
    </w:lvl>
    <w:lvl w:ilvl="1">
      <w:lvlJc w:val="left"/>
      <w:lvlText w:val="%2"/>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1061"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2019-12-08T17:13:31Z</dcterms:created>
  <dcterms:modified xsi:type="dcterms:W3CDTF">2019-12-08T17:13:31Z</dcterms:modified>
</cp:coreProperties>
</file>