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SHERMAN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LARIMAR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THREE BALA PLAZA EAST, SUITE 506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CYNWYD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Larimar Therapeutics, Inc.</w:t>
              </w:r>
            </w:hyperlink>
            <w:r>
              <w:rPr/>
              <w:t xml:space="preserve"> [ </w:t>
            </w:r>
            <w:r>
              <w:rPr>
                <w:rFonts w:ascii="Times;serif" w:hAnsi="Times;serif"/>
                <w:color w:val="0000FF"/>
                <w:sz w:val="24"/>
                <w:shd w:fill="FFFFFF" w:val="clear"/>
              </w:rPr>
              <w:t>LRMR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10/03/2023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3.555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in equal monthly installments over 36 months commencing on November 3, 2023, subject to the Reporting Person's continued service on the Board of Directors of the Company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Johansson,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30482" TargetMode="External"/><Relationship Id="rId4" Type="http://schemas.openxmlformats.org/officeDocument/2006/relationships/hyperlink" Target="http://www.sec.gov/cgi-bin/browse-edgar?action=getcompany&amp;CIK=00013746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3302</Characters>
  <CharactersWithSpaces>3842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