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LRMR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May 19, 2026, Larimar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virtually. As of March 25, 2026, the record date for the Annual Meeting, there were 103,882,937 outstanding shares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entitled to vote at the Annual Meeting.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20, 2026.</w:t>
      </w:r>
    </w:p>
    <w:p>
      <w:pPr>
        <w:spacing w:after="0" w:line="181"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1 - Election of Class III Directors. </w:t>
      </w:r>
      <w:r>
        <w:rPr>
          <w:rFonts w:ascii="Times New Roman" w:cs="Times New Roman" w:eastAsia="Times New Roman" w:hAnsi="Times New Roman"/>
          <w:sz w:val="18"/>
          <w:szCs w:val="18"/>
          <w:color w:val="auto"/>
        </w:rPr>
        <w:t>Frank Thomas, Carole S. Ben-Maimon, M.D. and Joseph Truitt were elected to the Board of Directors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 Class III directors to serve until the Company’s 2029 Annual Meeting of Stockholders and until their successors, if any, are duly elected and qualified or appointed, or their earlier death, resignation, or removal,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40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Frank Thomas</w:t>
            </w:r>
          </w:p>
        </w:tc>
        <w:tc>
          <w:tcPr>
            <w:tcW w:w="20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66,827,378</w:t>
            </w:r>
          </w:p>
        </w:tc>
        <w:tc>
          <w:tcPr>
            <w:tcW w:w="23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7"/>
              </w:rPr>
              <w:t>8,569,298</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15,489,254</w:t>
            </w:r>
          </w:p>
        </w:tc>
      </w:tr>
      <w:tr>
        <w:trPr>
          <w:trHeight w:val="216"/>
        </w:trPr>
        <w:tc>
          <w:tcPr>
            <w:tcW w:w="4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Carole S. Ben-Maimon, M.D.</w:t>
            </w:r>
          </w:p>
        </w:tc>
        <w:tc>
          <w:tcPr>
            <w:tcW w:w="20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67,314,208</w:t>
            </w:r>
          </w:p>
        </w:tc>
        <w:tc>
          <w:tcPr>
            <w:tcW w:w="2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8,082,468</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15,489,254</w:t>
            </w:r>
          </w:p>
        </w:tc>
      </w:tr>
      <w:tr>
        <w:trPr>
          <w:trHeight w:val="216"/>
        </w:trPr>
        <w:tc>
          <w:tcPr>
            <w:tcW w:w="40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Joseph Truitt</w:t>
            </w:r>
          </w:p>
        </w:tc>
        <w:tc>
          <w:tcPr>
            <w:tcW w:w="20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66,445,617</w:t>
            </w:r>
          </w:p>
        </w:tc>
        <w:tc>
          <w:tcPr>
            <w:tcW w:w="23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7"/>
              </w:rPr>
              <w:t>8,951,059</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15,489,254</w:t>
            </w:r>
          </w:p>
        </w:tc>
      </w:tr>
    </w:tbl>
    <w:p>
      <w:pPr>
        <w:spacing w:after="0" w:line="19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 Approval, on an advisory basis, of the compensation of the Company’s named executive officers in 2025. </w:t>
      </w:r>
      <w:r>
        <w:rPr>
          <w:rFonts w:ascii="Times New Roman" w:cs="Times New Roman" w:eastAsia="Times New Roman" w:hAnsi="Times New Roman"/>
          <w:sz w:val="18"/>
          <w:szCs w:val="18"/>
          <w:color w:val="auto"/>
        </w:rPr>
        <w:t>The stockholders approved,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basis, the compensation of the Company’s named executive officers in 2025,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5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220" w:type="dxa"/>
            <w:vAlign w:val="bottom"/>
            <w:shd w:val="clear" w:color="auto" w:fill="CCECFF"/>
          </w:tcPr>
          <w:p>
            <w:pPr>
              <w:jc w:val="right"/>
              <w:ind w:right="670"/>
              <w:spacing w:after="0"/>
              <w:rPr>
                <w:sz w:val="20"/>
                <w:szCs w:val="20"/>
                <w:color w:val="auto"/>
              </w:rPr>
            </w:pPr>
            <w:r>
              <w:rPr>
                <w:rFonts w:ascii="Times New Roman" w:cs="Times New Roman" w:eastAsia="Times New Roman" w:hAnsi="Times New Roman"/>
                <w:sz w:val="18"/>
                <w:szCs w:val="18"/>
                <w:color w:val="auto"/>
              </w:rPr>
              <w:t>73,822,237</w:t>
            </w:r>
          </w:p>
        </w:tc>
        <w:tc>
          <w:tcPr>
            <w:tcW w:w="2680" w:type="dxa"/>
            <w:vAlign w:val="bottom"/>
            <w:shd w:val="clear" w:color="auto" w:fill="CCECFF"/>
          </w:tcPr>
          <w:p>
            <w:pPr>
              <w:jc w:val="right"/>
              <w:ind w:right="930"/>
              <w:spacing w:after="0"/>
              <w:rPr>
                <w:sz w:val="20"/>
                <w:szCs w:val="20"/>
                <w:color w:val="auto"/>
              </w:rPr>
            </w:pPr>
            <w:r>
              <w:rPr>
                <w:rFonts w:ascii="Times New Roman" w:cs="Times New Roman" w:eastAsia="Times New Roman" w:hAnsi="Times New Roman"/>
                <w:sz w:val="18"/>
                <w:szCs w:val="18"/>
                <w:color w:val="auto"/>
              </w:rPr>
              <w:t>1,498,429</w:t>
            </w:r>
          </w:p>
        </w:tc>
        <w:tc>
          <w:tcPr>
            <w:tcW w:w="2760" w:type="dxa"/>
            <w:vAlign w:val="bottom"/>
            <w:shd w:val="clear" w:color="auto" w:fill="CCECFF"/>
          </w:tcPr>
          <w:p>
            <w:pPr>
              <w:jc w:val="right"/>
              <w:ind w:right="1110"/>
              <w:spacing w:after="0"/>
              <w:rPr>
                <w:sz w:val="20"/>
                <w:szCs w:val="20"/>
                <w:color w:val="auto"/>
              </w:rPr>
            </w:pPr>
            <w:r>
              <w:rPr>
                <w:rFonts w:ascii="Times New Roman" w:cs="Times New Roman" w:eastAsia="Times New Roman" w:hAnsi="Times New Roman"/>
                <w:sz w:val="18"/>
                <w:szCs w:val="18"/>
                <w:color w:val="auto"/>
              </w:rPr>
              <w:t>76,010</w:t>
            </w:r>
          </w:p>
        </w:tc>
        <w:tc>
          <w:tcPr>
            <w:tcW w:w="3580" w:type="dxa"/>
            <w:vAlign w:val="bottom"/>
            <w:shd w:val="clear" w:color="auto" w:fill="CCECFF"/>
          </w:tcPr>
          <w:p>
            <w:pPr>
              <w:jc w:val="right"/>
              <w:ind w:right="1390"/>
              <w:spacing w:after="0"/>
              <w:rPr>
                <w:sz w:val="20"/>
                <w:szCs w:val="20"/>
                <w:color w:val="auto"/>
              </w:rPr>
            </w:pPr>
            <w:r>
              <w:rPr>
                <w:rFonts w:ascii="Times New Roman" w:cs="Times New Roman" w:eastAsia="Times New Roman" w:hAnsi="Times New Roman"/>
                <w:sz w:val="18"/>
                <w:szCs w:val="18"/>
                <w:color w:val="auto"/>
              </w:rPr>
              <w:t>15,489,254</w:t>
            </w:r>
          </w:p>
        </w:tc>
      </w:tr>
    </w:tbl>
    <w:p>
      <w:pPr>
        <w:spacing w:after="0" w:line="19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3 – Approval, on an advisory basis, of the preferred frequency of future advisory votes on the compensation of the Company’s named executive officers. </w:t>
      </w:r>
      <w:r>
        <w:rPr>
          <w:rFonts w:ascii="Times New Roman" w:cs="Times New Roman" w:eastAsia="Times New Roman" w:hAnsi="Times New Roman"/>
          <w:sz w:val="18"/>
          <w:szCs w:val="18"/>
          <w:color w:val="auto"/>
        </w:rPr>
        <w:t>The stockholders indicated, on an advisory basis, the preferred frequency of one year for future advisory votes on the compensation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named executive officers. The final voting results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Every Year</w:t>
            </w:r>
          </w:p>
        </w:tc>
        <w:tc>
          <w:tcPr>
            <w:tcW w:w="2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Every Two Years</w:t>
            </w:r>
          </w:p>
        </w:tc>
        <w:tc>
          <w:tcPr>
            <w:tcW w:w="28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Every Three Years</w:t>
            </w:r>
          </w:p>
        </w:tc>
        <w:tc>
          <w:tcPr>
            <w:tcW w:w="19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9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1940" w:type="dxa"/>
            <w:vAlign w:val="bottom"/>
            <w:shd w:val="clear" w:color="auto" w:fill="CCECFF"/>
          </w:tcPr>
          <w:p>
            <w:pPr>
              <w:jc w:val="right"/>
              <w:ind w:right="530"/>
              <w:spacing w:after="0"/>
              <w:rPr>
                <w:sz w:val="20"/>
                <w:szCs w:val="20"/>
                <w:color w:val="auto"/>
              </w:rPr>
            </w:pPr>
            <w:r>
              <w:rPr>
                <w:rFonts w:ascii="Times New Roman" w:cs="Times New Roman" w:eastAsia="Times New Roman" w:hAnsi="Times New Roman"/>
                <w:sz w:val="18"/>
                <w:szCs w:val="18"/>
                <w:color w:val="auto"/>
              </w:rPr>
              <w:t>72,645,858</w:t>
            </w:r>
          </w:p>
        </w:tc>
        <w:tc>
          <w:tcPr>
            <w:tcW w:w="2620" w:type="dxa"/>
            <w:vAlign w:val="bottom"/>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rPr>
              <w:t>71,449</w:t>
            </w:r>
          </w:p>
        </w:tc>
        <w:tc>
          <w:tcPr>
            <w:tcW w:w="2800" w:type="dxa"/>
            <w:vAlign w:val="bottom"/>
            <w:shd w:val="clear" w:color="auto" w:fill="CCECFF"/>
          </w:tcPr>
          <w:p>
            <w:pPr>
              <w:jc w:val="right"/>
              <w:ind w:right="890"/>
              <w:spacing w:after="0"/>
              <w:rPr>
                <w:sz w:val="20"/>
                <w:szCs w:val="20"/>
                <w:color w:val="auto"/>
              </w:rPr>
            </w:pPr>
            <w:r>
              <w:rPr>
                <w:rFonts w:ascii="Times New Roman" w:cs="Times New Roman" w:eastAsia="Times New Roman" w:hAnsi="Times New Roman"/>
                <w:sz w:val="18"/>
                <w:szCs w:val="18"/>
                <w:color w:val="auto"/>
              </w:rPr>
              <w:t>2,633,106</w:t>
            </w:r>
          </w:p>
        </w:tc>
        <w:tc>
          <w:tcPr>
            <w:tcW w:w="1900" w:type="dxa"/>
            <w:vAlign w:val="bottom"/>
            <w:shd w:val="clear" w:color="auto" w:fill="CCECFF"/>
          </w:tcPr>
          <w:p>
            <w:pPr>
              <w:jc w:val="right"/>
              <w:ind w:right="470"/>
              <w:spacing w:after="0"/>
              <w:rPr>
                <w:sz w:val="20"/>
                <w:szCs w:val="20"/>
                <w:color w:val="auto"/>
              </w:rPr>
            </w:pPr>
            <w:r>
              <w:rPr>
                <w:rFonts w:ascii="Times New Roman" w:cs="Times New Roman" w:eastAsia="Times New Roman" w:hAnsi="Times New Roman"/>
                <w:sz w:val="18"/>
                <w:szCs w:val="18"/>
                <w:color w:val="auto"/>
              </w:rPr>
              <w:t>46,263</w:t>
            </w:r>
          </w:p>
        </w:tc>
        <w:tc>
          <w:tcPr>
            <w:tcW w:w="1980" w:type="dxa"/>
            <w:vAlign w:val="bottom"/>
            <w:shd w:val="clear" w:color="auto" w:fill="CCECFF"/>
          </w:tcPr>
          <w:p>
            <w:pPr>
              <w:jc w:val="right"/>
              <w:ind w:right="430"/>
              <w:spacing w:after="0"/>
              <w:rPr>
                <w:sz w:val="20"/>
                <w:szCs w:val="20"/>
                <w:color w:val="auto"/>
              </w:rPr>
            </w:pPr>
            <w:r>
              <w:rPr>
                <w:rFonts w:ascii="Times New Roman" w:cs="Times New Roman" w:eastAsia="Times New Roman" w:hAnsi="Times New Roman"/>
                <w:sz w:val="18"/>
                <w:szCs w:val="18"/>
                <w:color w:val="auto"/>
              </w:rPr>
              <w:t>15,489,254</w:t>
            </w: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light of the voting results on this advisory proposal, the Board of Directors of the Company has determined that the Company will hold an advisory vote on the compensation of the Company’s named executive officers every year until the next required advisory vote on the frequency of such votes.</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4 - Ratification of Independent Registered Public Accountant. </w:t>
      </w:r>
      <w:r>
        <w:rPr>
          <w:rFonts w:ascii="Times New Roman" w:cs="Times New Roman" w:eastAsia="Times New Roman" w:hAnsi="Times New Roman"/>
          <w:sz w:val="18"/>
          <w:szCs w:val="18"/>
          <w:color w:val="auto"/>
        </w:rPr>
        <w:t>The appointment of PricewaterhouseCoopers LLP as the Company’s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for the 2026 fiscal year was ratified,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5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220" w:type="dxa"/>
            <w:vAlign w:val="bottom"/>
            <w:shd w:val="clear" w:color="auto" w:fill="CCECFF"/>
          </w:tcPr>
          <w:p>
            <w:pPr>
              <w:jc w:val="right"/>
              <w:ind w:right="670"/>
              <w:spacing w:after="0"/>
              <w:rPr>
                <w:sz w:val="20"/>
                <w:szCs w:val="20"/>
                <w:color w:val="auto"/>
              </w:rPr>
            </w:pPr>
            <w:r>
              <w:rPr>
                <w:rFonts w:ascii="Times New Roman" w:cs="Times New Roman" w:eastAsia="Times New Roman" w:hAnsi="Times New Roman"/>
                <w:sz w:val="18"/>
                <w:szCs w:val="18"/>
                <w:color w:val="auto"/>
              </w:rPr>
              <w:t>90,784,651</w:t>
            </w:r>
          </w:p>
        </w:tc>
        <w:tc>
          <w:tcPr>
            <w:tcW w:w="2680" w:type="dxa"/>
            <w:vAlign w:val="bottom"/>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rPr>
              <w:t>72,972</w:t>
            </w:r>
          </w:p>
        </w:tc>
        <w:tc>
          <w:tcPr>
            <w:tcW w:w="2760" w:type="dxa"/>
            <w:vAlign w:val="bottom"/>
            <w:shd w:val="clear" w:color="auto" w:fill="CCECFF"/>
          </w:tcPr>
          <w:p>
            <w:pPr>
              <w:jc w:val="right"/>
              <w:ind w:right="1110"/>
              <w:spacing w:after="0"/>
              <w:rPr>
                <w:sz w:val="20"/>
                <w:szCs w:val="20"/>
                <w:color w:val="auto"/>
              </w:rPr>
            </w:pPr>
            <w:r>
              <w:rPr>
                <w:rFonts w:ascii="Times New Roman" w:cs="Times New Roman" w:eastAsia="Times New Roman" w:hAnsi="Times New Roman"/>
                <w:sz w:val="18"/>
                <w:szCs w:val="18"/>
                <w:color w:val="auto"/>
              </w:rPr>
              <w:t>28,307</w:t>
            </w:r>
          </w:p>
        </w:tc>
        <w:tc>
          <w:tcPr>
            <w:tcW w:w="3580" w:type="dxa"/>
            <w:vAlign w:val="bottom"/>
            <w:shd w:val="clear" w:color="auto" w:fill="CCECFF"/>
          </w:tcPr>
          <w:p>
            <w:pPr>
              <w:jc w:val="right"/>
              <w:ind w:right="17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6" w:lineRule="exact"/>
        <w:rPr>
          <w:sz w:val="20"/>
          <w:szCs w:val="20"/>
          <w:color w:val="auto"/>
        </w:rPr>
      </w:pPr>
    </w:p>
    <w:p>
      <w:pPr>
        <w:ind w:right="260" w:firstLine="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5 - Approval of an amendment to the Ninth Amended and Restated Certificate of Incorporation, as amended. </w:t>
      </w:r>
      <w:r>
        <w:rPr>
          <w:rFonts w:ascii="Times New Roman" w:cs="Times New Roman" w:eastAsia="Times New Roman" w:hAnsi="Times New Roman"/>
          <w:sz w:val="18"/>
          <w:szCs w:val="18"/>
          <w:color w:val="auto"/>
        </w:rPr>
        <w:t>The stockholders approved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Company’s Ninth Amended and Restated Certificate of Incorporation, as amended, to increase the number of authorized shares of the Company’s Common Stock from 115,000,000 to 215,000,000,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5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220" w:type="dxa"/>
            <w:vAlign w:val="bottom"/>
            <w:shd w:val="clear" w:color="auto" w:fill="CCECFF"/>
          </w:tcPr>
          <w:p>
            <w:pPr>
              <w:jc w:val="right"/>
              <w:ind w:right="670"/>
              <w:spacing w:after="0"/>
              <w:rPr>
                <w:sz w:val="20"/>
                <w:szCs w:val="20"/>
                <w:color w:val="auto"/>
              </w:rPr>
            </w:pPr>
            <w:r>
              <w:rPr>
                <w:rFonts w:ascii="Times New Roman" w:cs="Times New Roman" w:eastAsia="Times New Roman" w:hAnsi="Times New Roman"/>
                <w:sz w:val="18"/>
                <w:szCs w:val="18"/>
                <w:color w:val="auto"/>
              </w:rPr>
              <w:t>89,732,486</w:t>
            </w:r>
          </w:p>
        </w:tc>
        <w:tc>
          <w:tcPr>
            <w:tcW w:w="2680" w:type="dxa"/>
            <w:vAlign w:val="bottom"/>
            <w:shd w:val="clear" w:color="auto" w:fill="CCECFF"/>
          </w:tcPr>
          <w:p>
            <w:pPr>
              <w:jc w:val="right"/>
              <w:ind w:right="930"/>
              <w:spacing w:after="0"/>
              <w:rPr>
                <w:sz w:val="20"/>
                <w:szCs w:val="20"/>
                <w:color w:val="auto"/>
              </w:rPr>
            </w:pPr>
            <w:r>
              <w:rPr>
                <w:rFonts w:ascii="Times New Roman" w:cs="Times New Roman" w:eastAsia="Times New Roman" w:hAnsi="Times New Roman"/>
                <w:sz w:val="18"/>
                <w:szCs w:val="18"/>
                <w:color w:val="auto"/>
              </w:rPr>
              <w:t>1,046,555</w:t>
            </w:r>
          </w:p>
        </w:tc>
        <w:tc>
          <w:tcPr>
            <w:tcW w:w="2760" w:type="dxa"/>
            <w:vAlign w:val="bottom"/>
            <w:shd w:val="clear" w:color="auto" w:fill="CCECFF"/>
          </w:tcPr>
          <w:p>
            <w:pPr>
              <w:jc w:val="right"/>
              <w:ind w:right="1070"/>
              <w:spacing w:after="0"/>
              <w:rPr>
                <w:sz w:val="20"/>
                <w:szCs w:val="20"/>
                <w:color w:val="auto"/>
              </w:rPr>
            </w:pPr>
            <w:r>
              <w:rPr>
                <w:rFonts w:ascii="Times New Roman" w:cs="Times New Roman" w:eastAsia="Times New Roman" w:hAnsi="Times New Roman"/>
                <w:sz w:val="18"/>
                <w:szCs w:val="18"/>
                <w:color w:val="auto"/>
              </w:rPr>
              <w:t>106,889</w:t>
            </w:r>
          </w:p>
        </w:tc>
        <w:tc>
          <w:tcPr>
            <w:tcW w:w="3580" w:type="dxa"/>
            <w:vAlign w:val="bottom"/>
            <w:shd w:val="clear" w:color="auto" w:fill="CCECFF"/>
          </w:tcPr>
          <w:p>
            <w:pPr>
              <w:jc w:val="right"/>
              <w:ind w:right="17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6 - Approval of an adjournment of the Annual Meeting. </w:t>
      </w:r>
      <w:r>
        <w:rPr>
          <w:rFonts w:ascii="Times New Roman" w:cs="Times New Roman" w:eastAsia="Times New Roman" w:hAnsi="Times New Roman"/>
          <w:sz w:val="18"/>
          <w:szCs w:val="18"/>
          <w:color w:val="auto"/>
        </w:rPr>
        <w:t>The stockholders approved an adjournment of the Annual Meeting to the extent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insufficient votes to approve Proposal 5, but such an adjournment was not necessary in light of the approval of Proposal 5 at the Annual Meeting. The final voting results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5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220" w:type="dxa"/>
            <w:vAlign w:val="bottom"/>
            <w:shd w:val="clear" w:color="auto" w:fill="CCECFF"/>
          </w:tcPr>
          <w:p>
            <w:pPr>
              <w:jc w:val="right"/>
              <w:ind w:right="670"/>
              <w:spacing w:after="0"/>
              <w:rPr>
                <w:sz w:val="20"/>
                <w:szCs w:val="20"/>
                <w:color w:val="auto"/>
              </w:rPr>
            </w:pPr>
            <w:r>
              <w:rPr>
                <w:rFonts w:ascii="Times New Roman" w:cs="Times New Roman" w:eastAsia="Times New Roman" w:hAnsi="Times New Roman"/>
                <w:sz w:val="18"/>
                <w:szCs w:val="18"/>
                <w:color w:val="auto"/>
              </w:rPr>
              <w:t>89,887,684</w:t>
            </w:r>
          </w:p>
        </w:tc>
        <w:tc>
          <w:tcPr>
            <w:tcW w:w="2680" w:type="dxa"/>
            <w:vAlign w:val="bottom"/>
            <w:shd w:val="clear" w:color="auto" w:fill="CCECFF"/>
          </w:tcPr>
          <w:p>
            <w:pPr>
              <w:jc w:val="right"/>
              <w:ind w:right="990"/>
              <w:spacing w:after="0"/>
              <w:rPr>
                <w:sz w:val="20"/>
                <w:szCs w:val="20"/>
                <w:color w:val="auto"/>
              </w:rPr>
            </w:pPr>
            <w:r>
              <w:rPr>
                <w:rFonts w:ascii="Times New Roman" w:cs="Times New Roman" w:eastAsia="Times New Roman" w:hAnsi="Times New Roman"/>
                <w:sz w:val="18"/>
                <w:szCs w:val="18"/>
                <w:color w:val="auto"/>
              </w:rPr>
              <w:t>958,761</w:t>
            </w:r>
          </w:p>
        </w:tc>
        <w:tc>
          <w:tcPr>
            <w:tcW w:w="2760" w:type="dxa"/>
            <w:vAlign w:val="bottom"/>
            <w:shd w:val="clear" w:color="auto" w:fill="CCECFF"/>
          </w:tcPr>
          <w:p>
            <w:pPr>
              <w:jc w:val="right"/>
              <w:ind w:right="1110"/>
              <w:spacing w:after="0"/>
              <w:rPr>
                <w:sz w:val="20"/>
                <w:szCs w:val="20"/>
                <w:color w:val="auto"/>
              </w:rPr>
            </w:pPr>
            <w:r>
              <w:rPr>
                <w:rFonts w:ascii="Times New Roman" w:cs="Times New Roman" w:eastAsia="Times New Roman" w:hAnsi="Times New Roman"/>
                <w:sz w:val="18"/>
                <w:szCs w:val="18"/>
                <w:color w:val="auto"/>
              </w:rPr>
              <w:t>39,485</w:t>
            </w:r>
          </w:p>
        </w:tc>
        <w:tc>
          <w:tcPr>
            <w:tcW w:w="3580" w:type="dxa"/>
            <w:vAlign w:val="bottom"/>
            <w:shd w:val="clear" w:color="auto" w:fill="CCECFF"/>
          </w:tcPr>
          <w:p>
            <w:pPr>
              <w:jc w:val="right"/>
              <w:ind w:right="1750"/>
              <w:spacing w:after="0"/>
              <w:rPr>
                <w:sz w:val="20"/>
                <w:szCs w:val="20"/>
                <w:color w:val="auto"/>
              </w:rPr>
            </w:pPr>
            <w:r>
              <w:rPr>
                <w:rFonts w:ascii="Times New Roman" w:cs="Times New Roman" w:eastAsia="Times New Roman" w:hAnsi="Times New Roman"/>
                <w:sz w:val="18"/>
                <w:szCs w:val="18"/>
                <w:color w:val="auto"/>
              </w:rPr>
              <w:t>0</w:t>
            </w:r>
          </w:p>
        </w:tc>
      </w:tr>
      <w:tr>
        <w:trPr>
          <w:trHeight w:val="1411"/>
        </w:trPr>
        <w:tc>
          <w:tcPr>
            <w:tcW w:w="22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2026-05-19T15:32:34Z</dcterms:created>
  <dcterms:modified xsi:type="dcterms:W3CDTF">2026-05-19T15:32:34Z</dcterms:modified>
</cp:coreProperties>
</file>