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6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tcPr>
          <w:p>
            <w:pPr>
              <w:ind w:left="700"/>
              <w:spacing w:after="0"/>
              <w:rPr>
                <w:sz w:val="20"/>
                <w:szCs w:val="20"/>
                <w:color w:val="auto"/>
              </w:rPr>
            </w:pPr>
            <w:r>
              <w:rPr>
                <w:rFonts w:ascii="Arial" w:cs="Arial" w:eastAsia="Arial" w:hAnsi="Arial"/>
                <w:sz w:val="18"/>
                <w:szCs w:val="18"/>
                <w:b w:val="1"/>
                <w:bCs w:val="1"/>
                <w:color w:val="auto"/>
              </w:rPr>
              <w:t>001-36510</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64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20" w:type="dxa"/>
            <w:vAlign w:val="bottom"/>
          </w:tcPr>
          <w:p>
            <w:pPr>
              <w:ind w:left="680"/>
              <w:spacing w:after="0" w:line="149" w:lineRule="exact"/>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ind w:left="660"/>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175 Portland Street, 4th Floor</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40" w:type="dxa"/>
            <w:vAlign w:val="bottom"/>
          </w:tcPr>
          <w:p>
            <w:pPr>
              <w:jc w:val="center"/>
              <w:ind w:right="19"/>
              <w:spacing w:after="0"/>
              <w:rPr>
                <w:sz w:val="20"/>
                <w:szCs w:val="20"/>
                <w:color w:val="auto"/>
              </w:rPr>
            </w:pPr>
            <w:r>
              <w:rPr>
                <w:rFonts w:ascii="Arial" w:cs="Arial" w:eastAsia="Arial" w:hAnsi="Arial"/>
                <w:sz w:val="18"/>
                <w:szCs w:val="18"/>
                <w:b w:val="1"/>
                <w:bCs w:val="1"/>
                <w:color w:val="auto"/>
                <w:w w:val="86"/>
              </w:rPr>
              <w:t>Boston, Massachusetts</w:t>
            </w:r>
          </w:p>
        </w:tc>
        <w:tc>
          <w:tcPr>
            <w:tcW w:w="252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02114</w:t>
            </w:r>
          </w:p>
        </w:tc>
      </w:tr>
      <w:tr>
        <w:trPr>
          <w:trHeight w:val="186"/>
        </w:trPr>
        <w:tc>
          <w:tcPr>
            <w:tcW w:w="364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and Security Agreement.</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On December 29, 2017, Zafgen, Inc. (the “Company”), as borrower, and Silicon Valley Bank (the “Bank”), as lender, entered into a Loan and Security Agreement (the “Loan Agreement”) providing for a term loan (the “Term Loan”) with a principal amount of $20,000,000.</w:t>
      </w:r>
    </w:p>
    <w:p>
      <w:pPr>
        <w:spacing w:after="0" w:line="170"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The maturity date for the Term Loan is December 1, 2021 (the “Maturity Date”). The interest rate for the Term Loan is a floating per annum rate equal to 1.25% above the Wall Street Journal Prime Rate. The Loan Agreement requires the Company to make monthly interest-only payments through March 29, 2019. Thereafter, the Term Loan shall be repaid in thirty-three (33) equal monthly installments of principal plus accrued interest.</w:t>
      </w:r>
    </w:p>
    <w:p>
      <w:pPr>
        <w:spacing w:after="0" w:line="166"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Company’s final payment on the Term Loan, due on the Maturity Date, shall include all outstanding principal and accrued and unpaid interest under the Term Loan, plus a final payment (the “Final Payment”) equal to the original aggregate principal amount of the Term Loan multiplied by 8%. Once repaid, amounts borrowed under the Term Loan may not be reborrowed. The Company may prepay the Term Loan, subject to paying the Prepayment Fee (described hereafter) and the Final Payment. The “Prepayment Fee” is equal to 2% of the principal amount of the Term Loan prepaid if the prepayment occurs on or prior to the one (1) year anniversary of the effective date for the Term Loan, 1% of the principal amount of the Term Loan prepaid if the prepayment occurs after such one (1) year anniversary through and including the two (2) year anniversary of the effective date for the Term Loan, and 0.5% of the principal amount of the Term Loan prepaid if the prepayment occurs after the two (2) year but prior to the three (3) year anniversary of the effective date for the Term Loan, and 0% thereafter.</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Loan Agreement requires the Company to pay an aggregate non-refundable commitment fee of $50,000 and reimburse certain Bank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expenses.</w:t>
      </w:r>
    </w:p>
    <w:p>
      <w:pPr>
        <w:spacing w:after="0" w:line="21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Loan Agreement also requires the Company to make and maintain certain financial covenants, representations and warranties and other agreements that are customary in loan agreements of this type. The Loan Agreement also contains customary events of default, including non-payment of principal or interest, violations of covenants, bankruptcy and material judgments. The Company’s obligations to the Bank are secured by substantially all of the Company’s assets, excluding intellectual property.</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intends to use any proceeds from the Term Loan for general corporate purposes.</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 foregoing description of the Term Loan is only a summary and is qualified in its entirety by reference to the Loan Agreement, a copy of which is filed as Exhibit 10.1 to this Current Report on Form 8-K and is incorporated herein by reference.</w:t>
      </w:r>
    </w:p>
    <w:p>
      <w:pPr>
        <w:spacing w:after="0" w:line="275" w:lineRule="exact"/>
        <w:rPr>
          <w:sz w:val="20"/>
          <w:szCs w:val="20"/>
          <w:color w:val="auto"/>
        </w:rPr>
      </w:pPr>
    </w:p>
    <w:p>
      <w:pPr>
        <w:jc w:val="right"/>
        <w:ind w:right="1580"/>
        <w:spacing w:after="0"/>
        <w:rPr>
          <w:sz w:val="20"/>
          <w:szCs w:val="20"/>
          <w:color w:val="auto"/>
        </w:rPr>
      </w:pPr>
      <w:r>
        <w:rPr>
          <w:rFonts w:ascii="Arial" w:cs="Arial" w:eastAsia="Arial" w:hAnsi="Arial"/>
          <w:sz w:val="16"/>
          <w:szCs w:val="16"/>
          <w:b w:val="1"/>
          <w:bCs w:val="1"/>
          <w:color w:val="auto"/>
        </w:rPr>
        <w:t>Item 2.03. Creation of a Direct Financial Obligation or an Obligation under an Off-Balance Sheet Arrangement of a Registrant.</w:t>
      </w:r>
    </w:p>
    <w:p>
      <w:pPr>
        <w:spacing w:after="0" w:line="144"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The information provided in Item 1.01 of this Current Report on Form 8-K is incorporated by reference into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On January 5, 2018, the Company issued a press release announcing the Term Loan and its clinical progress and 2018 outlook. A copy of this press release is filed herewith as Exhibit 99.1.</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information in the press release attached as Exhibit 99.1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ectPr>
          <w:pgSz w:w="11900" w:h="16838" w:orient="portrait"/>
          <w:cols w:equalWidth="0" w:num="1">
            <w:col w:w="11360"/>
          </w:cols>
          <w:pgMar w:left="240" w:top="27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560" w:type="dxa"/>
            <w:vAlign w:val="bottom"/>
            <w:gridSpan w:val="3"/>
          </w:tcPr>
          <w:p>
            <w:pPr>
              <w:ind w:left="2240"/>
              <w:spacing w:after="0" w:line="151" w:lineRule="exact"/>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196" w:lineRule="exact"/>
              <w:rPr>
                <w:sz w:val="20"/>
                <w:szCs w:val="20"/>
                <w:color w:val="auto"/>
              </w:rPr>
            </w:pPr>
            <w:r>
              <w:rPr>
                <w:rFonts w:ascii="Arial" w:cs="Arial" w:eastAsia="Arial" w:hAnsi="Arial"/>
                <w:sz w:val="18"/>
                <w:szCs w:val="18"/>
                <w:color w:val="auto"/>
              </w:rPr>
              <w:t>10.1</w:t>
            </w:r>
          </w:p>
        </w:tc>
        <w:tc>
          <w:tcPr>
            <w:tcW w:w="560" w:type="dxa"/>
            <w:vAlign w:val="bottom"/>
            <w:vMerge w:val="restart"/>
          </w:tcPr>
          <w:p>
            <w:pPr>
              <w:spacing w:after="0" w:line="20" w:lineRule="exact"/>
              <w:rPr>
                <w:sz w:val="1"/>
                <w:szCs w:val="1"/>
                <w:color w:val="auto"/>
              </w:rPr>
            </w:pPr>
          </w:p>
        </w:tc>
        <w:tc>
          <w:tcPr>
            <w:tcW w:w="4840" w:type="dxa"/>
            <w:vAlign w:val="bottom"/>
            <w:gridSpan w:val="2"/>
            <w:vMerge w:val="restart"/>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Loan and Security Agreement dated December 29, 2017 between</w:t>
              </w:r>
            </w:hyperlink>
          </w:p>
        </w:tc>
        <w:tc>
          <w:tcPr>
            <w:tcW w:w="720" w:type="dxa"/>
            <w:vAlign w:val="bottom"/>
            <w:tcBorders>
              <w:bottom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840" w:type="dxa"/>
            <w:vAlign w:val="bottom"/>
            <w:tcBorders>
              <w:bottom w:val="single" w:sz="8" w:color="0000EE"/>
            </w:tcBorders>
            <w:gridSpan w:val="2"/>
            <w:vMerge w:val="continue"/>
          </w:tcPr>
          <w:p>
            <w:pPr>
              <w:spacing w:after="0"/>
              <w:rPr>
                <w:sz w:val="13"/>
                <w:szCs w:val="13"/>
                <w:color w:val="auto"/>
              </w:rPr>
            </w:pPr>
          </w:p>
        </w:tc>
        <w:tc>
          <w:tcPr>
            <w:tcW w:w="4320" w:type="dxa"/>
            <w:vAlign w:val="bottom"/>
            <w:tcBorders>
              <w:bottom w:val="single" w:sz="8" w:color="0000EE"/>
            </w:tcBorders>
            <w:gridSpan w:val="2"/>
          </w:tcPr>
          <w:p>
            <w:pPr>
              <w:spacing w:after="0" w:line="15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Zafgen, Inc., as borrower, and Silicon Valley Bank, as lender.</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2600" w:type="dxa"/>
            <w:vAlign w:val="bottom"/>
            <w:tcBorders>
              <w:bottom w:val="single" w:sz="8" w:color="0000EE"/>
            </w:tcBorders>
          </w:tcPr>
          <w:p>
            <w:pPr>
              <w:spacing w:after="0"/>
              <w:rPr>
                <w:rFonts w:ascii="Arial" w:cs="Arial" w:eastAsia="Arial" w:hAnsi="Arial"/>
                <w:sz w:val="18"/>
                <w:szCs w:val="18"/>
                <w:color w:val="0000EE"/>
                <w:w w:val="86"/>
              </w:rPr>
            </w:pPr>
            <w:hyperlink w:anchor="page42">
              <w:r>
                <w:rPr>
                  <w:rFonts w:ascii="Arial" w:cs="Arial" w:eastAsia="Arial" w:hAnsi="Arial"/>
                  <w:sz w:val="18"/>
                  <w:szCs w:val="18"/>
                  <w:color w:val="0000EE"/>
                  <w:w w:val="86"/>
                </w:rPr>
                <w:t>Press release dated January 5, 2018.</w:t>
              </w:r>
            </w:hyperlink>
          </w:p>
        </w:tc>
        <w:tc>
          <w:tcPr>
            <w:tcW w:w="6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color w:val="auto"/>
              </w:rPr>
              <w:t>Date: January 5, 2018</w:t>
            </w:r>
          </w:p>
        </w:tc>
        <w:tc>
          <w:tcPr>
            <w:tcW w:w="7880" w:type="dxa"/>
            <w:vAlign w:val="bottom"/>
            <w:gridSpan w:val="2"/>
          </w:tcPr>
          <w:p>
            <w:pPr>
              <w:ind w:left="1960"/>
              <w:spacing w:after="0"/>
              <w:rPr>
                <w:sz w:val="20"/>
                <w:szCs w:val="20"/>
                <w:color w:val="auto"/>
              </w:rPr>
            </w:pPr>
            <w:r>
              <w:rPr>
                <w:rFonts w:ascii="Arial" w:cs="Arial" w:eastAsia="Arial" w:hAnsi="Arial"/>
                <w:sz w:val="18"/>
                <w:szCs w:val="18"/>
                <w:b w:val="1"/>
                <w:bCs w:val="1"/>
                <w:color w:val="auto"/>
              </w:rPr>
              <w:t>ZAFGEN, INC.</w:t>
            </w:r>
          </w:p>
        </w:tc>
      </w:tr>
      <w:tr>
        <w:trPr>
          <w:trHeight w:val="432"/>
        </w:trPr>
        <w:tc>
          <w:tcPr>
            <w:tcW w:w="354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L. Allen</w:t>
            </w:r>
          </w:p>
        </w:tc>
      </w:tr>
      <w:tr>
        <w:trPr>
          <w:trHeight w:val="209"/>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Patricia L. Allen</w:t>
            </w:r>
          </w:p>
        </w:tc>
      </w:tr>
      <w:tr>
        <w:trPr>
          <w:trHeight w:val="230"/>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972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71"/>
        </w:trPr>
        <w:tc>
          <w:tcPr>
            <w:tcW w:w="460" w:type="dxa"/>
            <w:vAlign w:val="bottom"/>
            <w:tcBorders>
              <w:bottom w:val="single" w:sz="8" w:color="auto"/>
            </w:tcBorders>
          </w:tcPr>
          <w:p>
            <w:pPr>
              <w:ind w:left="140"/>
              <w:spacing w:after="0" w:line="151" w:lineRule="exact"/>
              <w:rPr>
                <w:sz w:val="20"/>
                <w:szCs w:val="20"/>
                <w:color w:val="auto"/>
              </w:rPr>
            </w:pPr>
            <w:r>
              <w:rPr>
                <w:rFonts w:ascii="Arial" w:cs="Arial" w:eastAsia="Arial" w:hAnsi="Arial"/>
                <w:sz w:val="14"/>
                <w:szCs w:val="14"/>
                <w:b w:val="1"/>
                <w:bCs w:val="1"/>
                <w:color w:val="auto"/>
              </w:rPr>
              <w:t>No.</w:t>
            </w:r>
          </w:p>
        </w:tc>
        <w:tc>
          <w:tcPr>
            <w:tcW w:w="9720" w:type="dxa"/>
            <w:vAlign w:val="bottom"/>
            <w:gridSpan w:val="3"/>
          </w:tcPr>
          <w:p>
            <w:pPr>
              <w:ind w:left="540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05"/>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9720" w:type="dxa"/>
            <w:vAlign w:val="bottom"/>
            <w:gridSpan w:val="3"/>
          </w:tcPr>
          <w:p>
            <w:pPr>
              <w:ind w:left="560"/>
              <w:spacing w:after="0"/>
              <w:rPr>
                <w:sz w:val="20"/>
                <w:szCs w:val="20"/>
                <w:color w:val="auto"/>
              </w:rPr>
            </w:pPr>
            <w:r>
              <w:rPr>
                <w:rFonts w:ascii="Arial" w:cs="Arial" w:eastAsia="Arial" w:hAnsi="Arial"/>
                <w:sz w:val="18"/>
                <w:szCs w:val="18"/>
                <w:color w:val="auto"/>
                <w:w w:val="89"/>
              </w:rPr>
              <w:t>Loan and Security Agreement dated December 29, 2017 between Zafgen, Inc., as borrower, and Silicon Valley Bank, as lender.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9720" w:type="dxa"/>
            <w:vAlign w:val="bottom"/>
            <w:gridSpan w:val="3"/>
          </w:tcPr>
          <w:p>
            <w:pPr>
              <w:ind w:left="560"/>
              <w:spacing w:after="0"/>
              <w:rPr>
                <w:sz w:val="20"/>
                <w:szCs w:val="20"/>
                <w:color w:val="auto"/>
              </w:rPr>
            </w:pPr>
            <w:r>
              <w:rPr>
                <w:rFonts w:ascii="Arial" w:cs="Arial" w:eastAsia="Arial" w:hAnsi="Arial"/>
                <w:sz w:val="18"/>
                <w:szCs w:val="18"/>
                <w:color w:val="auto"/>
              </w:rPr>
              <w:t>Press release dated January 5, 2018</w:t>
            </w:r>
          </w:p>
        </w:tc>
      </w:tr>
    </w:tbl>
    <w:p>
      <w:pPr>
        <w:sectPr>
          <w:pgSz w:w="11900" w:h="16838" w:orient="portrait"/>
          <w:cols w:equalWidth="0" w:num="1">
            <w:col w:w="10219"/>
          </w:cols>
          <w:pgMar w:left="240" w:top="27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December 29,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and ZAFGEN,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 shall</w:t>
      </w:r>
      <w:r>
        <w:rPr>
          <w:rFonts w:ascii="Arial" w:cs="Arial" w:eastAsia="Arial" w:hAnsi="Arial"/>
          <w:sz w:val="18"/>
          <w:szCs w:val="18"/>
          <w:b w:val="1"/>
          <w:bCs w:val="1"/>
          <w:color w:val="auto"/>
        </w:rPr>
        <w:t xml:space="preserve"> </w:t>
      </w:r>
      <w:r>
        <w:rPr>
          <w:rFonts w:ascii="Arial" w:cs="Arial" w:eastAsia="Arial" w:hAnsi="Arial"/>
          <w:sz w:val="18"/>
          <w:szCs w:val="18"/>
          <w:color w:val="auto"/>
        </w:rPr>
        <w:t>lend to Borrower and Borrower shall repay Bank. The parties agree as follows: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LOAN AND TERMS OF PAYMENT</w:t>
      </w:r>
    </w:p>
    <w:p>
      <w:pPr>
        <w:spacing w:after="0" w:line="117"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Bank the outstanding principal amount of all Credit Extensions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Term Loan</w:t>
      </w:r>
      <w:r>
        <w:rPr>
          <w:rFonts w:ascii="Arial" w:cs="Arial" w:eastAsia="Arial" w:hAnsi="Arial"/>
          <w:sz w:val="18"/>
          <w:szCs w:val="18"/>
          <w:color w:val="auto"/>
        </w:rPr>
        <w:t>.</w:t>
      </w:r>
    </w:p>
    <w:p>
      <w:pPr>
        <w:spacing w:after="0" w:line="121" w:lineRule="exact"/>
        <w:rPr>
          <w:sz w:val="20"/>
          <w:szCs w:val="20"/>
          <w:color w:val="auto"/>
        </w:rPr>
      </w:pPr>
    </w:p>
    <w:p>
      <w:pPr>
        <w:ind w:right="340" w:firstLine="921"/>
        <w:spacing w:after="0" w:line="277" w:lineRule="auto"/>
        <w:tabs>
          <w:tab w:leader="none" w:pos="1157"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On the Effective Date, subject to the terms and conditions of this Agreement, Bank shall make one (1) term loan available to Borrower in the amount of Twenty Million Dollars ($20,000,000.00) (the “</w:t>
      </w:r>
      <w:r>
        <w:rPr>
          <w:rFonts w:ascii="Arial" w:cs="Arial" w:eastAsia="Arial" w:hAnsi="Arial"/>
          <w:sz w:val="18"/>
          <w:szCs w:val="18"/>
          <w:b w:val="1"/>
          <w:bCs w:val="1"/>
          <w:color w:val="auto"/>
        </w:rPr>
        <w:t>Term Loan</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921"/>
        <w:spacing w:after="0" w:line="257" w:lineRule="auto"/>
        <w:tabs>
          <w:tab w:leader="none" w:pos="1168"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Term Loan shall be “interest only” during the Interest-Only Period, with interest due and payable in arrears on the first day of each month. Beginning on the Amortization Start Date, and continuing on the first day of each month thereafter, Borrower shall repay the Term Loan in equal monthly installments of principal plus interest (each, a “</w:t>
      </w:r>
      <w:r>
        <w:rPr>
          <w:rFonts w:ascii="Arial" w:cs="Arial" w:eastAsia="Arial" w:hAnsi="Arial"/>
          <w:sz w:val="18"/>
          <w:szCs w:val="18"/>
          <w:b w:val="1"/>
          <w:bCs w:val="1"/>
          <w:color w:val="auto"/>
        </w:rPr>
        <w:t>Term Loan Payment</w:t>
      </w:r>
      <w:r>
        <w:rPr>
          <w:rFonts w:ascii="Arial" w:cs="Arial" w:eastAsia="Arial" w:hAnsi="Arial"/>
          <w:sz w:val="18"/>
          <w:szCs w:val="18"/>
          <w:color w:val="auto"/>
        </w:rPr>
        <w:t>”) in a repayment schedule equal to thirty-three (33) months. Borrower’s final Term Loan Payment, due on the Term Loan Maturity Date, shall include all outstanding principal and accrued and unpaid interest under the Term Loan and the Final Payment. Once repaid, the Term Loan may not be reborrowed.</w:t>
      </w:r>
    </w:p>
    <w:p>
      <w:pPr>
        <w:spacing w:after="0" w:line="80" w:lineRule="exact"/>
        <w:rPr>
          <w:rFonts w:ascii="Arial" w:cs="Arial" w:eastAsia="Arial" w:hAnsi="Arial"/>
          <w:sz w:val="18"/>
          <w:szCs w:val="18"/>
          <w:color w:val="auto"/>
        </w:rPr>
      </w:pPr>
    </w:p>
    <w:p>
      <w:pPr>
        <w:ind w:left="1160" w:hanging="239"/>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Prepayment.</w:t>
      </w:r>
    </w:p>
    <w:p>
      <w:pPr>
        <w:spacing w:after="0" w:line="117" w:lineRule="exact"/>
        <w:rPr>
          <w:rFonts w:ascii="Arial" w:cs="Arial" w:eastAsia="Arial" w:hAnsi="Arial"/>
          <w:sz w:val="18"/>
          <w:szCs w:val="18"/>
          <w:color w:val="auto"/>
        </w:rPr>
      </w:pPr>
    </w:p>
    <w:p>
      <w:pPr>
        <w:ind w:right="520" w:firstLine="1492"/>
        <w:spacing w:after="0" w:line="288" w:lineRule="auto"/>
        <w:tabs>
          <w:tab w:leader="none" w:pos="1698" w:val="left"/>
        </w:tabs>
        <w:numPr>
          <w:ilvl w:val="2"/>
          <w:numId w:val="2"/>
        </w:numPr>
        <w:rPr>
          <w:rFonts w:ascii="Arial" w:cs="Arial" w:eastAsia="Arial" w:hAnsi="Arial"/>
          <w:sz w:val="16"/>
          <w:szCs w:val="16"/>
          <w:color w:val="auto"/>
        </w:rPr>
      </w:pPr>
      <w:r>
        <w:rPr>
          <w:rFonts w:ascii="Arial" w:cs="Arial" w:eastAsia="Arial" w:hAnsi="Arial"/>
          <w:sz w:val="16"/>
          <w:szCs w:val="16"/>
          <w:u w:val="single" w:color="auto"/>
          <w:color w:val="auto"/>
        </w:rPr>
        <w:t>Voluntary</w:t>
      </w:r>
      <w:r>
        <w:rPr>
          <w:rFonts w:ascii="Arial" w:cs="Arial" w:eastAsia="Arial" w:hAnsi="Arial"/>
          <w:sz w:val="16"/>
          <w:szCs w:val="16"/>
          <w:color w:val="auto"/>
        </w:rPr>
        <w:t>. Borrower shall have the option to prepay all, but not less than all of the Term Loan advanced by Bank under this Agreement, provided Borrower (a) delivers written notice to Bank of its election to prepay the Term Loan at least ten (10) Business Days prior to such prepayment and (b) pays, on the date of such prepayment, (i) all outstanding principal, plus accrued and unpaid interest thereon, (ii) the Final Payment,</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Prepayment Fee and (iv) all other sums, if any, that shall have become due and payable hereunder in connection with the Term Loan.</w:t>
      </w:r>
    </w:p>
    <w:p>
      <w:pPr>
        <w:spacing w:after="0" w:line="102" w:lineRule="exact"/>
        <w:rPr>
          <w:rFonts w:ascii="Arial" w:cs="Arial" w:eastAsia="Arial" w:hAnsi="Arial"/>
          <w:sz w:val="18"/>
          <w:szCs w:val="18"/>
          <w:color w:val="auto"/>
        </w:rPr>
      </w:pPr>
    </w:p>
    <w:p>
      <w:pPr>
        <w:ind w:right="280" w:firstLine="1492"/>
        <w:spacing w:after="0" w:line="312" w:lineRule="auto"/>
        <w:tabs>
          <w:tab w:leader="none" w:pos="1748" w:val="left"/>
        </w:tabs>
        <w:numPr>
          <w:ilvl w:val="2"/>
          <w:numId w:val="3"/>
        </w:numPr>
        <w:rPr>
          <w:rFonts w:ascii="Arial" w:cs="Arial" w:eastAsia="Arial" w:hAnsi="Arial"/>
          <w:sz w:val="16"/>
          <w:szCs w:val="16"/>
          <w:color w:val="auto"/>
        </w:rPr>
      </w:pPr>
      <w:r>
        <w:rPr>
          <w:rFonts w:ascii="Arial" w:cs="Arial" w:eastAsia="Arial" w:hAnsi="Arial"/>
          <w:sz w:val="16"/>
          <w:szCs w:val="16"/>
          <w:u w:val="single" w:color="auto"/>
          <w:color w:val="auto"/>
        </w:rPr>
        <w:t>Involuntary</w:t>
      </w:r>
      <w:r>
        <w:rPr>
          <w:rFonts w:ascii="Arial" w:cs="Arial" w:eastAsia="Arial" w:hAnsi="Arial"/>
          <w:sz w:val="16"/>
          <w:szCs w:val="16"/>
          <w:color w:val="auto"/>
        </w:rPr>
        <w:t>. If the Term Loan are accelerated by Bank during the continuance of an Event of Default, Borrower shall immediately pay to Bank an amount equal to the sum of (a) all outstanding principal, plus accrued and unpaid interest with respect to the Term Loan, (b) the Final Payment, (c) the Prepayment Fee and (d) all other sums, if any, that shall have become due and payable hereunder in connection with the Term Loan.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Intentionally Omitted</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6" w:name="page7"/>
    <w:bookmarkEnd w:id="6"/>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 Payment of Interest on the Credit Extensions</w:t>
      </w:r>
      <w:r>
        <w:rPr>
          <w:rFonts w:ascii="Arial" w:cs="Arial" w:eastAsia="Arial" w:hAnsi="Arial"/>
          <w:sz w:val="18"/>
          <w:szCs w:val="18"/>
          <w:color w:val="auto"/>
        </w:rPr>
        <w:t>.</w:t>
      </w:r>
    </w:p>
    <w:p>
      <w:pPr>
        <w:spacing w:after="0" w:line="121" w:lineRule="exact"/>
        <w:rPr>
          <w:sz w:val="20"/>
          <w:szCs w:val="20"/>
          <w:color w:val="auto"/>
        </w:rPr>
      </w:pPr>
    </w:p>
    <w:p>
      <w:pPr>
        <w:ind w:left="-40" w:right="220" w:firstLine="921"/>
        <w:spacing w:after="0" w:line="308" w:lineRule="auto"/>
        <w:tabs>
          <w:tab w:leader="none" w:pos="1117"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 Subject to Section 2.3(b), the principal amount outstanding under the Term Loan shall accrue interest at a floating per annum rate equal to one and one quarter of one percentage point (1.25%) above the Prime Rate, which interest shall be payable monthly in arrears.</w:t>
      </w:r>
    </w:p>
    <w:p>
      <w:pPr>
        <w:spacing w:after="0" w:line="38" w:lineRule="exact"/>
        <w:rPr>
          <w:rFonts w:ascii="Arial" w:cs="Arial" w:eastAsia="Arial" w:hAnsi="Arial"/>
          <w:sz w:val="17"/>
          <w:szCs w:val="17"/>
          <w:color w:val="auto"/>
        </w:rPr>
      </w:pPr>
    </w:p>
    <w:p>
      <w:pPr>
        <w:ind w:left="-40" w:firstLine="921"/>
        <w:spacing w:after="0" w:line="273" w:lineRule="auto"/>
        <w:tabs>
          <w:tab w:leader="none" w:pos="1128"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bear interest at a rate per annum which is five percentage points (5.00%) above the rate that is otherwise applicable thereto (the “</w:t>
      </w:r>
      <w:r>
        <w:rPr>
          <w:rFonts w:ascii="Arial" w:cs="Arial" w:eastAsia="Arial" w:hAnsi="Arial"/>
          <w:sz w:val="17"/>
          <w:szCs w:val="17"/>
          <w:b w:val="1"/>
          <w:bCs w:val="1"/>
          <w:color w:val="auto"/>
        </w:rPr>
        <w:t>Default Rate</w:t>
      </w:r>
      <w:r>
        <w:rPr>
          <w:rFonts w:ascii="Arial" w:cs="Arial" w:eastAsia="Arial" w:hAnsi="Arial"/>
          <w:sz w:val="17"/>
          <w:szCs w:val="17"/>
          <w:color w:val="auto"/>
        </w:rPr>
        <w:t>”) unless Bank otherwise elects from time to time in its sole discretion to impose a smaller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2.3(b) is not a permitted alternative to timely payment and shall not constitute a waiver of any Event of Default or otherwise prejudice or limit any rights or remedies of Bank.</w:t>
      </w:r>
    </w:p>
    <w:p>
      <w:pPr>
        <w:spacing w:after="0" w:line="70" w:lineRule="exact"/>
        <w:rPr>
          <w:rFonts w:ascii="Arial" w:cs="Arial" w:eastAsia="Arial" w:hAnsi="Arial"/>
          <w:sz w:val="17"/>
          <w:szCs w:val="17"/>
          <w:color w:val="auto"/>
        </w:rPr>
      </w:pPr>
    </w:p>
    <w:p>
      <w:pPr>
        <w:ind w:left="-40" w:right="60" w:firstLine="921"/>
        <w:spacing w:after="0" w:line="277" w:lineRule="auto"/>
        <w:tabs>
          <w:tab w:leader="none" w:pos="111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62" w:lineRule="exact"/>
        <w:rPr>
          <w:rFonts w:ascii="Arial" w:cs="Arial" w:eastAsia="Arial" w:hAnsi="Arial"/>
          <w:sz w:val="18"/>
          <w:szCs w:val="18"/>
          <w:color w:val="auto"/>
        </w:rPr>
      </w:pPr>
    </w:p>
    <w:p>
      <w:pPr>
        <w:ind w:left="-40" w:right="40" w:firstLine="921"/>
        <w:spacing w:after="0" w:line="257"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on the first calendar day of each month and shall be computed on the basis of a 360-day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2.4 Fees</w:t>
      </w:r>
      <w:r>
        <w:rPr>
          <w:rFonts w:ascii="Arial" w:cs="Arial" w:eastAsia="Arial" w:hAnsi="Arial"/>
          <w:sz w:val="18"/>
          <w:szCs w:val="18"/>
          <w:color w:val="auto"/>
        </w:rPr>
        <w:t>. Borrower shall pay to Bank:</w:t>
      </w:r>
    </w:p>
    <w:p>
      <w:pPr>
        <w:spacing w:after="0" w:line="121" w:lineRule="exact"/>
        <w:rPr>
          <w:sz w:val="20"/>
          <w:szCs w:val="20"/>
          <w:color w:val="auto"/>
        </w:rPr>
      </w:pPr>
    </w:p>
    <w:p>
      <w:pPr>
        <w:ind w:left="1120" w:hanging="239"/>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A fully earned, non-refundable commitment fee of Fifty Thousand Dollars ($50,000), on the Effective Date;</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Prepayment Fee</w:t>
      </w:r>
      <w:r>
        <w:rPr>
          <w:rFonts w:ascii="Arial" w:cs="Arial" w:eastAsia="Arial" w:hAnsi="Arial"/>
          <w:sz w:val="18"/>
          <w:szCs w:val="18"/>
          <w:color w:val="auto"/>
        </w:rPr>
        <w:t>. The Prepayment Fee, when due hereunder pursuant to the terms of Section 2.1.1(c);</w:t>
      </w:r>
    </w:p>
    <w:p>
      <w:pPr>
        <w:spacing w:after="0" w:line="117" w:lineRule="exact"/>
        <w:rPr>
          <w:rFonts w:ascii="Arial" w:cs="Arial" w:eastAsia="Arial" w:hAnsi="Arial"/>
          <w:sz w:val="18"/>
          <w:szCs w:val="18"/>
          <w:color w:val="auto"/>
        </w:rPr>
      </w:pPr>
    </w:p>
    <w:p>
      <w:pPr>
        <w:ind w:left="1120" w:hanging="239"/>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 and</w:t>
      </w:r>
    </w:p>
    <w:p>
      <w:pPr>
        <w:spacing w:after="0" w:line="113" w:lineRule="exact"/>
        <w:rPr>
          <w:rFonts w:ascii="Arial" w:cs="Arial" w:eastAsia="Arial" w:hAnsi="Arial"/>
          <w:sz w:val="18"/>
          <w:szCs w:val="18"/>
          <w:color w:val="auto"/>
        </w:rPr>
      </w:pPr>
    </w:p>
    <w:p>
      <w:pPr>
        <w:ind w:left="-40" w:right="280" w:firstLine="921"/>
        <w:spacing w:after="0" w:line="282" w:lineRule="auto"/>
        <w:tabs>
          <w:tab w:leader="none" w:pos="11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Good Faith Deposit</w:t>
      </w:r>
      <w:r>
        <w:rPr>
          <w:rFonts w:ascii="Arial" w:cs="Arial" w:eastAsia="Arial" w:hAnsi="Arial"/>
          <w:sz w:val="18"/>
          <w:szCs w:val="18"/>
          <w:color w:val="auto"/>
        </w:rPr>
        <w:t>. Borrower has paid to Bank a deposit of Twenty-Five Thousand Dollars ($25,000.00) (the “</w:t>
      </w:r>
      <w:r>
        <w:rPr>
          <w:rFonts w:ascii="Arial" w:cs="Arial" w:eastAsia="Arial" w:hAnsi="Arial"/>
          <w:sz w:val="18"/>
          <w:szCs w:val="18"/>
          <w:b w:val="1"/>
          <w:bCs w:val="1"/>
          <w:color w:val="auto"/>
        </w:rPr>
        <w:t>Good Faith Deposit</w:t>
      </w:r>
      <w:r>
        <w:rPr>
          <w:rFonts w:ascii="Arial" w:cs="Arial" w:eastAsia="Arial" w:hAnsi="Arial"/>
          <w:sz w:val="18"/>
          <w:szCs w:val="18"/>
          <w:color w:val="auto"/>
        </w:rPr>
        <w:t>”), to initiate Bank’s due diligence review process. The Good Faith Deposit shall be utilized to pay Bank Expenses;</w:t>
      </w:r>
    </w:p>
    <w:p>
      <w:pPr>
        <w:spacing w:after="0" w:line="57" w:lineRule="exact"/>
        <w:rPr>
          <w:rFonts w:ascii="Arial" w:cs="Arial" w:eastAsia="Arial" w:hAnsi="Arial"/>
          <w:sz w:val="18"/>
          <w:szCs w:val="18"/>
          <w:color w:val="auto"/>
        </w:rPr>
      </w:pPr>
    </w:p>
    <w:p>
      <w:pPr>
        <w:ind w:left="-40" w:right="20" w:firstLine="921"/>
        <w:spacing w:after="0" w:line="277" w:lineRule="auto"/>
        <w:tabs>
          <w:tab w:leader="none" w:pos="111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Bank Expenses</w:t>
      </w:r>
      <w:r>
        <w:rPr>
          <w:rFonts w:ascii="Arial" w:cs="Arial" w:eastAsia="Arial" w:hAnsi="Arial"/>
          <w:sz w:val="18"/>
          <w:szCs w:val="18"/>
          <w:color w:val="auto"/>
        </w:rPr>
        <w:t>. All Bank Expenses (including reasonable attorneys’ fees and expenses for documentation and negotiation of this Agreement) incurred through and after the Effective Date, when due(or, if no stated due date, upon demand by Bank).</w:t>
      </w:r>
    </w:p>
    <w:p>
      <w:pPr>
        <w:spacing w:after="0" w:line="62" w:lineRule="exact"/>
        <w:rPr>
          <w:rFonts w:ascii="Arial" w:cs="Arial" w:eastAsia="Arial" w:hAnsi="Arial"/>
          <w:sz w:val="18"/>
          <w:szCs w:val="18"/>
          <w:color w:val="auto"/>
        </w:rPr>
      </w:pPr>
    </w:p>
    <w:p>
      <w:pPr>
        <w:ind w:left="-40" w:firstLine="921"/>
        <w:spacing w:after="0" w:line="257" w:lineRule="auto"/>
        <w:tabs>
          <w:tab w:leader="none" w:pos="109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Fees Fully Earned</w:t>
      </w:r>
      <w:r>
        <w:rPr>
          <w:rFonts w:ascii="Arial" w:cs="Arial" w:eastAsia="Arial" w:hAnsi="Arial"/>
          <w:sz w:val="18"/>
          <w:szCs w:val="18"/>
          <w:color w:val="auto"/>
        </w:rPr>
        <w:t>. 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2.4 pursuant to the terms of Section 2.5(c). Bank shall provide Borrower written notice of deductions made from the Designated Deposit Account pursuant to the terms of the clauses of this Section 2.4.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80" w:top="270" w:right="27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Payments; Application of Payments; Debit of Accounts.</w:t>
      </w:r>
    </w:p>
    <w:p>
      <w:pPr>
        <w:spacing w:after="0" w:line="121" w:lineRule="exact"/>
        <w:rPr>
          <w:sz w:val="20"/>
          <w:szCs w:val="20"/>
          <w:color w:val="auto"/>
        </w:rPr>
      </w:pPr>
    </w:p>
    <w:p>
      <w:pPr>
        <w:ind w:right="160" w:firstLine="921"/>
        <w:spacing w:after="0" w:line="302" w:lineRule="auto"/>
        <w:tabs>
          <w:tab w:leader="none" w:pos="1158"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payments (including prepayments)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46" w:lineRule="exact"/>
        <w:rPr>
          <w:rFonts w:ascii="Arial" w:cs="Arial" w:eastAsia="Arial" w:hAnsi="Arial"/>
          <w:sz w:val="16"/>
          <w:szCs w:val="16"/>
          <w:color w:val="auto"/>
        </w:rPr>
      </w:pPr>
    </w:p>
    <w:p>
      <w:pPr>
        <w:ind w:right="380" w:firstLine="921"/>
        <w:spacing w:after="0" w:line="312" w:lineRule="auto"/>
        <w:tabs>
          <w:tab w:leader="none" w:pos="116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Bank has the exclusive right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38" w:lineRule="exact"/>
        <w:rPr>
          <w:rFonts w:ascii="Arial" w:cs="Arial" w:eastAsia="Arial" w:hAnsi="Arial"/>
          <w:sz w:val="16"/>
          <w:szCs w:val="16"/>
          <w:color w:val="auto"/>
        </w:rPr>
      </w:pPr>
    </w:p>
    <w:p>
      <w:pPr>
        <w:ind w:right="280" w:firstLine="921"/>
        <w:spacing w:after="0" w:line="277" w:lineRule="auto"/>
        <w:tabs>
          <w:tab w:leader="none" w:pos="115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 may debit any of Borrower’s deposit accounts, including the Designated Deposit Account, for principal and interest payments or any other amounts Borrower owes Bank when due. These debits shall not constitute a set-off.</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2.6 Withholding. </w:t>
      </w:r>
      <w:r>
        <w:rPr>
          <w:rFonts w:ascii="Arial" w:cs="Arial" w:eastAsia="Arial" w:hAnsi="Arial"/>
          <w:sz w:val="17"/>
          <w:szCs w:val="17"/>
          <w:color w:val="auto"/>
        </w:rPr>
        <w:t>Payments received by Bank from Borrower under this Agreement will be made free and clear of and without deduction for any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Bank, Borrower hereby covenants and agrees that the amount due from Borrower with respect to such payment or other sum payable hereunder will be increased to the extent necessary to ensure that, 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Bank’s obligation to make the initial Credit Extension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Bank shall have received, in form and substance satisfactory to Bank, such documents, and completion of such other matters, as Bank may have reasonably requested, including, without limitation:</w:t>
      </w:r>
    </w:p>
    <w:p>
      <w:pPr>
        <w:spacing w:after="0" w:line="72" w:lineRule="exact"/>
        <w:rPr>
          <w:sz w:val="20"/>
          <w:szCs w:val="20"/>
          <w:color w:val="auto"/>
        </w:rPr>
      </w:pPr>
    </w:p>
    <w:p>
      <w:pPr>
        <w:ind w:left="1160" w:hanging="23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duly executed original signatures to the Pledge Agreement;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duly executed original signatures to the Control Agreement in favor of Bank with respect to Borrower’s securities accounts at Bank’s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Affiliate.</w:t>
      </w:r>
    </w:p>
    <w:p>
      <w:pPr>
        <w:spacing w:after="0" w:line="103" w:lineRule="exact"/>
        <w:rPr>
          <w:sz w:val="20"/>
          <w:szCs w:val="20"/>
          <w:color w:val="auto"/>
        </w:rPr>
      </w:pPr>
    </w:p>
    <w:p>
      <w:pPr>
        <w:ind w:right="340" w:firstLine="921"/>
        <w:spacing w:after="0" w:line="286" w:lineRule="auto"/>
        <w:tabs>
          <w:tab w:leader="none" w:pos="116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Operating Documents and long-form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57" w:lineRule="exact"/>
        <w:rPr>
          <w:rFonts w:ascii="Arial" w:cs="Arial" w:eastAsia="Arial" w:hAnsi="Arial"/>
          <w:sz w:val="17"/>
          <w:szCs w:val="17"/>
          <w:color w:val="auto"/>
        </w:rPr>
      </w:pPr>
    </w:p>
    <w:p>
      <w:pPr>
        <w:ind w:left="1160" w:hanging="239"/>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duly executed original signatures to the completed Borrowing Resolutions for Borrower;</w:t>
      </w:r>
    </w:p>
    <w:p>
      <w:pPr>
        <w:spacing w:after="0" w:line="117" w:lineRule="exact"/>
        <w:rPr>
          <w:rFonts w:ascii="Arial" w:cs="Arial" w:eastAsia="Arial" w:hAnsi="Arial"/>
          <w:sz w:val="18"/>
          <w:szCs w:val="18"/>
          <w:color w:val="auto"/>
        </w:rPr>
      </w:pPr>
    </w:p>
    <w:p>
      <w:pPr>
        <w:ind w:right="120" w:firstLine="921"/>
        <w:spacing w:after="0" w:line="264" w:lineRule="auto"/>
        <w:tabs>
          <w:tab w:leader="none" w:pos="1138"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8" w:name="page9"/>
    <w:bookmarkEnd w:id="8"/>
    <w:p>
      <w:pPr>
        <w:ind w:left="1180" w:hanging="259"/>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Perfection Certificate of Borrower, together with the duly executed original signature thereto;</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evidence satisfactory to Bank that the insurance policies and endorsements required by Section 6.5 hereof are in full force and effect; and</w:t>
      </w:r>
    </w:p>
    <w:p>
      <w:pPr>
        <w:spacing w:after="0" w:line="140" w:lineRule="exact"/>
        <w:rPr>
          <w:rFonts w:ascii="Arial" w:cs="Arial" w:eastAsia="Arial" w:hAnsi="Arial"/>
          <w:sz w:val="16"/>
          <w:szCs w:val="16"/>
          <w:color w:val="auto"/>
        </w:rPr>
      </w:pPr>
    </w:p>
    <w:p>
      <w:pPr>
        <w:ind w:left="1140" w:hanging="219"/>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2.4 hereof.</w:t>
      </w:r>
    </w:p>
    <w:p>
      <w:pPr>
        <w:spacing w:after="0" w:line="113"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Bank’s obligations to make each Credit Extension, including the initial Credit Extension,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w:t>
      </w:r>
    </w:p>
    <w:p>
      <w:pPr>
        <w:spacing w:after="0" w:line="58" w:lineRule="exact"/>
        <w:rPr>
          <w:sz w:val="20"/>
          <w:szCs w:val="20"/>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receipt of an executed Payment/Advance Form;</w:t>
      </w:r>
    </w:p>
    <w:p>
      <w:pPr>
        <w:spacing w:after="0" w:line="117" w:lineRule="exact"/>
        <w:rPr>
          <w:rFonts w:ascii="Arial" w:cs="Arial" w:eastAsia="Arial" w:hAnsi="Arial"/>
          <w:sz w:val="18"/>
          <w:szCs w:val="18"/>
          <w:color w:val="auto"/>
        </w:rPr>
      </w:pPr>
    </w:p>
    <w:p>
      <w:pPr>
        <w:ind w:right="20" w:firstLine="921"/>
        <w:spacing w:after="0" w:line="270" w:lineRule="auto"/>
        <w:tabs>
          <w:tab w:leader="none" w:pos="11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representations and warranties in this Agreement shall be true, accurate, and complete in all material respects on the date of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are true, accurate, and complete in all material respects as of such date;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w:t>
      </w:r>
    </w:p>
    <w:p>
      <w:pPr>
        <w:spacing w:after="0" w:line="73" w:lineRule="exact"/>
        <w:rPr>
          <w:rFonts w:ascii="Arial" w:cs="Arial" w:eastAsia="Arial" w:hAnsi="Arial"/>
          <w:sz w:val="17"/>
          <w:szCs w:val="17"/>
          <w:color w:val="auto"/>
        </w:rPr>
      </w:pPr>
    </w:p>
    <w:p>
      <w:pPr>
        <w:ind w:left="1160" w:hanging="239"/>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 determines to its satisfaction that there has not been a Material Adverse Change.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Post-Closing Conditions</w:t>
      </w:r>
      <w:r>
        <w:rPr>
          <w:rFonts w:ascii="Arial" w:cs="Arial" w:eastAsia="Arial" w:hAnsi="Arial"/>
          <w:sz w:val="18"/>
          <w:szCs w:val="18"/>
          <w:color w:val="auto"/>
        </w:rPr>
        <w:t>.</w:t>
      </w:r>
    </w:p>
    <w:p>
      <w:pPr>
        <w:spacing w:after="0" w:line="121" w:lineRule="exact"/>
        <w:rPr>
          <w:sz w:val="20"/>
          <w:szCs w:val="20"/>
          <w:color w:val="auto"/>
        </w:rPr>
      </w:pPr>
    </w:p>
    <w:p>
      <w:pPr>
        <w:ind w:right="120" w:firstLine="921"/>
        <w:spacing w:after="0" w:line="264" w:lineRule="auto"/>
        <w:tabs>
          <w:tab w:leader="none" w:pos="11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thirty (30) days after the Effective Date, Bank shall have received, in form and substance satisfactory to Bank, appropriate evidence showing lender loss payable and/or additional insured clauses or endorsements in favor of Bank with respect to all insurance policies required by Section 6.5 source hereof; and</w:t>
      </w:r>
    </w:p>
    <w:p>
      <w:pPr>
        <w:spacing w:after="0" w:line="73" w:lineRule="exact"/>
        <w:rPr>
          <w:rFonts w:ascii="Arial" w:cs="Arial" w:eastAsia="Arial" w:hAnsi="Arial"/>
          <w:sz w:val="18"/>
          <w:szCs w:val="18"/>
          <w:color w:val="auto"/>
        </w:rPr>
      </w:pPr>
    </w:p>
    <w:p>
      <w:pPr>
        <w:ind w:right="220" w:firstLine="921"/>
        <w:spacing w:after="0" w:line="264" w:lineRule="auto"/>
        <w:tabs>
          <w:tab w:leader="none" w:pos="11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Within thirty (30) days after the Effective Date, Bank shall have received, in form and substance satisfactory to Bank, appropriate evidence showing that certain Security Deed Over Shares with respect to Zafgen Australia, and any related documents, in favor of Oxford Finance LLC has been terminated.</w:t>
      </w:r>
    </w:p>
    <w:p>
      <w:pPr>
        <w:spacing w:after="0" w:line="69"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3.4 Covenant to Deliver</w:t>
      </w:r>
      <w:r>
        <w:rPr>
          <w:rFonts w:ascii="Arial" w:cs="Arial" w:eastAsia="Arial" w:hAnsi="Arial"/>
          <w:sz w:val="18"/>
          <w:szCs w:val="18"/>
          <w:color w:val="auto"/>
        </w:rPr>
        <w:t>. Borrower agrees to deliver to Bank each item required to be delivered to Bank under this Agreement as a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72"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3.5 Procedures for Borrowing</w:t>
      </w:r>
      <w:r>
        <w:rPr>
          <w:rFonts w:ascii="Arial" w:cs="Arial" w:eastAsia="Arial" w:hAnsi="Arial"/>
          <w:sz w:val="18"/>
          <w:szCs w:val="18"/>
          <w:color w:val="auto"/>
        </w:rPr>
        <w:t>. Subject to the prior satisfaction of all other applicable conditions to the making of the Term Loan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if any portion of the proceeds of the Term Loan shall be used to purchase or finance Equipment, Borrower shall deliver to Bank by electronic mail or facsimile a copy of the invoice for the Equipment to be purchased and the request for the Term Loan.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4.1 Grant of Security Interest</w:t>
      </w:r>
      <w:r>
        <w:rPr>
          <w:rFonts w:ascii="Arial" w:cs="Arial" w:eastAsia="Arial" w:hAnsi="Arial"/>
          <w:sz w:val="18"/>
          <w:szCs w:val="18"/>
          <w:color w:val="auto"/>
        </w:rPr>
        <w:t>. Borrower hereby grants Bank, to secure the payment and performance in full of all of the Obligations, a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in, and pledges to Bank, the Collateral, wherever located, whether now owned or hereafter acquired or arising, and all proceeds and products thereof.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 w:name="page10"/>
    <w:bookmarkEnd w:id="9"/>
    <w:p>
      <w:pPr>
        <w:ind w:right="6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46"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6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4.2 Priority of Security Interest</w:t>
      </w:r>
      <w:r>
        <w:rPr>
          <w:rFonts w:ascii="Arial" w:cs="Arial" w:eastAsia="Arial" w:hAnsi="Arial"/>
          <w:sz w:val="17"/>
          <w:szCs w:val="17"/>
          <w:color w:val="auto"/>
        </w:rPr>
        <w:t>. Borrower represents, warrants, and covenants that the security interest granted herein is and shall at all times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w:t>
      </w:r>
    </w:p>
    <w:p>
      <w:pPr>
        <w:spacing w:after="0" w:line="60" w:lineRule="exact"/>
        <w:rPr>
          <w:sz w:val="20"/>
          <w:szCs w:val="20"/>
          <w:color w:val="auto"/>
        </w:rPr>
      </w:pPr>
    </w:p>
    <w:p>
      <w:pPr>
        <w:jc w:val="both"/>
        <w:ind w:right="160" w:firstLine="456"/>
        <w:spacing w:after="0" w:line="281" w:lineRule="auto"/>
        <w:rPr>
          <w:sz w:val="20"/>
          <w:szCs w:val="20"/>
          <w:color w:val="auto"/>
        </w:rPr>
      </w:pPr>
      <w:r>
        <w:rPr>
          <w:rFonts w:ascii="Arial" w:cs="Arial" w:eastAsia="Arial" w:hAnsi="Arial"/>
          <w:sz w:val="17"/>
          <w:szCs w:val="17"/>
          <w:b w:val="1"/>
          <w:bCs w:val="1"/>
          <w:color w:val="auto"/>
        </w:rPr>
        <w:t>4.3 Authorization to File Financing Statements</w:t>
      </w:r>
      <w:r>
        <w:rPr>
          <w:rFonts w:ascii="Arial" w:cs="Arial" w:eastAsia="Arial" w:hAnsi="Arial"/>
          <w:sz w:val="17"/>
          <w:szCs w:val="17"/>
          <w:color w:val="auto"/>
        </w:rPr>
        <w:t>. Borrower hereby authorizes Bank to file financing statements, without notice to Borrower,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Borrower represents and warrants as follows: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5.1 Due Organization, Authorization; Power and Authority</w:t>
      </w:r>
      <w:r>
        <w:rPr>
          <w:rFonts w:ascii="Arial" w:cs="Arial" w:eastAsia="Arial" w:hAnsi="Arial"/>
          <w:sz w:val="16"/>
          <w:szCs w:val="16"/>
          <w:color w:val="auto"/>
        </w:rPr>
        <w:t>. Borrower is duly existing and in good standing as a Registered Organization in its</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0" w:name="page11"/>
    <w:bookmarkEnd w:id="10"/>
    <w:p>
      <w:pPr>
        <w:jc w:val="both"/>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information in the Perfection Certificate after the Effective Date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7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w:t>
      </w:r>
    </w:p>
    <w:p>
      <w:pPr>
        <w:ind w:right="40" w:firstLine="8"/>
        <w:spacing w:after="0" w:line="270" w:lineRule="auto"/>
        <w:tabs>
          <w:tab w:leader="none" w:pos="3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6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5.2 Collateral</w:t>
      </w:r>
      <w:r>
        <w:rPr>
          <w:rFonts w:ascii="Arial" w:cs="Arial" w:eastAsia="Arial" w:hAnsi="Arial"/>
          <w:sz w:val="18"/>
          <w:szCs w:val="18"/>
          <w:color w:val="auto"/>
        </w:rPr>
        <w:t>. Borrower has good title to, rights in, and the power to transfer each item of the Collateral upon which it purports to grant a Lien</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Section 6.6(b). The Accounts are bona fide, existing obligations of the Account Debtors.</w:t>
      </w:r>
    </w:p>
    <w:p>
      <w:pPr>
        <w:spacing w:after="0" w:line="8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Collateral is not in the possession of any third party bailee (such as a warehouse) except as otherwise provided in the Perfection Certificate. None of the components of the Collateral (other than mobile equipment such as laptop computers in the possession of Borrower’s employees or agents) shall be maintained at locations other than as provided in the Perfection Certificate or as permitted pursuant to Section 7.2.</w:t>
      </w:r>
    </w:p>
    <w:p>
      <w:pPr>
        <w:spacing w:after="0" w:line="5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Intentionally Omitted</w:t>
      </w:r>
      <w:r>
        <w:rPr>
          <w:rFonts w:ascii="Arial" w:cs="Arial" w:eastAsia="Arial" w:hAnsi="Arial"/>
          <w:sz w:val="18"/>
          <w:szCs w:val="18"/>
          <w:color w:val="auto"/>
        </w:rPr>
        <w:t>.</w:t>
      </w:r>
    </w:p>
    <w:p>
      <w:pPr>
        <w:spacing w:after="0" w:line="117" w:lineRule="exact"/>
        <w:rPr>
          <w:sz w:val="20"/>
          <w:szCs w:val="20"/>
          <w:color w:val="auto"/>
        </w:rPr>
      </w:pPr>
    </w:p>
    <w:p>
      <w:pPr>
        <w:ind w:right="520" w:firstLine="456"/>
        <w:spacing w:after="0" w:line="347" w:lineRule="auto"/>
        <w:rPr>
          <w:sz w:val="20"/>
          <w:szCs w:val="20"/>
          <w:color w:val="auto"/>
        </w:rPr>
      </w:pPr>
      <w:r>
        <w:rPr>
          <w:rFonts w:ascii="Arial" w:cs="Arial" w:eastAsia="Arial" w:hAnsi="Arial"/>
          <w:sz w:val="16"/>
          <w:szCs w:val="16"/>
          <w:b w:val="1"/>
          <w:bCs w:val="1"/>
          <w:color w:val="auto"/>
        </w:rPr>
        <w:t>5.4 Litigation</w:t>
      </w:r>
      <w:r>
        <w:rPr>
          <w:rFonts w:ascii="Arial" w:cs="Arial" w:eastAsia="Arial" w:hAnsi="Arial"/>
          <w:sz w:val="16"/>
          <w:szCs w:val="16"/>
          <w:color w:val="auto"/>
        </w:rPr>
        <w:t>. There are no actions or proceedings pending or, to the knowledge of any Responsible Officer, threatened in writing by or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any of its Subsidiaries involving more than, individually or in the aggregate, Two Hundred Fifty Thousand Dollars ($250,000).</w:t>
      </w:r>
    </w:p>
    <w:p>
      <w:pPr>
        <w:spacing w:after="0" w:line="8" w:lineRule="exact"/>
        <w:rPr>
          <w:sz w:val="20"/>
          <w:szCs w:val="20"/>
          <w:color w:val="auto"/>
        </w:rPr>
      </w:pPr>
    </w:p>
    <w:p>
      <w:pPr>
        <w:ind w:right="120" w:firstLine="456"/>
        <w:spacing w:after="0" w:line="314" w:lineRule="auto"/>
        <w:rPr>
          <w:sz w:val="20"/>
          <w:szCs w:val="20"/>
          <w:color w:val="auto"/>
        </w:rPr>
      </w:pPr>
      <w:r>
        <w:rPr>
          <w:rFonts w:ascii="Arial" w:cs="Arial" w:eastAsia="Arial" w:hAnsi="Arial"/>
          <w:sz w:val="16"/>
          <w:szCs w:val="16"/>
          <w:b w:val="1"/>
          <w:bCs w:val="1"/>
          <w:color w:val="auto"/>
        </w:rPr>
        <w:t>5.5 Financial Statements; Financial Condition</w:t>
      </w:r>
      <w:r>
        <w:rPr>
          <w:rFonts w:ascii="Arial" w:cs="Arial" w:eastAsia="Arial" w:hAnsi="Arial"/>
          <w:sz w:val="16"/>
          <w:szCs w:val="16"/>
          <w:color w:val="auto"/>
        </w:rPr>
        <w:t>. All consolidated financial statements for Borrower and any of its Subsidiaries delivered to Bank</w:t>
      </w:r>
      <w:r>
        <w:rPr>
          <w:rFonts w:ascii="Arial" w:cs="Arial" w:eastAsia="Arial" w:hAnsi="Arial"/>
          <w:sz w:val="16"/>
          <w:szCs w:val="16"/>
          <w:b w:val="1"/>
          <w:bCs w:val="1"/>
          <w:color w:val="auto"/>
        </w:rPr>
        <w:t xml:space="preserve"> </w:t>
      </w:r>
      <w:r>
        <w:rPr>
          <w:rFonts w:ascii="Arial" w:cs="Arial" w:eastAsia="Arial" w:hAnsi="Arial"/>
          <w:sz w:val="16"/>
          <w:szCs w:val="16"/>
          <w:color w:val="auto"/>
        </w:rPr>
        <w:t>fairly present in all material respects Borrower’s consolidated financial condition and Borrower’s consolidated results of operations. There has not been any material deterioration in Borrower’s consolidated financial condition since the date of the most recent financial statements filed by Borrower with the SEC.</w:t>
      </w:r>
    </w:p>
    <w:p>
      <w:pPr>
        <w:spacing w:after="0" w:line="34"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5.6 Solvency</w:t>
      </w:r>
      <w:r>
        <w:rPr>
          <w:rFonts w:ascii="Arial" w:cs="Arial" w:eastAsia="Arial" w:hAnsi="Arial"/>
          <w:sz w:val="18"/>
          <w:szCs w:val="18"/>
          <w:color w:val="auto"/>
        </w:rPr>
        <w:t>. 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1" w:name="page12"/>
    <w:bookmarkEnd w:id="11"/>
    <w:p>
      <w:pPr>
        <w:ind w:right="20" w:firstLine="456"/>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5.7 Regulatory Compliance</w:t>
      </w:r>
      <w:r>
        <w:rPr>
          <w:rFonts w:ascii="Arial" w:cs="Arial" w:eastAsia="Arial" w:hAnsi="Arial"/>
          <w:sz w:val="17"/>
          <w:szCs w:val="17"/>
          <w:color w:val="auto"/>
        </w:rPr>
        <w:t>. Borrower is not an “investment company” or a company “controlled” by an “investment company” under the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 Authorities that are necessary to continue their respective businesses as currently conducted.</w:t>
      </w:r>
    </w:p>
    <w:p>
      <w:pPr>
        <w:spacing w:after="0" w:line="64"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b w:val="1"/>
          <w:bCs w:val="1"/>
          <w:color w:val="auto"/>
        </w:rPr>
        <w:t>5.8 Subsidiaries; Investments</w:t>
      </w:r>
      <w:r>
        <w:rPr>
          <w:rFonts w:ascii="Arial" w:cs="Arial" w:eastAsia="Arial" w:hAnsi="Arial"/>
          <w:sz w:val="18"/>
          <w:szCs w:val="18"/>
          <w:color w:val="auto"/>
        </w:rPr>
        <w:t>. 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5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5.9 Tax Returns and Payments; Pension Contributions</w:t>
      </w:r>
      <w:r>
        <w:rPr>
          <w:rFonts w:ascii="Arial" w:cs="Arial" w:eastAsia="Arial" w:hAnsi="Arial"/>
          <w:sz w:val="18"/>
          <w:szCs w:val="18"/>
          <w:color w:val="auto"/>
        </w:rPr>
        <w:t>. Borrower has timely filed all required tax returns and reports, and Borrower has timely paid</w:t>
      </w:r>
      <w:r>
        <w:rPr>
          <w:rFonts w:ascii="Arial" w:cs="Arial" w:eastAsia="Arial" w:hAnsi="Arial"/>
          <w:sz w:val="18"/>
          <w:szCs w:val="18"/>
          <w:b w:val="1"/>
          <w:bCs w:val="1"/>
          <w:color w:val="auto"/>
        </w:rPr>
        <w:t xml:space="preserve"> </w:t>
      </w:r>
      <w:r>
        <w:rPr>
          <w:rFonts w:ascii="Arial" w:cs="Arial" w:eastAsia="Arial" w:hAnsi="Arial"/>
          <w:sz w:val="18"/>
          <w:szCs w:val="18"/>
          <w:color w:val="auto"/>
        </w:rPr>
        <w:t>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Ten Thousand Dollars ($10,000.00).</w:t>
      </w:r>
    </w:p>
    <w:p>
      <w:pPr>
        <w:spacing w:after="0" w:line="8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Authority.</w:t>
      </w:r>
    </w:p>
    <w:p>
      <w:pPr>
        <w:spacing w:after="0" w:line="8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5.10 Use of Proceeds</w:t>
      </w:r>
      <w:r>
        <w:rPr>
          <w:rFonts w:ascii="Arial" w:cs="Arial" w:eastAsia="Arial" w:hAnsi="Arial"/>
          <w:sz w:val="18"/>
          <w:szCs w:val="18"/>
          <w:color w:val="auto"/>
        </w:rPr>
        <w:t>. Borrower shall use the proceeds of the Credit Extensions solely as working capital, and to fund its general business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not for personal, family, household or agricultural purposes.</w:t>
      </w:r>
    </w:p>
    <w:p>
      <w:pPr>
        <w:spacing w:after="0" w:line="54"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b w:val="1"/>
          <w:bCs w:val="1"/>
          <w:color w:val="auto"/>
        </w:rPr>
        <w:t>5.11 Full Disclosure</w:t>
      </w:r>
      <w:r>
        <w:rPr>
          <w:rFonts w:ascii="Arial" w:cs="Arial" w:eastAsia="Arial" w:hAnsi="Arial"/>
          <w:sz w:val="18"/>
          <w:szCs w:val="18"/>
          <w:color w:val="auto"/>
        </w:rPr>
        <w:t>. No written representation, warranty or other statement of Borrower in any certificate or written statement given to Bank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Loan Documents or the transactions contemplated thereby,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in light of the circumstances in which they were made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81"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any Responsible Officer.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 </w:t>
      </w: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do all of the following: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121" w:lineRule="exact"/>
        <w:rPr>
          <w:sz w:val="20"/>
          <w:szCs w:val="20"/>
          <w:color w:val="auto"/>
        </w:rPr>
      </w:pPr>
    </w:p>
    <w:p>
      <w:pPr>
        <w:jc w:val="both"/>
        <w:ind w:right="60" w:firstLine="921"/>
        <w:spacing w:after="0" w:line="259" w:lineRule="auto"/>
        <w:tabs>
          <w:tab w:leader="none" w:pos="11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its and (except as permitted by Section 7.3)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78" w:lineRule="exact"/>
        <w:rPr>
          <w:rFonts w:ascii="Arial" w:cs="Arial" w:eastAsia="Arial" w:hAnsi="Arial"/>
          <w:sz w:val="18"/>
          <w:szCs w:val="18"/>
          <w:color w:val="auto"/>
        </w:rPr>
      </w:pPr>
    </w:p>
    <w:p>
      <w:pPr>
        <w:ind w:right="80" w:firstLine="921"/>
        <w:spacing w:after="0" w:line="264" w:lineRule="auto"/>
        <w:tabs>
          <w:tab w:leader="none" w:pos="11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Bank in all of its property. Borrower shall promptly provide copies of any such obtained Governmental Approvals to Bank.</w:t>
      </w:r>
    </w:p>
    <w:p>
      <w:pPr>
        <w:spacing w:after="0" w:line="69" w:lineRule="exact"/>
        <w:rPr>
          <w:sz w:val="20"/>
          <w:szCs w:val="20"/>
          <w:color w:val="auto"/>
        </w:rPr>
      </w:pPr>
    </w:p>
    <w:p>
      <w:pPr>
        <w:ind w:right="560" w:firstLine="456"/>
        <w:spacing w:after="0" w:line="347" w:lineRule="auto"/>
        <w:rPr>
          <w:sz w:val="20"/>
          <w:szCs w:val="20"/>
          <w:color w:val="auto"/>
        </w:rPr>
      </w:pPr>
      <w:r>
        <w:rPr>
          <w:rFonts w:ascii="Arial" w:cs="Arial" w:eastAsia="Arial" w:hAnsi="Arial"/>
          <w:sz w:val="16"/>
          <w:szCs w:val="16"/>
          <w:b w:val="1"/>
          <w:bCs w:val="1"/>
          <w:color w:val="auto"/>
        </w:rPr>
        <w:t>6.2 Financial Statements, Reports, Certificates</w:t>
      </w:r>
      <w:r>
        <w:rPr>
          <w:rFonts w:ascii="Arial" w:cs="Arial" w:eastAsia="Arial" w:hAnsi="Arial"/>
          <w:sz w:val="16"/>
          <w:szCs w:val="16"/>
          <w:color w:val="auto"/>
        </w:rPr>
        <w:t>. Provide Bank with the following, which, other than with respect to the Quarterly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outlined in Section 6.2(b) below, may be provided electronically or by a link on Borrower’s website to documents filed with the SEC:</w:t>
      </w:r>
    </w:p>
    <w:p>
      <w:pPr>
        <w:spacing w:after="0" w:line="12" w:lineRule="exact"/>
        <w:rPr>
          <w:sz w:val="20"/>
          <w:szCs w:val="20"/>
          <w:color w:val="auto"/>
        </w:rPr>
      </w:pPr>
    </w:p>
    <w:p>
      <w:pPr>
        <w:ind w:firstLine="921"/>
        <w:spacing w:after="0" w:line="286" w:lineRule="auto"/>
        <w:tabs>
          <w:tab w:leader="none" w:pos="1157"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but no later than forty-five (45) days after the last day of each of the first three quarters of Borrower’s fiscal year, a company prepared consolidated balance sheet and income statement covering Borrower’s consolidated operations for such quarter certified by a Responsible Officer and in a form acceptable to Bank (the “</w:t>
      </w:r>
      <w:r>
        <w:rPr>
          <w:rFonts w:ascii="Arial" w:cs="Arial" w:eastAsia="Arial" w:hAnsi="Arial"/>
          <w:sz w:val="17"/>
          <w:szCs w:val="17"/>
          <w:b w:val="1"/>
          <w:bCs w:val="1"/>
          <w:color w:val="auto"/>
        </w:rPr>
        <w:t>Quarterly Financial Statements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20" w:firstLine="921"/>
        <w:spacing w:after="0" w:line="259" w:lineRule="auto"/>
        <w:tabs>
          <w:tab w:leader="none" w:pos="116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Quarterly Compliance Certificate</w:t>
      </w:r>
      <w:r>
        <w:rPr>
          <w:rFonts w:ascii="Arial" w:cs="Arial" w:eastAsia="Arial" w:hAnsi="Arial"/>
          <w:sz w:val="18"/>
          <w:szCs w:val="18"/>
          <w:color w:val="auto"/>
        </w:rPr>
        <w:t>. Within forty-five (45) days after the last day of each quarter and together with the Quarterly Financial Statements, a duly completed Compliance Certificate signed by a Responsible Officer, certifying that as of the end of such month, Borrower was in full compliance with all of the terms and conditions of this Agreement, and setting forth calculations showing compliance with the financial covenants set forth in this Agreement and such other information as Bank may reasonably request;</w:t>
      </w:r>
    </w:p>
    <w:p>
      <w:pPr>
        <w:spacing w:after="0" w:line="78" w:lineRule="exact"/>
        <w:rPr>
          <w:rFonts w:ascii="Arial" w:cs="Arial" w:eastAsia="Arial" w:hAnsi="Arial"/>
          <w:sz w:val="18"/>
          <w:szCs w:val="18"/>
          <w:color w:val="auto"/>
        </w:rPr>
      </w:pPr>
    </w:p>
    <w:p>
      <w:pPr>
        <w:ind w:right="80" w:firstLine="921"/>
        <w:spacing w:after="0" w:line="257" w:lineRule="auto"/>
        <w:tabs>
          <w:tab w:leader="none" w:pos="115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Annual Operating Budget and Financial Projections</w:t>
      </w:r>
      <w:r>
        <w:rPr>
          <w:rFonts w:ascii="Arial" w:cs="Arial" w:eastAsia="Arial" w:hAnsi="Arial"/>
          <w:sz w:val="18"/>
          <w:szCs w:val="18"/>
          <w:color w:val="auto"/>
        </w:rPr>
        <w:t>. Upon Bank’s reasonable request, (i) annual operating budgets (including cash-based income statements by quarter) for the upcoming fiscal year of Borrower, and (ii) annual financial projections for the following fiscal year (on a quarterly basis) as approved by Borrower’s board of directors, together with any related business forecasts used in the preparation of such annual financial projections; provided that, any material revisions of the annual financial projections approved by Borrower’s board of directors shall be delivered to Bank no later than seven (7) days after such approval;</w:t>
      </w:r>
    </w:p>
    <w:p>
      <w:pPr>
        <w:spacing w:after="0" w:line="80"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As soon as available, but no later than one hundred eighty (180) days after the last day of Borrower’s fiscal year, audited consolidated financial statements prepared under GAAP, consistently applied, together with an unqualified opinion on the financial statements from an independent certified public accounting firm reasonably acceptable to Bank;</w:t>
      </w:r>
    </w:p>
    <w:p>
      <w:pPr>
        <w:spacing w:after="0" w:line="73" w:lineRule="exact"/>
        <w:rPr>
          <w:rFonts w:ascii="Arial" w:cs="Arial" w:eastAsia="Arial" w:hAnsi="Arial"/>
          <w:sz w:val="18"/>
          <w:szCs w:val="18"/>
          <w:color w:val="auto"/>
        </w:rPr>
      </w:pPr>
    </w:p>
    <w:p>
      <w:pPr>
        <w:ind w:right="40" w:firstLine="921"/>
        <w:spacing w:after="0" w:line="277" w:lineRule="auto"/>
        <w:tabs>
          <w:tab w:leader="none" w:pos="115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days of delivery, copies of all statements, reports and notices made available to Borrower’s security holders or to any holders of Subordinated Debt;</w:t>
      </w:r>
    </w:p>
    <w:p>
      <w:pPr>
        <w:spacing w:after="0" w:line="62" w:lineRule="exact"/>
        <w:rPr>
          <w:rFonts w:ascii="Arial" w:cs="Arial" w:eastAsia="Arial" w:hAnsi="Arial"/>
          <w:sz w:val="18"/>
          <w:szCs w:val="18"/>
          <w:color w:val="auto"/>
        </w:rPr>
      </w:pPr>
    </w:p>
    <w:p>
      <w:pPr>
        <w:ind w:firstLine="921"/>
        <w:spacing w:after="0" w:line="276" w:lineRule="auto"/>
        <w:tabs>
          <w:tab w:leader="none" w:pos="113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Within five (5) days of filing, copies of all periodic and other reports, proxy statements and other materials filed by Borrower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13" w:name="page14"/>
    <w:bookmarkEnd w:id="13"/>
    <w:p>
      <w:pPr>
        <w:ind w:right="120" w:firstLine="921"/>
        <w:spacing w:after="0" w:line="264" w:lineRule="auto"/>
        <w:tabs>
          <w:tab w:leader="none" w:pos="116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Action Notice</w:t>
      </w:r>
      <w:r>
        <w:rPr>
          <w:rFonts w:ascii="Arial" w:cs="Arial" w:eastAsia="Arial" w:hAnsi="Arial"/>
          <w:sz w:val="18"/>
          <w:szCs w:val="18"/>
          <w:color w:val="auto"/>
        </w:rPr>
        <w:t>. A prompt report of any legal actions pending or threatened in writing against Borrower or any of its Subsidiaries that could result in damages or costs to Borrower or any of its Subsidiaries of, individually or in the aggregate, Two Hundred Fifty Thousand Dollars ($250,000) or more; and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Other financial information reasonably requested by Bank.</w:t>
      </w:r>
    </w:p>
    <w:p>
      <w:pPr>
        <w:spacing w:after="0" w:line="113" w:lineRule="exact"/>
        <w:rPr>
          <w:sz w:val="20"/>
          <w:szCs w:val="20"/>
          <w:color w:val="auto"/>
        </w:rPr>
      </w:pPr>
    </w:p>
    <w:p>
      <w:pPr>
        <w:jc w:val="both"/>
        <w:ind w:right="120" w:firstLine="456"/>
        <w:spacing w:after="0" w:line="266" w:lineRule="auto"/>
        <w:rPr>
          <w:sz w:val="20"/>
          <w:szCs w:val="20"/>
          <w:color w:val="auto"/>
        </w:rPr>
      </w:pPr>
      <w:r>
        <w:rPr>
          <w:rFonts w:ascii="Arial" w:cs="Arial" w:eastAsia="Arial" w:hAnsi="Arial"/>
          <w:sz w:val="18"/>
          <w:szCs w:val="18"/>
          <w:b w:val="1"/>
          <w:bCs w:val="1"/>
          <w:color w:val="auto"/>
        </w:rPr>
        <w:t>6.3 Inventory; Returns</w:t>
      </w:r>
      <w:r>
        <w:rPr>
          <w:rFonts w:ascii="Arial" w:cs="Arial" w:eastAsia="Arial" w:hAnsi="Arial"/>
          <w:sz w:val="18"/>
          <w:szCs w:val="18"/>
          <w:color w:val="auto"/>
        </w:rPr>
        <w:t>. Keep all Inventory in good and marketable condition, free from material defects. Returns and allowances between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Account Debtors shall follow Borrower’s customary practices as they exist at the Effective Date. Borrower must promptly notify Bank of all returns, recoveries, disputes and claims that involve more than Two Hundred Fifty Thousand Dollars ($250,000).</w:t>
      </w:r>
    </w:p>
    <w:p>
      <w:pPr>
        <w:spacing w:after="0" w:line="6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Timely file, and require each of its Subsidiaries to timely file, all required tax returns and reports and timely pay, and require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its Subsidiaries to timely pay, all foreign, federal, state and local taxes, assessments, deposits and contributions owed by Borrower and each of its Subsidiaries, except for deferred payment of any taxes contested pursuant to the terms of Section 5.9 hereof, and shall deliver to Bank, on demand, appropriate certificates attesting to such payments, and pay all amounts necessary to fund all present pension, profit sharing and deferred compensation plans in accordance with their terms.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6.5 Insurance</w:t>
      </w:r>
      <w:r>
        <w:rPr>
          <w:rFonts w:ascii="Arial" w:cs="Arial" w:eastAsia="Arial" w:hAnsi="Arial"/>
          <w:sz w:val="18"/>
          <w:szCs w:val="18"/>
          <w:color w:val="auto"/>
        </w:rPr>
        <w:t>.</w:t>
      </w:r>
    </w:p>
    <w:p>
      <w:pPr>
        <w:spacing w:after="0" w:line="121" w:lineRule="exact"/>
        <w:rPr>
          <w:sz w:val="20"/>
          <w:szCs w:val="20"/>
          <w:color w:val="auto"/>
        </w:rPr>
      </w:pPr>
    </w:p>
    <w:p>
      <w:pPr>
        <w:ind w:right="20" w:firstLine="921"/>
        <w:spacing w:after="0" w:line="276" w:lineRule="auto"/>
        <w:tabs>
          <w:tab w:leader="none" w:pos="1158" w:val="left"/>
        </w:tabs>
        <w:numPr>
          <w:ilvl w:val="0"/>
          <w:numId w:val="16"/>
        </w:numPr>
        <w:rPr>
          <w:rFonts w:ascii="Arial" w:cs="Arial" w:eastAsia="Arial" w:hAnsi="Arial"/>
          <w:sz w:val="17"/>
          <w:szCs w:val="17"/>
          <w:color w:val="auto"/>
        </w:rPr>
      </w:pPr>
      <w:r>
        <w:rPr>
          <w:rFonts w:ascii="Arial" w:cs="Arial" w:eastAsia="Arial" w:hAnsi="Arial"/>
          <w:sz w:val="17"/>
          <w:szCs w:val="17"/>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satisfactory to Bank.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64" w:lineRule="exact"/>
        <w:rPr>
          <w:rFonts w:ascii="Arial" w:cs="Arial" w:eastAsia="Arial" w:hAnsi="Arial"/>
          <w:sz w:val="17"/>
          <w:szCs w:val="17"/>
          <w:color w:val="auto"/>
        </w:rPr>
      </w:pPr>
    </w:p>
    <w:p>
      <w:pPr>
        <w:ind w:left="1180" w:hanging="25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Bank’s option, payable to Bank on account of the Obligations.</w:t>
      </w:r>
    </w:p>
    <w:p>
      <w:pPr>
        <w:spacing w:after="0" w:line="23" w:lineRule="exact"/>
        <w:rPr>
          <w:rFonts w:ascii="Arial" w:cs="Arial" w:eastAsia="Arial" w:hAnsi="Arial"/>
          <w:sz w:val="18"/>
          <w:szCs w:val="18"/>
          <w:color w:val="auto"/>
        </w:rPr>
      </w:pPr>
    </w:p>
    <w:p>
      <w:pPr>
        <w:ind w:right="60"/>
        <w:spacing w:after="0" w:line="252" w:lineRule="auto"/>
        <w:rPr>
          <w:rFonts w:ascii="Arial" w:cs="Arial" w:eastAsia="Arial" w:hAnsi="Arial"/>
          <w:sz w:val="18"/>
          <w:szCs w:val="18"/>
          <w:color w:val="auto"/>
        </w:rPr>
      </w:pPr>
      <w:r>
        <w:rPr>
          <w:rFonts w:ascii="Arial" w:cs="Arial" w:eastAsia="Arial" w:hAnsi="Arial"/>
          <w:sz w:val="18"/>
          <w:szCs w:val="18"/>
          <w:color w:val="auto"/>
        </w:rPr>
        <w:t>Notwithstanding the foregoing, (a) so long as no Event of Default has occurred and is continuing, Borrower shall have the option of applying the proceeds of any casualty policy up to Two Hundred Fifty Thousand Dollars ($250,000.00) in the aggregate for all losses under all casualty policies in any one (1)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(subject only to Permitted Liens that are permitted pursuant to the terms of this Agreement to have superior priority to Bank’s Lien), and (b) after the occurrence and during the continuance of an Event of Default, all proceeds payable under such casualty policy shall, at the option of Bank, be payable to Bank on account of the Obligations.</w:t>
      </w:r>
    </w:p>
    <w:p>
      <w:pPr>
        <w:spacing w:after="0" w:line="81" w:lineRule="exact"/>
        <w:rPr>
          <w:sz w:val="20"/>
          <w:szCs w:val="20"/>
          <w:color w:val="auto"/>
        </w:rPr>
      </w:pPr>
    </w:p>
    <w:p>
      <w:pPr>
        <w:ind w:right="220" w:firstLine="456"/>
        <w:spacing w:after="0" w:line="347" w:lineRule="auto"/>
        <w:rPr>
          <w:sz w:val="20"/>
          <w:szCs w:val="20"/>
          <w:color w:val="auto"/>
        </w:rPr>
      </w:pPr>
      <w:r>
        <w:rPr>
          <w:rFonts w:ascii="Arial" w:cs="Arial" w:eastAsia="Arial" w:hAnsi="Arial"/>
          <w:sz w:val="16"/>
          <w:szCs w:val="16"/>
          <w:b w:val="1"/>
          <w:bCs w:val="1"/>
          <w:color w:val="auto"/>
        </w:rPr>
        <w:t>6.6 Operating Accounts</w:t>
      </w:r>
      <w:r>
        <w:rPr>
          <w:rFonts w:ascii="Arial" w:cs="Arial" w:eastAsia="Arial" w:hAnsi="Arial"/>
          <w:sz w:val="16"/>
          <w:szCs w:val="16"/>
          <w:color w:val="auto"/>
        </w:rPr>
        <w:t>. Maintain all of Borrower’s and all of its Subsidiaries’ (excluding Accounts held by Zafgen Securities) operating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deposit accounts and securities accounts, and its and its cash management, letters of credit and business credit cards, with Bank and Bank’s Affiliates.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6.7 Minimum Cash.</w:t>
      </w:r>
    </w:p>
    <w:p>
      <w:pPr>
        <w:spacing w:after="0" w:line="121" w:lineRule="exact"/>
        <w:rPr>
          <w:sz w:val="20"/>
          <w:szCs w:val="20"/>
          <w:color w:val="auto"/>
        </w:rPr>
      </w:pPr>
    </w:p>
    <w:p>
      <w:pPr>
        <w:ind w:right="140" w:firstLine="921"/>
        <w:spacing w:after="0" w:line="308" w:lineRule="auto"/>
        <w:tabs>
          <w:tab w:leader="none" w:pos="115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Borrower shall at all times maintain cash, Cash Equivalents and marketable securities at Bank and Bank’s Affiliates in an aggregate amount not less than one hundred and five percent (105%) of all the total amount of outstanding Indebtedness under the Term Loan; and</w:t>
      </w:r>
    </w:p>
    <w:p>
      <w:pPr>
        <w:spacing w:after="0" w:line="38" w:lineRule="exact"/>
        <w:rPr>
          <w:rFonts w:ascii="Arial" w:cs="Arial" w:eastAsia="Arial" w:hAnsi="Arial"/>
          <w:sz w:val="17"/>
          <w:szCs w:val="17"/>
          <w:color w:val="auto"/>
        </w:rPr>
      </w:pPr>
    </w:p>
    <w:p>
      <w:pPr>
        <w:ind w:right="120" w:firstLine="921"/>
        <w:spacing w:after="0" w:line="259" w:lineRule="auto"/>
        <w:tabs>
          <w:tab w:leader="none" w:pos="11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Borrower, Zafgen Australia and Zafgen Securities shall at all times, beginning on the date which is forty-five (45) days after the Effective Date, maintain unrestricted cash, Cash Equivalents and marketable securities at Bank and Bank’s Affiliates in an amount not less than the greater of (i) Fifty Five Million Dollars ($55,000,000) and (ii) sixty-five percent (65%) of all of Borrower, Zafgen Australia and Zafgen Securities unrestricted cash, Cash Equivalents and marketable securities.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4" w:name="page15"/>
    <w:bookmarkEnd w:id="14"/>
    <w:p>
      <w:pPr>
        <w:ind w:right="1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if Borrower is out of compliance at any time with the minimum cash requirements of Section 6.7(b) above, it shall not be an Event of Default or a breach of this Section 6.7(b) if Borrower immediately cash secures eighty seven and one half percent (87.50%) of the principal balance of all outstanding Indebtedness under the Term Loan in the Pledged Account (a “Cash Collateralization”) until such time that Borrower provides to Bank evidence, satisfactory to Bank in its reasonable business discretion, that Borrower is in compliance with Section 6.7(b) above. Borrower hereby authorizes and directs Bank to transfer to the Pledged Account an amount equal to eighty seven and one half percent (87.50%) of the principal balance of all outstanding Indebtedness under the Term Loan if Borrower fails to maintain compliance with Section 6.7(b), it being understood that the foregoing authorization shall constitute an immediate Cash Collateralization, irrespective of any delay by Bank in effecting such transfer, to the extent that sufficient Borrower funds are then available for Bank to effect such transfer.</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6.8 Protection of Intellectual Property Rights</w:t>
      </w:r>
      <w:r>
        <w:rPr>
          <w:rFonts w:ascii="Arial" w:cs="Arial" w:eastAsia="Arial" w:hAnsi="Arial"/>
          <w:sz w:val="18"/>
          <w:szCs w:val="18"/>
          <w:color w:val="auto"/>
        </w:rPr>
        <w:t>.</w:t>
      </w:r>
    </w:p>
    <w:p>
      <w:pPr>
        <w:spacing w:after="0" w:line="121" w:lineRule="exact"/>
        <w:rPr>
          <w:sz w:val="20"/>
          <w:szCs w:val="20"/>
          <w:color w:val="auto"/>
        </w:rPr>
      </w:pPr>
    </w:p>
    <w:p>
      <w:pPr>
        <w:ind w:right="40" w:firstLine="921"/>
        <w:spacing w:after="0" w:line="259" w:lineRule="auto"/>
        <w:tabs>
          <w:tab w:leader="none" w:pos="11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which has material value; (ii) promptly advise Bank in writing of material infringements or any other event that could reasonably be expected to materially and adversely affect the value of its Intellectual Property; and (iii) not allow any Intellectual Property material to Borrower’s business to be abandoned, forfeited or dedicated to the public without Bank’s written consent.</w:t>
      </w:r>
    </w:p>
    <w:p>
      <w:pPr>
        <w:spacing w:after="0" w:line="78" w:lineRule="exact"/>
        <w:rPr>
          <w:rFonts w:ascii="Arial" w:cs="Arial" w:eastAsia="Arial" w:hAnsi="Arial"/>
          <w:sz w:val="18"/>
          <w:szCs w:val="18"/>
          <w:color w:val="auto"/>
        </w:rPr>
      </w:pPr>
    </w:p>
    <w:p>
      <w:pPr>
        <w:ind w:firstLine="921"/>
        <w:spacing w:after="0" w:line="255" w:lineRule="auto"/>
        <w:tabs>
          <w:tab w:leader="none" w:pos="11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written notice to Bank within thirty (30) days of entering or becoming bound by any Restricted License (other than over-the-counter software that is commercially available to the public). Borrower shall take such steps as Bank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81" w:lineRule="exact"/>
        <w:rPr>
          <w:sz w:val="20"/>
          <w:szCs w:val="20"/>
          <w:color w:val="auto"/>
        </w:rPr>
      </w:pPr>
    </w:p>
    <w:p>
      <w:pPr>
        <w:jc w:val="both"/>
        <w:ind w:right="60" w:firstLine="456"/>
        <w:spacing w:after="0" w:line="261" w:lineRule="auto"/>
        <w:rPr>
          <w:sz w:val="20"/>
          <w:szCs w:val="20"/>
          <w:color w:val="auto"/>
        </w:rPr>
      </w:pPr>
      <w:r>
        <w:rPr>
          <w:rFonts w:ascii="Arial" w:cs="Arial" w:eastAsia="Arial" w:hAnsi="Arial"/>
          <w:sz w:val="18"/>
          <w:szCs w:val="18"/>
          <w:b w:val="1"/>
          <w:bCs w:val="1"/>
          <w:color w:val="auto"/>
        </w:rPr>
        <w:t>6.9 Litigation Cooperation</w:t>
      </w:r>
      <w:r>
        <w:rPr>
          <w:rFonts w:ascii="Arial" w:cs="Arial" w:eastAsia="Arial" w:hAnsi="Arial"/>
          <w:sz w:val="18"/>
          <w:szCs w:val="18"/>
          <w:color w:val="auto"/>
        </w:rPr>
        <w:t>. From the date hereof and continuing through the termination of this Agreement, make available to Bank, without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to Bank and upon one (1) Business Day’s notice,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spacing w:after="0" w:line="7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6.10 Access to Collateral; Books and Records</w:t>
      </w:r>
      <w:r>
        <w:rPr>
          <w:rFonts w:ascii="Arial" w:cs="Arial" w:eastAsia="Arial" w:hAnsi="Arial"/>
          <w:sz w:val="17"/>
          <w:szCs w:val="17"/>
          <w:color w:val="auto"/>
        </w:rPr>
        <w:t>. Allow Bank, or its agents, at reasonable times, on one (1) Business Day’s notice (provided no notice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if an Event of Default has occurred and is continuing), to inspect the Collateral and audit and copy Borrower’s Books. Such inspections or audits shall be conducted no more often than once every twelve (12) months unless an Event of Default has occurred and is continuing in which case such inspections and audits shall occur as often as Bank shall determine is necessary. The foregoing inspections and audits shall be at Borrower’s expense, and the charge therefor shall be One Thousand Dollars ($1,000) per person per day (or such higher amount as shall represent Bank’s then-current standard charge for the same), plus reasonable out-of-pocket expenses. In the event Borrower and Bank schedule an audit more than ten (10) days in advance, and Borrower cancels or seeks to reschedule the audit with less than ten (10) days written notice to Bank, then (without limiting any of Bank’s rights or remedies), Borrower shall pay Bank a fee of One Thousand Dollars ($1,000) plus any out-of-pocket expenses incurred by Bank to compensate Bank for the anticipated costs and expenses of the cancellation or rescheduling.</w:t>
      </w:r>
    </w:p>
    <w:p>
      <w:pPr>
        <w:spacing w:after="0" w:line="6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6.11 Formation or Acquisition of Subsidiaries</w:t>
      </w:r>
      <w:r>
        <w:rPr>
          <w:rFonts w:ascii="Arial" w:cs="Arial" w:eastAsia="Arial" w:hAnsi="Arial"/>
          <w:sz w:val="17"/>
          <w:szCs w:val="17"/>
          <w:color w:val="auto"/>
        </w:rPr>
        <w:t>. Notwithstanding and without limiting the negative covenants contained in Sections 7.3 and 7.7</w:t>
      </w:r>
    </w:p>
    <w:p>
      <w:pPr>
        <w:spacing w:after="0" w:line="3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hereof, at the time that Borrower forms any direct or indirect Subsidiary or acquires any direct or indirect Subsidiary after the Effective Date, Borrower shall</w:t>
      </w:r>
    </w:p>
    <w:p>
      <w:pPr>
        <w:spacing w:after="0" w:line="32" w:lineRule="exact"/>
        <w:rPr>
          <w:sz w:val="20"/>
          <w:szCs w:val="20"/>
          <w:color w:val="auto"/>
        </w:rPr>
      </w:pPr>
    </w:p>
    <w:p>
      <w:pPr>
        <w:ind w:right="180" w:firstLine="8"/>
        <w:spacing w:after="0" w:line="281" w:lineRule="auto"/>
        <w:tabs>
          <w:tab w:leader="none" w:pos="2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cause each such new Subsidiary that is a Domestic Subsidiary to provide to Bank a joinder to the Loan Agreement to cause such Subsidiary to become a co-borrower hereunder, together with such appropriate financing statements and/or Control Agreements, all in form and substance satisfactory to Bank (including being sufficient to grant Bank a first priority Lien (subject to Permitted Liens) in and to the assets of such newly formed or acquired Subsidiary),</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to Bank appropriate certificates and powers and financing statements, pledging all of the direct or beneficial ownership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5" w:name="page16"/>
    <w:bookmarkEnd w:id="1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in each such new Subsidiary, in form and substance satisfactory to Bank; provided, however, that Borrower shall not be required to grant and pledge to Bank a perfected security interest in more than sixty-five percent (65%) of the Shares of a Foreign Subsidiary, if Borrower demonstrates to the reasonable satisfaction of Collateral Agent that such Foreign Subsidiary becoming a co-Borrower or providing such guarantee or pledge and security interest or Borrower or any such Subsidiary providing a perfected security interest in more than sixty-five percent (65%) of the stock, units or other evidence of ownership of such Foreign Subsidiary would create a present and existing adverse tax consequence to Borrower under the U.S. Internal Revenue Code, and (c) 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6.11 shall be a Loan Document.</w:t>
      </w:r>
    </w:p>
    <w:p>
      <w:pPr>
        <w:spacing w:after="0" w:line="67"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6.12 Further Assurances</w:t>
      </w:r>
      <w:r>
        <w:rPr>
          <w:rFonts w:ascii="Arial" w:cs="Arial" w:eastAsia="Arial" w:hAnsi="Arial"/>
          <w:sz w:val="18"/>
          <w:szCs w:val="18"/>
          <w:color w:val="auto"/>
        </w:rPr>
        <w:t>. Execute any further instruments and take further action as Bank reasonably requests to perfect or continue Bank’s Lien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11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color w:val="auto"/>
        </w:rPr>
        <w:t>7.1 Dispositions</w:t>
      </w:r>
      <w:r>
        <w:rPr>
          <w:rFonts w:ascii="Arial" w:cs="Arial" w:eastAsia="Arial" w:hAnsi="Arial"/>
          <w:sz w:val="17"/>
          <w:szCs w:val="17"/>
          <w:color w:val="auto"/>
        </w:rPr>
        <w:t>. Convey, sell, lease, transfer, assign, or otherwise dispose of (collectively, “</w:t>
      </w:r>
      <w:r>
        <w:rPr>
          <w:rFonts w:ascii="Arial" w:cs="Arial" w:eastAsia="Arial" w:hAnsi="Arial"/>
          <w:sz w:val="17"/>
          <w:szCs w:val="17"/>
          <w:b w:val="1"/>
          <w:bCs w:val="1"/>
          <w:color w:val="auto"/>
        </w:rPr>
        <w:t>Transfer</w:t>
      </w:r>
      <w:r>
        <w:rPr>
          <w:rFonts w:ascii="Arial" w:cs="Arial" w:eastAsia="Arial" w:hAnsi="Arial"/>
          <w:sz w:val="17"/>
          <w:szCs w:val="17"/>
          <w:color w:val="auto"/>
        </w:rPr>
        <w:t>”), or permit any of its Subsidiaries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all or any part of its business or property, except for Transfers (a) of Inventory in the ordinary course of business; (b) of worn-out, obsolete or surplus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a manner that is not prohibited by the terms of this Agreement or the other Loan Documents; and (f)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discreet geographical areas outside of the United States.</w:t>
      </w:r>
    </w:p>
    <w:p>
      <w:pPr>
        <w:spacing w:after="0" w:line="64"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7.2 Changes in Business, Management, Control, or Business Locations</w:t>
      </w:r>
      <w:r>
        <w:rPr>
          <w:rFonts w:ascii="Arial" w:cs="Arial" w:eastAsia="Arial" w:hAnsi="Arial"/>
          <w:sz w:val="18"/>
          <w:szCs w:val="18"/>
          <w:color w:val="auto"/>
        </w:rPr>
        <w:t>. (a) Engage in or permit any of its Subsidiaries to engage in any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businesses currently engaged in by Borrower and such Subsidiary, as applicable, or reasonably related thereto; (b) liquidate or dissolve; (c) fail to provide notice to Bank of any Key Person departing from or ceasing to be employed by Borrower within five (5) Business Days after his or her departure from Borrower; or (d) permit or suffer any Change in Control.</w:t>
      </w:r>
    </w:p>
    <w:p>
      <w:pPr>
        <w:spacing w:after="0" w:line="7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Borrower shall not, without at least thirty (30) days prior written notice to Bank: (1) add any new offices or business locations, including warehouses (unless each such new office or business location contains less than Fifty Thousand Dollars ($50,000) in Borrower’s assets or property) or deliver any portion of the Collateral valued, individually or in the aggregate, in excess of Two Hundred Fifty Thousand Dollars ($250,000)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Two Hundred Fifty Thousand Dollars ($250,000) to a bailee, and Bank and such bailee are not already parties to a bailee agreement governing both the Collateral and the location to which Borrower intends to deliver the Collateral, then Borrower will first receive the written consent of Bank, and such bailee shall execute and deliver a bailee agreement in form and substance satisfactory to Bank.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6" w:name="page17"/>
    <w:bookmarkEnd w:id="16"/>
    <w:p>
      <w:pPr>
        <w:ind w:right="3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 Mergers or Acquisitions</w:t>
      </w:r>
      <w:r>
        <w:rPr>
          <w:rFonts w:ascii="Arial" w:cs="Arial" w:eastAsia="Arial" w:hAnsi="Arial"/>
          <w:sz w:val="18"/>
          <w:szCs w:val="18"/>
          <w:color w:val="auto"/>
        </w:rPr>
        <w:t>. 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or property of another Person (including, without limitation, by the formation of any Subsidiary). A Subsidiary may merge or consolidate into another Subsidiary or into Borrower.</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7.4 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7.5 Encumbrance</w:t>
      </w:r>
      <w:r>
        <w:rPr>
          <w:rFonts w:ascii="Arial" w:cs="Arial" w:eastAsia="Arial" w:hAnsi="Arial"/>
          <w:sz w:val="18"/>
          <w:szCs w:val="18"/>
          <w:color w:val="auto"/>
        </w:rPr>
        <w:t>. Create, incur, allow, or suffer any Lien on any of its property, or assign or convey any right to receive income, including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Maintenance of Collateral Accounts</w:t>
      </w:r>
      <w:r>
        <w:rPr>
          <w:rFonts w:ascii="Arial" w:cs="Arial" w:eastAsia="Arial" w:hAnsi="Arial"/>
          <w:sz w:val="18"/>
          <w:szCs w:val="18"/>
          <w:color w:val="auto"/>
        </w:rPr>
        <w:t>. Maintain any Collateral Account except pursuant to the terms of Section 6.6 hereof.</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color w:val="auto"/>
        </w:rPr>
        <w:t>7.7 Distributions; Investments</w:t>
      </w:r>
      <w:r>
        <w:rPr>
          <w:rFonts w:ascii="Arial" w:cs="Arial" w:eastAsia="Arial" w:hAnsi="Arial"/>
          <w:sz w:val="16"/>
          <w:szCs w:val="16"/>
          <w:color w:val="auto"/>
        </w:rPr>
        <w:t>. (a) Pay any dividends or make any distribution or payment or redeem, retire or purchase any capital stock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 Borrower may convert any of its convertible securities into other securities pursuant to the terms of such convertible securities or otherwise in exchange thereof, (ii) Borrower may pay dividends solely in common stock; and (iii) Borrower may repurchase the stock of former employees or consultants pursuant to stock repurchase agreements so long as an Event of Default does not exist at the time of such repurchase and would not exist after giving effect to such repurchase, provided that the aggregate amount of all such repurchases does not exceed One Hundred Thousand Dollars ($100,000) per fiscal year; or</w:t>
      </w:r>
    </w:p>
    <w:p>
      <w:pPr>
        <w:spacing w:after="0" w:line="2" w:lineRule="exact"/>
        <w:rPr>
          <w:sz w:val="20"/>
          <w:szCs w:val="20"/>
          <w:color w:val="auto"/>
        </w:rPr>
      </w:pPr>
    </w:p>
    <w:p>
      <w:pPr>
        <w:ind w:right="80" w:firstLine="8"/>
        <w:spacing w:after="0" w:line="261"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directly or indirectly make any Investment (including, without limitation, by the formation of any Subsidiary) other than Permitted Investments, or permit any of its Subsidiaries to do so.</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7.8 Transactions with Affiliates</w:t>
      </w:r>
      <w:r>
        <w:rPr>
          <w:rFonts w:ascii="Arial" w:cs="Arial" w:eastAsia="Arial" w:hAnsi="Arial"/>
          <w:sz w:val="16"/>
          <w:szCs w:val="16"/>
          <w:color w:val="auto"/>
        </w:rPr>
        <w:t>. Directly or indirectly enter into or permit to exist any material transaction with any Affiliate of Borrower, except for</w:t>
      </w:r>
    </w:p>
    <w:p>
      <w:pPr>
        <w:spacing w:after="0" w:line="50" w:lineRule="exact"/>
        <w:rPr>
          <w:sz w:val="20"/>
          <w:szCs w:val="20"/>
          <w:color w:val="auto"/>
        </w:rPr>
      </w:pPr>
    </w:p>
    <w:p>
      <w:pPr>
        <w:ind w:right="260" w:firstLine="8"/>
        <w:spacing w:after="0" w:line="323" w:lineRule="auto"/>
        <w:tabs>
          <w:tab w:leader="none" w:pos="2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transactions that are in the ordinary course of Borrower’s business, upon fair and reasonable terms that are no less favorable to Borrower than would be obtained in an arm’s length transaction with a non-affiliated Person and (b) equity financings of Borrower that do not result in a Change of Control.</w:t>
      </w:r>
    </w:p>
    <w:p>
      <w:pPr>
        <w:spacing w:after="0" w:line="2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7.9 Subordinated Debt</w:t>
      </w:r>
      <w:r>
        <w:rPr>
          <w:rFonts w:ascii="Arial" w:cs="Arial" w:eastAsia="Arial" w:hAnsi="Arial"/>
          <w:sz w:val="18"/>
          <w:szCs w:val="18"/>
          <w:color w:val="auto"/>
        </w:rPr>
        <w:t>. (a) Make or permit any payment on any Subordinated Debt, except under the terms of the subordination, intercreditor,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7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7.10 Compliance</w:t>
      </w:r>
      <w:r>
        <w:rPr>
          <w:rFonts w:ascii="Arial" w:cs="Arial" w:eastAsia="Arial" w:hAnsi="Arial"/>
          <w:sz w:val="16"/>
          <w:szCs w:val="16"/>
          <w:color w:val="auto"/>
        </w:rPr>
        <w:t>. Become an “investment company” or a company controlled by an “investment company”, under the Investment Company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or (c) comply with the Federal Labor Standards Act, the failure of any of the conditions in clauses (a) through (c) which could reasonably be expected to have a material adverse effect on Borrower’s business, or violate any other law or regulation, if the violation could reasonably be expected to have a materials adverse effect on Borrower’s business or permit any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7" w:name="page18"/>
    <w:bookmarkEnd w:id="17"/>
    <w:p>
      <w:pPr>
        <w:jc w:val="both"/>
        <w:ind w:right="4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7.11 Subsidiary Assets. </w:t>
      </w:r>
      <w:r>
        <w:rPr>
          <w:rFonts w:ascii="Arial" w:cs="Arial" w:eastAsia="Arial" w:hAnsi="Arial"/>
          <w:sz w:val="18"/>
          <w:szCs w:val="18"/>
          <w:color w:val="auto"/>
        </w:rPr>
        <w:t>Permit the aggregate value of cash maintained (i) by Zafgen Australia to exceed Four Million Dollars ($4,000,000) and (ii) by</w:t>
      </w:r>
      <w:r>
        <w:rPr>
          <w:rFonts w:ascii="Arial" w:cs="Arial" w:eastAsia="Arial" w:hAnsi="Arial"/>
          <w:sz w:val="18"/>
          <w:szCs w:val="18"/>
          <w:b w:val="1"/>
          <w:bCs w:val="1"/>
          <w:color w:val="auto"/>
        </w:rPr>
        <w:t xml:space="preserve"> </w:t>
      </w:r>
      <w:r>
        <w:rPr>
          <w:rFonts w:ascii="Arial" w:cs="Arial" w:eastAsia="Arial" w:hAnsi="Arial"/>
          <w:sz w:val="18"/>
          <w:szCs w:val="18"/>
          <w:color w:val="auto"/>
        </w:rPr>
        <w:t>Zafgen Animal Health to exceed Fifty Thousand Dollars ($50,000). Notwithstanding anything to the contrary contained herein, Borrower shall not, and shall not permit any Subsidiary to, make any Transfers to, or Investments in, any Subsidiary, other than those permitted in section (g) of the definition of Permitted Investments).</w:t>
      </w:r>
    </w:p>
    <w:p>
      <w:pPr>
        <w:spacing w:after="0" w:line="7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7.12 Zafgen Securities</w:t>
      </w:r>
      <w:r>
        <w:rPr>
          <w:rFonts w:ascii="Arial" w:cs="Arial" w:eastAsia="Arial" w:hAnsi="Arial"/>
          <w:sz w:val="18"/>
          <w:szCs w:val="18"/>
          <w:color w:val="auto"/>
        </w:rPr>
        <w:t>. Borrower shall not permit Zafgen Securities to make any Investments or hold any assets that would cause Zafgen Securities to</w:t>
      </w:r>
      <w:r>
        <w:rPr>
          <w:rFonts w:ascii="Arial" w:cs="Arial" w:eastAsia="Arial" w:hAnsi="Arial"/>
          <w:sz w:val="18"/>
          <w:szCs w:val="18"/>
          <w:b w:val="1"/>
          <w:bCs w:val="1"/>
          <w:color w:val="auto"/>
        </w:rPr>
        <w:t xml:space="preserve"> </w:t>
      </w:r>
      <w:r>
        <w:rPr>
          <w:rFonts w:ascii="Arial" w:cs="Arial" w:eastAsia="Arial" w:hAnsi="Arial"/>
          <w:sz w:val="18"/>
          <w:szCs w:val="18"/>
          <w:color w:val="auto"/>
        </w:rPr>
        <w:t>fail to qualify as a Massachusetts security corporation under 830 CMR 63.38B.1 of the Massachusetts tax code and applicable regulations (as the same may be amended, modified or replaced from time to time.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17"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when due,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121" w:lineRule="exact"/>
        <w:rPr>
          <w:sz w:val="20"/>
          <w:szCs w:val="20"/>
          <w:color w:val="auto"/>
        </w:rPr>
      </w:pPr>
    </w:p>
    <w:p>
      <w:pPr>
        <w:ind w:left="1160" w:hanging="239"/>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Borrower fails or neglects to perform any obligation in Sections 6.2, 6.4, 6.5, 6.6, 6.8(b), 6.10, 6.11, 6.12, 6.13 or violates any covenant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 or</w:t>
      </w:r>
    </w:p>
    <w:p>
      <w:pPr>
        <w:spacing w:after="0" w:line="102" w:lineRule="exact"/>
        <w:rPr>
          <w:rFonts w:ascii="Arial" w:cs="Arial" w:eastAsia="Arial" w:hAnsi="Arial"/>
          <w:sz w:val="16"/>
          <w:szCs w:val="16"/>
          <w:color w:val="auto"/>
        </w:rPr>
      </w:pPr>
    </w:p>
    <w:p>
      <w:pPr>
        <w:ind w:right="20" w:firstLine="921"/>
        <w:spacing w:after="0" w:line="254" w:lineRule="auto"/>
        <w:tabs>
          <w:tab w:leader="none" w:pos="11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A Material Adverse Change occurs;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121" w:lineRule="exact"/>
        <w:rPr>
          <w:sz w:val="20"/>
          <w:szCs w:val="20"/>
          <w:color w:val="auto"/>
        </w:rPr>
      </w:pPr>
    </w:p>
    <w:p>
      <w:pPr>
        <w:ind w:firstLine="921"/>
        <w:spacing w:after="0" w:line="279" w:lineRule="auto"/>
        <w:tabs>
          <w:tab w:leader="none" w:pos="1158"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63" w:lineRule="exact"/>
        <w:rPr>
          <w:rFonts w:ascii="Arial" w:cs="Arial" w:eastAsia="Arial" w:hAnsi="Arial"/>
          <w:sz w:val="17"/>
          <w:szCs w:val="17"/>
          <w:color w:val="auto"/>
        </w:rPr>
      </w:pPr>
    </w:p>
    <w:p>
      <w:pPr>
        <w:ind w:right="160" w:firstLine="921"/>
        <w:spacing w:after="0" w:line="277" w:lineRule="auto"/>
        <w:tabs>
          <w:tab w:leader="none" w:pos="11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58" w:lineRule="exact"/>
        <w:rPr>
          <w:sz w:val="20"/>
          <w:szCs w:val="20"/>
          <w:color w:val="auto"/>
        </w:rPr>
      </w:pPr>
    </w:p>
    <w:p>
      <w:pPr>
        <w:ind w:right="260" w:firstLine="456"/>
        <w:spacing w:after="0" w:line="258" w:lineRule="auto"/>
        <w:rPr>
          <w:sz w:val="20"/>
          <w:szCs w:val="20"/>
          <w:color w:val="auto"/>
        </w:rPr>
      </w:pPr>
      <w:r>
        <w:rPr>
          <w:rFonts w:ascii="Arial" w:cs="Arial" w:eastAsia="Arial" w:hAnsi="Arial"/>
          <w:sz w:val="18"/>
          <w:szCs w:val="18"/>
          <w:b w:val="1"/>
          <w:bCs w:val="1"/>
          <w:color w:val="auto"/>
        </w:rPr>
        <w:t>8.5 Insolvency</w:t>
      </w:r>
      <w:r>
        <w:rPr>
          <w:rFonts w:ascii="Arial" w:cs="Arial" w:eastAsia="Arial" w:hAnsi="Arial"/>
          <w:sz w:val="18"/>
          <w:szCs w:val="18"/>
          <w:color w:val="auto"/>
        </w:rPr>
        <w:t>. (a) Borrower and Borrower and its Subsidiaries on a consolidated basis are unable to pay its debts (including trade debts) as they</w:t>
      </w:r>
      <w:r>
        <w:rPr>
          <w:rFonts w:ascii="Arial" w:cs="Arial" w:eastAsia="Arial" w:hAnsi="Arial"/>
          <w:sz w:val="18"/>
          <w:szCs w:val="18"/>
          <w:b w:val="1"/>
          <w:bCs w:val="1"/>
          <w:color w:val="auto"/>
        </w:rPr>
        <w:t xml:space="preserve"> </w:t>
      </w:r>
      <w:r>
        <w:rPr>
          <w:rFonts w:ascii="Arial" w:cs="Arial" w:eastAsia="Arial" w:hAnsi="Arial"/>
          <w:sz w:val="18"/>
          <w:szCs w:val="18"/>
          <w:color w:val="auto"/>
        </w:rPr>
        <w:t>become due or otherwise becomes insolvent; Borrower and Borrower and its Subsidiaries on a consolidated basis fails to be solvent as described under Section 5.6 hereof; (b) 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18" w:name="page19"/>
    <w:bookmarkEnd w:id="18"/>
    <w:p>
      <w:pPr>
        <w:ind w:right="16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8.6 Other Agreements</w:t>
      </w:r>
      <w:r>
        <w:rPr>
          <w:rFonts w:ascii="Arial" w:cs="Arial" w:eastAsia="Arial" w:hAnsi="Arial"/>
          <w:sz w:val="18"/>
          <w:szCs w:val="18"/>
          <w:color w:val="auto"/>
        </w:rPr>
        <w:t>. There is, under any agreement to which Borrower or any Guarantor is a party with a third party or parties, (a)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right by such third party or parties, whether or not exercised, to accelerate the maturity of any Indebtedness in an amount individually or in the aggregate in excess of Two Hundred Fifty Thousand Dollars ($250,000); or (b) any breach or default by Borrower or Guarantor, the result of which could have a material adverse effect on Borrower’s or any Guarantor’s business;</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8.7 Judgments; Penalties</w:t>
      </w:r>
      <w:r>
        <w:rPr>
          <w:rFonts w:ascii="Arial" w:cs="Arial" w:eastAsia="Arial" w:hAnsi="Arial"/>
          <w:sz w:val="18"/>
          <w:szCs w:val="18"/>
          <w:color w:val="auto"/>
        </w:rPr>
        <w:t>. One or more fines, penalties or final judgments, orders or decrees for the payment of money in an amount, individually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of at least Two Hundred Fifty Thousand Dollars ($250,000)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80" w:lineRule="exact"/>
        <w:rPr>
          <w:sz w:val="20"/>
          <w:szCs w:val="20"/>
          <w:color w:val="auto"/>
        </w:rPr>
      </w:pPr>
    </w:p>
    <w:p>
      <w:pPr>
        <w:ind w:right="540" w:firstLine="456"/>
        <w:spacing w:after="0" w:line="266"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68" w:lineRule="exact"/>
        <w:rPr>
          <w:sz w:val="20"/>
          <w:szCs w:val="20"/>
          <w:color w:val="auto"/>
        </w:rPr>
      </w:pPr>
    </w:p>
    <w:p>
      <w:pPr>
        <w:jc w:val="both"/>
        <w:ind w:right="100" w:firstLine="456"/>
        <w:spacing w:after="0" w:line="261"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Any document, instrument, or agreement evidencing any Subordinated Debt shall for any reason be revoked or invalidated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w:t>
      </w:r>
    </w:p>
    <w:p>
      <w:pPr>
        <w:spacing w:after="0" w:line="72"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color w:val="auto"/>
        </w:rPr>
        <w:t>8.10 Guaranty</w:t>
      </w:r>
      <w:r>
        <w:rPr>
          <w:rFonts w:ascii="Arial" w:cs="Arial" w:eastAsia="Arial" w:hAnsi="Arial"/>
          <w:sz w:val="18"/>
          <w:szCs w:val="18"/>
          <w:color w:val="auto"/>
        </w:rPr>
        <w:t>. (a)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 (c) any circumstance described in Sections 8.3, 8.4, 8.5, 8.7, or 8.8 occurs with respect to any Guarantor, or (d) the liquidation, winding up, or termination of existence of any Guarantor; or (e) a material adverse change in the general affairs, management, results of operation, condition (financial or otherwise) or the prospect of repayment of the Obligations occurs with respect to any Guarantor; or</w:t>
      </w:r>
    </w:p>
    <w:p>
      <w:pPr>
        <w:spacing w:after="0" w:line="76"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 xml:space="preserve">8.11 Governmental Approvals. </w:t>
      </w:r>
      <w:r>
        <w:rPr>
          <w:rFonts w:ascii="Arial" w:cs="Arial" w:eastAsia="Arial" w:hAnsi="Arial"/>
          <w:sz w:val="16"/>
          <w:szCs w:val="16"/>
          <w:color w:val="auto"/>
        </w:rPr>
        <w:t>Any Governmental Approval shall have been (a) revoked, rescinded, suspended, modified in an adverse manner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affect the status of or legal qualifications of Borrower or any of its Subsidiaries to hold any Governmental Approval in any other jurisdiction.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BANK’S RIGHTS AND REMEDIES</w:t>
      </w:r>
    </w:p>
    <w:p>
      <w:pPr>
        <w:spacing w:after="0" w:line="11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 Bank may, without notice or demand, do any or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 to the extent not prohibited by applicable law:</w:t>
      </w:r>
    </w:p>
    <w:p>
      <w:pPr>
        <w:spacing w:after="0" w:line="58" w:lineRule="exact"/>
        <w:rPr>
          <w:sz w:val="20"/>
          <w:szCs w:val="20"/>
          <w:color w:val="auto"/>
        </w:rPr>
      </w:pPr>
    </w:p>
    <w:p>
      <w:pPr>
        <w:ind w:right="860" w:firstLine="921"/>
        <w:spacing w:after="0" w:line="277"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9" w:name="page20"/>
    <w:bookmarkEnd w:id="1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stop advancing money or extending credit for Borrower’s benefit under this Agreement or under any other agreement between Borrower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103" w:lineRule="exact"/>
        <w:rPr>
          <w:sz w:val="20"/>
          <w:szCs w:val="20"/>
          <w:color w:val="auto"/>
        </w:rPr>
      </w:pPr>
    </w:p>
    <w:p>
      <w:pPr>
        <w:ind w:firstLine="921"/>
        <w:spacing w:after="0" w:line="293" w:lineRule="auto"/>
        <w:tabs>
          <w:tab w:leader="none" w:pos="11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demand that Borrower (i) deposit cash with Bank in an amount equal to at least (x) one hundred five percent (105.0%) of the Dollar Equivalent of the aggregate face amount of all Letters of Credit denominated in Dollars remaining undrawn, and (y) one hundred ten percent (110.0%) of the Dollar Equivalent of the aggregate face amount of all Letters of Credit denominated in a Foreign Currency remaining undrawn (plus, in each case,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56" w:lineRule="exact"/>
        <w:rPr>
          <w:rFonts w:ascii="Arial" w:cs="Arial" w:eastAsia="Arial" w:hAnsi="Arial"/>
          <w:sz w:val="16"/>
          <w:szCs w:val="16"/>
          <w:color w:val="auto"/>
        </w:rPr>
      </w:pPr>
    </w:p>
    <w:p>
      <w:pPr>
        <w:ind w:left="1180" w:hanging="25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117" w:lineRule="exact"/>
        <w:rPr>
          <w:rFonts w:ascii="Arial" w:cs="Arial" w:eastAsia="Arial" w:hAnsi="Arial"/>
          <w:sz w:val="18"/>
          <w:szCs w:val="18"/>
          <w:color w:val="auto"/>
        </w:rPr>
      </w:pPr>
    </w:p>
    <w:p>
      <w:pPr>
        <w:ind w:right="100" w:firstLine="921"/>
        <w:spacing w:after="0" w:line="264" w:lineRule="auto"/>
        <w:tabs>
          <w:tab w:leader="none" w:pos="11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spacing w:after="0" w:line="73" w:lineRule="exact"/>
        <w:rPr>
          <w:rFonts w:ascii="Arial" w:cs="Arial" w:eastAsia="Arial" w:hAnsi="Arial"/>
          <w:sz w:val="18"/>
          <w:szCs w:val="18"/>
          <w:color w:val="auto"/>
        </w:rPr>
      </w:pPr>
    </w:p>
    <w:p>
      <w:pPr>
        <w:jc w:val="both"/>
        <w:ind w:right="120" w:firstLine="921"/>
        <w:spacing w:after="0" w:line="276" w:lineRule="auto"/>
        <w:tabs>
          <w:tab w:leader="none" w:pos="1138"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Bank requests and make it available as Bank designates at a location reasonably convenient to Bank and Borrower. Bank may peaceably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by Borrower, to exercise any of Bank’s rights or remedies;</w:t>
      </w:r>
    </w:p>
    <w:p>
      <w:pPr>
        <w:spacing w:after="0" w:line="64" w:lineRule="exact"/>
        <w:rPr>
          <w:rFonts w:ascii="Arial" w:cs="Arial" w:eastAsia="Arial" w:hAnsi="Arial"/>
          <w:sz w:val="17"/>
          <w:szCs w:val="17"/>
          <w:color w:val="auto"/>
        </w:rPr>
      </w:pPr>
    </w:p>
    <w:p>
      <w:pPr>
        <w:ind w:right="420" w:firstLine="921"/>
        <w:spacing w:after="0" w:line="277"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apply to the Obligations then due any (i) balances and deposits of Borrower it holds, or (ii) any amount held by Bank owing to or for the credit or the account of Borrower;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ship, reclaim, recover, store, finish, maintain, repair, prepare for sale, advertise for sale, and sell the Collateral. Bank is hereby granted a</w:t>
      </w:r>
    </w:p>
    <w:p>
      <w:pPr>
        <w:spacing w:after="0" w:line="35"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Borrower’s rights under all licenses and all franchise agreements inure to Bank’s benefit;</w:t>
      </w:r>
    </w:p>
    <w:p>
      <w:pPr>
        <w:spacing w:after="0" w:line="82" w:lineRule="exact"/>
        <w:rPr>
          <w:sz w:val="20"/>
          <w:szCs w:val="20"/>
          <w:color w:val="auto"/>
        </w:rPr>
      </w:pPr>
    </w:p>
    <w:p>
      <w:pPr>
        <w:ind w:right="120" w:firstLine="921"/>
        <w:spacing w:after="0" w:line="277" w:lineRule="auto"/>
        <w:tabs>
          <w:tab w:leader="none" w:pos="11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117" w:lineRule="exact"/>
        <w:rPr>
          <w:rFonts w:ascii="Arial" w:cs="Arial" w:eastAsia="Arial" w:hAnsi="Arial"/>
          <w:sz w:val="18"/>
          <w:szCs w:val="18"/>
          <w:color w:val="auto"/>
        </w:rPr>
      </w:pPr>
    </w:p>
    <w:p>
      <w:pPr>
        <w:ind w:right="220" w:firstLine="921"/>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9.2 Power of Attorney</w:t>
      </w:r>
      <w:r>
        <w:rPr>
          <w:rFonts w:ascii="Arial" w:cs="Arial" w:eastAsia="Arial" w:hAnsi="Arial"/>
          <w:sz w:val="18"/>
          <w:szCs w:val="18"/>
          <w:color w:val="auto"/>
        </w:rPr>
        <w:t>. Borrower hereby irrevocably appoints Bank as its lawful attorney-in-fact, exercisable upon the occurrence and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continuance of an Event of Default, to: (a) endorse Borrower’s name on any checks or other forms of payment or security; (b) sign Borrower’s name on any invoice or bill of lading for any Account or drafts against Account Debtors; (c) settle and adjust disputes and claims about the Accounts directly with Account Debtors, for amounts and on terms Bank determines reasonable; (d) make, settle, and adjust all claims under Borrower’s insurance policies; (e) pay, contest or settle any Lien, charge, encumbrance, security interest, and adverse claim in or to the Collateral, or any judgment based thereon, or otherwise take any action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 w:name="page21"/>
    <w:bookmarkEnd w:id="20"/>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(other than inchoate indemnity obligations) have been satisfied in full and Bank is under no further obligation to make Credit Extensions hereunder. Bank’s foregoing appointment as Borrower’s attorney in fact, and all of Bank’s rights and powers, coupled with an interest, are irrevocable until all Obligations (other than inchoate indemnity obligations) have been fully repaid and performed and Bank’s obligation to provide Credit Extensions terminates.</w:t>
      </w:r>
    </w:p>
    <w:p>
      <w:pPr>
        <w:spacing w:after="0" w:line="66" w:lineRule="exact"/>
        <w:rPr>
          <w:sz w:val="20"/>
          <w:szCs w:val="20"/>
          <w:color w:val="auto"/>
        </w:rPr>
      </w:pPr>
    </w:p>
    <w:p>
      <w:pPr>
        <w:ind w:right="260" w:firstLine="456"/>
        <w:spacing w:after="0" w:line="274" w:lineRule="auto"/>
        <w:rPr>
          <w:sz w:val="20"/>
          <w:szCs w:val="20"/>
          <w:color w:val="auto"/>
        </w:rPr>
      </w:pPr>
      <w:r>
        <w:rPr>
          <w:rFonts w:ascii="Arial" w:cs="Arial" w:eastAsia="Arial" w:hAnsi="Arial"/>
          <w:sz w:val="17"/>
          <w:szCs w:val="17"/>
          <w:b w:val="1"/>
          <w:bCs w:val="1"/>
          <w:color w:val="auto"/>
        </w:rPr>
        <w:t>9.3 Protective Payments</w:t>
      </w:r>
      <w:r>
        <w:rPr>
          <w:rFonts w:ascii="Arial" w:cs="Arial" w:eastAsia="Arial" w:hAnsi="Arial"/>
          <w:sz w:val="17"/>
          <w:szCs w:val="17"/>
          <w:color w:val="auto"/>
        </w:rPr>
        <w:t>. If Borrower fails to obtain the insurance called for by Section 6.5 or fails to pay any premium thereon or fails to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66"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9.4 Application of Payments and Proceeds Upon Default</w:t>
      </w:r>
      <w:r>
        <w:rPr>
          <w:rFonts w:ascii="Arial" w:cs="Arial" w:eastAsia="Arial" w:hAnsi="Arial"/>
          <w:sz w:val="16"/>
          <w:szCs w:val="16"/>
          <w:color w:val="auto"/>
        </w:rPr>
        <w:t>. If an Event of Default has occurred and is continuing, Bank shall have the right to apply in</w:t>
      </w:r>
      <w:r>
        <w:rPr>
          <w:rFonts w:ascii="Arial" w:cs="Arial" w:eastAsia="Arial" w:hAnsi="Arial"/>
          <w:sz w:val="16"/>
          <w:szCs w:val="16"/>
          <w:b w:val="1"/>
          <w:bCs w:val="1"/>
          <w:color w:val="auto"/>
        </w:rPr>
        <w:t xml:space="preserve"> </w:t>
      </w:r>
      <w:r>
        <w:rPr>
          <w:rFonts w:ascii="Arial" w:cs="Arial" w:eastAsia="Arial" w:hAnsi="Arial"/>
          <w:sz w:val="16"/>
          <w:szCs w:val="16"/>
          <w:color w:val="auto"/>
        </w:rPr>
        <w:t>any order any funds in its possession, whether from Borrower 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48"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9.5 Bank’s Liability for Collateral</w:t>
      </w:r>
      <w:r>
        <w:rPr>
          <w:rFonts w:ascii="Arial" w:cs="Arial" w:eastAsia="Arial" w:hAnsi="Arial"/>
          <w:sz w:val="18"/>
          <w:szCs w:val="18"/>
          <w:color w:val="auto"/>
        </w:rPr>
        <w:t>. So long as Bank complies with applicable law and reasonable banking practices regarding the safekeeping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in the 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64"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demand, notice of default or dishonor, notice of payment and nonpayment, notice of any default, nonpayment at</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release, compromise, settlement, extension, or renewal of accounts, documents, instruments, chattel paper, and guarantees held by Bank on which Borrower is liable.</w:t>
      </w:r>
    </w:p>
    <w:p>
      <w:pPr>
        <w:spacing w:after="0" w:line="176" w:lineRule="exact"/>
        <w:rPr>
          <w:sz w:val="20"/>
          <w:szCs w:val="20"/>
          <w:color w:val="auto"/>
        </w:rPr>
      </w:pPr>
    </w:p>
    <w:p>
      <w:pPr>
        <w:ind w:left="680" w:hanging="216"/>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1" w:name="page22"/>
    <w:bookmarkEnd w:id="21"/>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ectPr>
          <w:pgSz w:w="11900" w:h="16838" w:orient="portrait"/>
          <w:cols w:equalWidth="0" w:num="1">
            <w:col w:w="11360"/>
          </w:cols>
          <w:pgMar w:left="240" w:top="274" w:right="299" w:bottom="1440" w:gutter="0" w:footer="0" w:header="0"/>
        </w:sectPr>
      </w:pPr>
    </w:p>
    <w:p>
      <w:pPr>
        <w:spacing w:after="0" w:line="8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175 Portland Street, 4th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Patricia L.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 275-8713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pallen@zafgen.com</w:t>
      </w:r>
    </w:p>
    <w:p>
      <w:pPr>
        <w:spacing w:after="0" w:line="103" w:lineRule="exact"/>
        <w:rPr>
          <w:sz w:val="20"/>
          <w:szCs w:val="20"/>
          <w:color w:val="auto"/>
        </w:rPr>
      </w:pPr>
    </w:p>
    <w:p>
      <w:pPr>
        <w:sectPr>
          <w:pgSz w:w="11900" w:h="16838" w:orient="portrait"/>
          <w:cols w:equalWidth="0" w:num="2">
            <w:col w:w="2800" w:space="720"/>
            <w:col w:w="7840"/>
          </w:cols>
          <w:pgMar w:left="240" w:top="274" w:right="29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745 Atlantic Avenue, 11</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Ryan 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rroller@svb.com</w:t>
      </w:r>
    </w:p>
    <w:p>
      <w:pPr>
        <w:spacing w:after="0" w:line="200" w:lineRule="exact"/>
        <w:rPr>
          <w:sz w:val="20"/>
          <w:szCs w:val="20"/>
          <w:color w:val="auto"/>
        </w:rPr>
      </w:pPr>
    </w:p>
    <w:p>
      <w:pPr>
        <w:sectPr>
          <w:pgSz w:w="11900" w:h="16838" w:orient="portrait"/>
          <w:cols w:equalWidth="0" w:num="2">
            <w:col w:w="2800" w:space="720"/>
            <w:col w:w="7840"/>
          </w:cols>
          <w:pgMar w:left="240" w:top="274" w:right="299" w:bottom="1440" w:gutter="0" w:footer="0" w:header="0"/>
          <w:type w:val="continuous"/>
        </w:sectPr>
      </w:pP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CHOICE OF LAW, VENUE, JURY TRIAL WAIVER, AND JUDICIAL REFERENCE</w:t>
      </w:r>
    </w:p>
    <w:p>
      <w:pPr>
        <w:spacing w:after="0" w:line="12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Except as otherwise expressly provided in any of the Loan Documents, 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6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type w:val="continuous"/>
        </w:sectPr>
      </w:pPr>
    </w:p>
    <w:bookmarkStart w:id="22" w:name="page23"/>
    <w:bookmarkEnd w:id="2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b w:val="1"/>
          <w:bCs w:val="1"/>
          <w:color w:val="auto"/>
        </w:rPr>
        <w:t>12.1 Termination Prior to Term Loan Maturity Date; Survival</w:t>
      </w:r>
      <w:r>
        <w:rPr>
          <w:rFonts w:ascii="Arial" w:cs="Arial" w:eastAsia="Arial" w:hAnsi="Arial"/>
          <w:sz w:val="16"/>
          <w:szCs w:val="16"/>
          <w:color w:val="auto"/>
        </w:rPr>
        <w:t>. All covenants, representations and warranties made in this Agreement continue in</w:t>
      </w:r>
      <w:r>
        <w:rPr>
          <w:rFonts w:ascii="Arial" w:cs="Arial" w:eastAsia="Arial" w:hAnsi="Arial"/>
          <w:sz w:val="16"/>
          <w:szCs w:val="16"/>
          <w:b w:val="1"/>
          <w:bCs w:val="1"/>
          <w:color w:val="auto"/>
        </w:rPr>
        <w:t xml:space="preserve"> </w:t>
      </w:r>
      <w:r>
        <w:rPr>
          <w:rFonts w:ascii="Arial" w:cs="Arial" w:eastAsia="Arial" w:hAnsi="Arial"/>
          <w:sz w:val="16"/>
          <w:szCs w:val="16"/>
          <w:color w:val="auto"/>
        </w:rPr>
        <w:t>full force until this Agreement has terminated pursuant to its terms and all Obligations (other than inchoate indemnity obligations, and any other obligations which, by their terms, are to survive termination of this Agreement) have been satisfied. So long as Borrower has satisfied the Obligations (other than inchoate indemnity obligations,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54" w:lineRule="exact"/>
        <w:rPr>
          <w:sz w:val="20"/>
          <w:szCs w:val="20"/>
          <w:color w:val="auto"/>
        </w:rPr>
      </w:pPr>
    </w:p>
    <w:p>
      <w:pPr>
        <w:ind w:right="200" w:firstLine="456"/>
        <w:spacing w:after="0" w:line="281" w:lineRule="auto"/>
        <w:rPr>
          <w:sz w:val="20"/>
          <w:szCs w:val="20"/>
          <w:color w:val="auto"/>
        </w:rPr>
      </w:pPr>
      <w:r>
        <w:rPr>
          <w:rFonts w:ascii="Arial" w:cs="Arial" w:eastAsia="Arial" w:hAnsi="Arial"/>
          <w:sz w:val="17"/>
          <w:szCs w:val="17"/>
          <w:b w:val="1"/>
          <w:bCs w:val="1"/>
          <w:color w:val="auto"/>
        </w:rPr>
        <w:t>12.2 Successors and Assigns</w:t>
      </w:r>
      <w:r>
        <w:rPr>
          <w:rFonts w:ascii="Arial" w:cs="Arial" w:eastAsia="Arial" w:hAnsi="Arial"/>
          <w:sz w:val="17"/>
          <w:szCs w:val="17"/>
          <w:color w:val="auto"/>
        </w:rPr>
        <w:t>. This Agreement binds and is for the benefit of the successors and permitted assigns of each party. Borrower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 part of, or any interest in, Bank’s obligations, rights, and benefits under this Agreement and the other Loan Documents.</w:t>
      </w:r>
    </w:p>
    <w:p>
      <w:pPr>
        <w:spacing w:after="0" w:line="5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12.3 Indemnification</w:t>
      </w:r>
      <w:r>
        <w:rPr>
          <w:rFonts w:ascii="Arial" w:cs="Arial" w:eastAsia="Arial" w:hAnsi="Arial"/>
          <w:sz w:val="18"/>
          <w:szCs w:val="18"/>
          <w:color w:val="auto"/>
        </w:rPr>
        <w:t>. Borrower agrees to indemnify, defend and hold Bank and its directors, officers, employees, agents, attorneys,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affiliated with or representing Bank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other party in connection with the transactions contemplated by the Loan Documents; and (ii) all losses or expenses (including Bank Expenses) in any way suffered, incurred, or paid by such Indemnified Person as a result of, following from, consequential to, or arising from transactions between Bank and Borrower (including reasonable attorneys’ fees and expenses), except for Claims and/or losses directly caused by such Indemnified Person’s gross negligence or willful misconduct.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12.4 Time of Essence</w:t>
      </w:r>
      <w:r>
        <w:rPr>
          <w:rFonts w:ascii="Arial" w:cs="Arial" w:eastAsia="Arial" w:hAnsi="Arial"/>
          <w:sz w:val="18"/>
          <w:szCs w:val="18"/>
          <w:color w:val="auto"/>
        </w:rPr>
        <w:t>. Time is of the essence for the performance of all Obligations in this Agreement.</w:t>
      </w:r>
    </w:p>
    <w:p>
      <w:pPr>
        <w:spacing w:after="0" w:line="117"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12.5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54" w:lineRule="exact"/>
        <w:rPr>
          <w:sz w:val="20"/>
          <w:szCs w:val="20"/>
          <w:color w:val="auto"/>
        </w:rPr>
      </w:pPr>
    </w:p>
    <w:p>
      <w:pPr>
        <w:jc w:val="both"/>
        <w:ind w:right="200" w:firstLine="456"/>
        <w:spacing w:after="0" w:line="347" w:lineRule="auto"/>
        <w:rPr>
          <w:sz w:val="20"/>
          <w:szCs w:val="20"/>
          <w:color w:val="auto"/>
        </w:rPr>
      </w:pPr>
      <w:r>
        <w:rPr>
          <w:rFonts w:ascii="Arial" w:cs="Arial" w:eastAsia="Arial" w:hAnsi="Arial"/>
          <w:sz w:val="16"/>
          <w:szCs w:val="16"/>
          <w:b w:val="1"/>
          <w:bCs w:val="1"/>
          <w:color w:val="auto"/>
        </w:rPr>
        <w:t>12.6 Correction of Loan Documents</w:t>
      </w:r>
      <w:r>
        <w:rPr>
          <w:rFonts w:ascii="Arial" w:cs="Arial" w:eastAsia="Arial" w:hAnsi="Arial"/>
          <w:sz w:val="16"/>
          <w:szCs w:val="16"/>
          <w:color w:val="auto"/>
        </w:rPr>
        <w:t>. Bank may correct patent errors and fill in any blanks in the Loan Documents consistent with the agreement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so long as Bank provides Borrower with written notice of such correction and allows Borrower at least ten (10) days to object to such correction.</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3" w:name="page24"/>
    <w:bookmarkEnd w:id="23"/>
    <w:p>
      <w:pPr>
        <w:ind w:right="60"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12.7 Amendments in Writing; Waiver; Integration</w:t>
      </w:r>
      <w:r>
        <w:rPr>
          <w:rFonts w:ascii="Arial" w:cs="Arial" w:eastAsia="Arial" w:hAnsi="Arial"/>
          <w:sz w:val="18"/>
          <w:szCs w:val="18"/>
          <w:color w:val="auto"/>
        </w:rPr>
        <w:t>. No purported amendment or modification of any Loan Document, or waiver, discharge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spacing w:after="0" w:line="81"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12.8 Counterparts</w:t>
      </w:r>
      <w:r>
        <w:rPr>
          <w:rFonts w:ascii="Arial" w:cs="Arial" w:eastAsia="Arial" w:hAnsi="Arial"/>
          <w:sz w:val="18"/>
          <w:szCs w:val="18"/>
          <w:color w:val="auto"/>
        </w:rPr>
        <w:t>. 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54"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b w:val="1"/>
          <w:bCs w:val="1"/>
          <w:color w:val="auto"/>
        </w:rPr>
        <w:t>12.9 Confidentiality</w:t>
      </w:r>
      <w:r>
        <w:rPr>
          <w:rFonts w:ascii="Arial" w:cs="Arial" w:eastAsia="Arial" w:hAnsi="Arial"/>
          <w:sz w:val="17"/>
          <w:szCs w:val="17"/>
          <w:color w:val="auto"/>
        </w:rPr>
        <w:t>. In handling any confidential information, Bank shall exercise the same degree of care that it exercises for its own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but disclosure of information may be made: (a) to Bank’s Subsidiaries or Affiliates (such Subsidiaries and Affiliates, together with Bank, collectively, “</w:t>
      </w:r>
      <w:r>
        <w:rPr>
          <w:rFonts w:ascii="Arial" w:cs="Arial" w:eastAsia="Arial" w:hAnsi="Arial"/>
          <w:sz w:val="17"/>
          <w:szCs w:val="17"/>
          <w:b w:val="1"/>
          <w:bCs w:val="1"/>
          <w:color w:val="auto"/>
        </w:rPr>
        <w:t>Bank Entities</w:t>
      </w:r>
      <w:r>
        <w:rPr>
          <w:rFonts w:ascii="Arial" w:cs="Arial" w:eastAsia="Arial" w:hAnsi="Arial"/>
          <w:sz w:val="17"/>
          <w:szCs w:val="17"/>
          <w:color w:val="auto"/>
        </w:rPr>
        <w:t>”); (b) to prospective transferees or purchasers of any interest in the Credit Extensions (provided, however, that any prospective transferee or purchaser shall have entered into an agreement containing provisions substantially the same as those in this Section);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82"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Bank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12.10 Attorneys’ Fees, Costs and Expenses</w:t>
      </w:r>
      <w:r>
        <w:rPr>
          <w:rFonts w:ascii="Arial" w:cs="Arial" w:eastAsia="Arial" w:hAnsi="Arial"/>
          <w:sz w:val="18"/>
          <w:szCs w:val="18"/>
          <w:color w:val="auto"/>
        </w:rPr>
        <w:t>. In any action or proceeding between Borrower and Bank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68"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12.11 Electronic Execution of Documents</w:t>
      </w:r>
      <w:r>
        <w:rPr>
          <w:rFonts w:ascii="Arial" w:cs="Arial" w:eastAsia="Arial" w:hAnsi="Arial"/>
          <w:sz w:val="17"/>
          <w:szCs w:val="17"/>
          <w:color w:val="auto"/>
        </w:rPr>
        <w:t>. The words “execution,” “signed,” “signature” and words of like import in any Loan Document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12.12 Captions</w:t>
      </w:r>
      <w:r>
        <w:rPr>
          <w:rFonts w:ascii="Arial" w:cs="Arial" w:eastAsia="Arial" w:hAnsi="Arial"/>
          <w:sz w:val="18"/>
          <w:szCs w:val="18"/>
          <w:color w:val="auto"/>
        </w:rPr>
        <w:t>. The headings used in this Agreement are for convenience only and shall not affect the interpretation of this Agreement.</w:t>
      </w:r>
    </w:p>
    <w:p>
      <w:pPr>
        <w:spacing w:after="0" w:line="117"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12.13 Construction of Agreement</w:t>
      </w:r>
      <w:r>
        <w:rPr>
          <w:rFonts w:ascii="Arial" w:cs="Arial" w:eastAsia="Arial" w:hAnsi="Arial"/>
          <w:sz w:val="16"/>
          <w:szCs w:val="16"/>
          <w:color w:val="auto"/>
        </w:rPr>
        <w:t>. The parties mutually acknowledge that they and their attorneys have participated in the preparation and negotiation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In cases of uncertainty this Agreement shall be construed without regard to which of the parties caused the uncertainty to exist.</w:t>
      </w:r>
    </w:p>
    <w:p>
      <w:pPr>
        <w:spacing w:after="0" w:line="8" w:lineRule="exact"/>
        <w:rPr>
          <w:sz w:val="20"/>
          <w:szCs w:val="20"/>
          <w:color w:val="auto"/>
        </w:rPr>
      </w:pPr>
    </w:p>
    <w:p>
      <w:pPr>
        <w:ind w:right="420" w:firstLine="456"/>
        <w:spacing w:after="0" w:line="266" w:lineRule="auto"/>
        <w:rPr>
          <w:sz w:val="20"/>
          <w:szCs w:val="20"/>
          <w:color w:val="auto"/>
        </w:rPr>
      </w:pPr>
      <w:r>
        <w:rPr>
          <w:rFonts w:ascii="Arial" w:cs="Arial" w:eastAsia="Arial" w:hAnsi="Arial"/>
          <w:sz w:val="18"/>
          <w:szCs w:val="18"/>
          <w:b w:val="1"/>
          <w:bCs w:val="1"/>
          <w:color w:val="auto"/>
        </w:rPr>
        <w:t>12.14 Relationship</w:t>
      </w:r>
      <w:r>
        <w:rPr>
          <w:rFonts w:ascii="Arial" w:cs="Arial" w:eastAsia="Arial" w:hAnsi="Arial"/>
          <w:sz w:val="18"/>
          <w:szCs w:val="18"/>
          <w:color w:val="auto"/>
        </w:rPr>
        <w:t>. 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0" w:right="259" w:bottom="1440" w:gutter="0" w:footer="0" w:header="0"/>
        </w:sectPr>
      </w:pPr>
    </w:p>
    <w:bookmarkStart w:id="24" w:name="page25"/>
    <w:bookmarkEnd w:id="24"/>
    <w:p>
      <w:pPr>
        <w:ind w:right="10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12.15 Third Parties</w:t>
      </w:r>
      <w:r>
        <w:rPr>
          <w:rFonts w:ascii="Arial" w:cs="Arial" w:eastAsia="Arial" w:hAnsi="Arial"/>
          <w:sz w:val="18"/>
          <w:szCs w:val="18"/>
          <w:color w:val="auto"/>
        </w:rPr>
        <w:t>. Nothing in this Agreement, whether express or implied, is intended to: (a) confer any benefits, rights or remedies under or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ind w:left="680" w:hanging="216"/>
        <w:spacing w:after="0"/>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the Loan Documents, the word “shall” is mandatory, the word “may” is permissive, the word “or” is not exclusive,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Start Date”</w:t>
      </w:r>
      <w:r>
        <w:rPr>
          <w:rFonts w:ascii="Arial" w:cs="Arial" w:eastAsia="Arial" w:hAnsi="Arial"/>
          <w:sz w:val="18"/>
          <w:szCs w:val="18"/>
          <w:color w:val="auto"/>
        </w:rPr>
        <w:t xml:space="preserve"> is the first day of the month immediately following the end of the Interest-Only Period.</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any Advance request, on behalf of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Expenses</w:t>
      </w:r>
      <w:r>
        <w:rPr>
          <w:rFonts w:ascii="Arial" w:cs="Arial" w:eastAsia="Arial" w:hAnsi="Arial"/>
          <w:sz w:val="18"/>
          <w:szCs w:val="18"/>
          <w:color w:val="auto"/>
        </w:rPr>
        <w:t>” are all audit fees and expenses, costs, and expenses (including reasonable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7"/>
          <w:szCs w:val="17"/>
          <w:b w:val="1"/>
          <w:bCs w:val="1"/>
          <w:color w:val="auto"/>
        </w:rPr>
        <w:t>Bank Services Agreement</w:t>
      </w:r>
      <w:r>
        <w:rPr>
          <w:rFonts w:ascii="Arial" w:cs="Arial" w:eastAsia="Arial" w:hAnsi="Arial"/>
          <w:sz w:val="17"/>
          <w:szCs w:val="17"/>
          <w:color w:val="auto"/>
        </w:rPr>
        <w: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Borrowing Resolutions</w:t>
      </w:r>
      <w:r>
        <w:rPr>
          <w:rFonts w:ascii="Arial" w:cs="Arial" w:eastAsia="Arial" w:hAnsi="Arial"/>
          <w:sz w:val="18"/>
          <w:szCs w:val="18"/>
          <w:color w:val="auto"/>
        </w:rPr>
        <w:t xml:space="preserve">” are, with respect to any Person, those resolutions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84"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shall become, or obtain rights (whether by means or warrants, options or otherwise) to become, the “beneficial owner” (as defined in Rules 13(d)-3 and 13(d)-5 under the Exchange Act), directly or indirectly, of forty percent (40%)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w:t>
      </w:r>
    </w:p>
    <w:p>
      <w:pPr>
        <w:spacing w:after="0" w:line="2" w:lineRule="exact"/>
        <w:rPr>
          <w:sz w:val="20"/>
          <w:szCs w:val="20"/>
          <w:color w:val="auto"/>
        </w:rPr>
      </w:pPr>
    </w:p>
    <w:p>
      <w:pPr>
        <w:ind w:right="20" w:firstLine="8"/>
        <w:spacing w:after="0" w:line="287"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Business Days prior to the closing of the transaction and provides to Bank a description of the material terms of the transaction;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 of each class of outstanding capital stock of each subsidiary of Borrower free and clear of all Liens (except Liens created by this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w:t>
      </w:r>
      <w:r>
        <w:rPr>
          <w:rFonts w:ascii="Arial" w:cs="Arial" w:eastAsia="Arial" w:hAnsi="Arial"/>
          <w:sz w:val="18"/>
          <w:szCs w:val="18"/>
          <w:b w:val="1"/>
          <w:bCs w:val="1"/>
          <w:color w:val="auto"/>
        </w:rPr>
        <w:t>Code</w:t>
      </w:r>
      <w:r>
        <w:rPr>
          <w:rFonts w:ascii="Arial" w:cs="Arial" w:eastAsia="Arial" w:hAnsi="Arial"/>
          <w:sz w:val="18"/>
          <w:szCs w:val="18"/>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6" w:name="page27"/>
    <w:bookmarkEnd w:id="2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ind w:right="16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 Agreement</w:t>
      </w:r>
      <w:r>
        <w:rPr>
          <w:rFonts w:ascii="Arial" w:cs="Arial" w:eastAsia="Arial" w:hAnsi="Arial"/>
          <w:sz w:val="16"/>
          <w:szCs w:val="16"/>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42"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Letter of Credit, FX Contract, or any other extension of credit by Bank for Borrower’s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Currency</w:t>
      </w:r>
      <w:r>
        <w:rPr>
          <w:rFonts w:ascii="Arial" w:cs="Arial" w:eastAsia="Arial" w:hAnsi="Arial"/>
          <w:sz w:val="17"/>
          <w:szCs w:val="17"/>
          <w:color w:val="auto"/>
        </w:rPr>
        <w:t>” is coined money and such other banknotes or other paper money as are authorized by law and circulate as a medium of exchange.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Deposit Account</w:t>
      </w:r>
      <w:r>
        <w:rPr>
          <w:rFonts w:ascii="Arial" w:cs="Arial" w:eastAsia="Arial" w:hAnsi="Arial"/>
          <w:sz w:val="17"/>
          <w:szCs w:val="17"/>
          <w:color w:val="auto"/>
        </w:rPr>
        <w:t>” is the multicurrency account denominated in Dollars, account number xxxxxx9164, maintained by Borrower with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07"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Subsidiary</w:t>
      </w:r>
      <w:r>
        <w:rPr>
          <w:rFonts w:ascii="Arial" w:cs="Arial" w:eastAsia="Arial" w:hAnsi="Arial"/>
          <w:sz w:val="16"/>
          <w:szCs w:val="16"/>
          <w:color w:val="auto"/>
        </w:rPr>
        <w:t>” means a Subsidiary organized under the laws of the United States or any state or territory thereof or the District of Columbia.</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27" w:name="page28"/>
    <w:bookmarkEnd w:id="27"/>
    <w:p>
      <w:pPr>
        <w:ind w:right="18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regularly monthly payments of principal plus accrued interest) due on the earliest to occur of (a) the Term Loan Maturity Date, (b) the acceleration of any Term Loan, or (c) the prepayment of a Term Loan, equal to the original principal amount of such Term Loan multiplied by the Final Payment Percentage.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eight percent (8.00%).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Faith Deposit</w:t>
      </w:r>
      <w:r>
        <w:rPr>
          <w:rFonts w:ascii="Arial" w:cs="Arial" w:eastAsia="Arial" w:hAnsi="Arial"/>
          <w:sz w:val="18"/>
          <w:szCs w:val="18"/>
          <w:color w:val="auto"/>
        </w:rPr>
        <w:t>” is defined in Section 2.3(c).</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Bank.</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means all of such Person’s right, title, and interest in and to the following:</w:t>
      </w:r>
    </w:p>
    <w:p>
      <w:pPr>
        <w:spacing w:after="0" w:line="121" w:lineRule="exact"/>
        <w:rPr>
          <w:sz w:val="20"/>
          <w:szCs w:val="20"/>
          <w:color w:val="auto"/>
        </w:rPr>
      </w:pPr>
    </w:p>
    <w:p>
      <w:pPr>
        <w:ind w:left="1160" w:hanging="239"/>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 operating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103" w:lineRule="exact"/>
        <w:rPr>
          <w:sz w:val="20"/>
          <w:szCs w:val="20"/>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117" w:lineRule="exact"/>
        <w:rPr>
          <w:rFonts w:ascii="Arial" w:cs="Arial" w:eastAsia="Arial" w:hAnsi="Arial"/>
          <w:sz w:val="18"/>
          <w:szCs w:val="18"/>
          <w:color w:val="auto"/>
        </w:rPr>
      </w:pPr>
    </w:p>
    <w:p>
      <w:pPr>
        <w:ind w:right="60" w:firstLine="921"/>
        <w:spacing w:after="0" w:line="277" w:lineRule="auto"/>
        <w:tabs>
          <w:tab w:leader="none" w:pos="11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Interest-Only Period</w:t>
      </w:r>
      <w:r>
        <w:rPr>
          <w:rFonts w:ascii="Arial" w:cs="Arial" w:eastAsia="Arial" w:hAnsi="Arial"/>
          <w:sz w:val="18"/>
          <w:szCs w:val="18"/>
          <w:color w:val="auto"/>
        </w:rPr>
        <w:t>” means the period commencing on the Effective Date and continuing through March 29, 2019.</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Jeffrey Hatfield as of the Effective Date, and (b) Chief Financial Officer, who is Patricia L. Allen as of the Effective Date.</w:t>
      </w:r>
    </w:p>
    <w:p>
      <w:pPr>
        <w:spacing w:after="0" w:line="162"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any Bank Services Agreement, any subordination agreement, any note, or notes or guaranties executed by Borrower or any Guarantor, and any other present or future agreement by Borrower and/or any Guarantor with or for the benefit of Bank in connection with this Agreement or Bank Services, all as amended, restated, or otherwise modified.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impairment in the perfection or priority of Bank’s Lien in the Collateral or in the value of the Collateral;</w:t>
      </w:r>
    </w:p>
    <w:p>
      <w:pPr>
        <w:spacing w:after="0" w:line="50" w:lineRule="exact"/>
        <w:rPr>
          <w:sz w:val="20"/>
          <w:szCs w:val="20"/>
          <w:color w:val="auto"/>
        </w:rPr>
      </w:pPr>
    </w:p>
    <w:p>
      <w:pPr>
        <w:ind w:right="220" w:firstLine="8"/>
        <w:spacing w:after="0" w:line="261"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material adverse change in the business, operations, or condition (financial or otherwise) of Borrower; or (c) a material impairment of the prospect of repayment of any portion of the Obligations.</w:t>
      </w:r>
    </w:p>
    <w:p>
      <w:pPr>
        <w:spacing w:after="0" w:line="18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MSC Subsidiary</w:t>
      </w:r>
      <w:r>
        <w:rPr>
          <w:rFonts w:ascii="Arial" w:cs="Arial" w:eastAsia="Arial" w:hAnsi="Arial"/>
          <w:sz w:val="18"/>
          <w:szCs w:val="18"/>
          <w:color w:val="auto"/>
        </w:rPr>
        <w:t>” means a Subsidiary of Borrower incorporated in Massachusetts for the purpose of holding Investments as a Massachusetts security corporation under 830 CMR 63.38B.1 of the Massachusetts tax code and applicable regulations.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0" w:right="299" w:bottom="1440" w:gutter="0" w:footer="0" w:header="0"/>
        </w:sectPr>
      </w:pPr>
    </w:p>
    <w:bookmarkStart w:id="29" w:name="page30"/>
    <w:bookmarkEnd w:id="29"/>
    <w:p>
      <w:pPr>
        <w:ind w:right="12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Bank Expenses, the Prepayment Fee, the Final Payment and other amounts Borrower owes Bank now or later, whether under this Agreement, the other Loan Documents,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and debts, liabilities, or obligations of Borrower assigned to Bank, and to perform Borrower’s duties under the Loan Documents.</w:t>
      </w:r>
    </w:p>
    <w:p>
      <w:pPr>
        <w:spacing w:after="0" w:line="184"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left="1160" w:hanging="23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Indebtedness existing on the Effective Date and shown on the Perfection Certificate;</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 and</w:t>
      </w:r>
    </w:p>
    <w:p>
      <w:pPr>
        <w:spacing w:after="0" w:line="117" w:lineRule="exact"/>
        <w:rPr>
          <w:rFonts w:ascii="Arial" w:cs="Arial" w:eastAsia="Arial" w:hAnsi="Arial"/>
          <w:sz w:val="18"/>
          <w:szCs w:val="18"/>
          <w:color w:val="auto"/>
        </w:rPr>
      </w:pPr>
    </w:p>
    <w:p>
      <w:pPr>
        <w:jc w:val="both"/>
        <w:ind w:right="20" w:firstLine="921"/>
        <w:spacing w:after="0" w:line="264" w:lineRule="auto"/>
        <w:tabs>
          <w:tab w:leader="none" w:pos="11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(f) above, provided that the principal amount thereof is not increased or the terms thereof are not modified to impose more burdensome terms upon Borrower or its Subsidiary, as the case may be.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1160" w:hanging="23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 and shown on the Perfection Certificate;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103" w:lineRule="exact"/>
        <w:rPr>
          <w:sz w:val="20"/>
          <w:szCs w:val="20"/>
          <w:color w:val="auto"/>
        </w:rPr>
      </w:pPr>
    </w:p>
    <w:p>
      <w:pPr>
        <w:ind w:left="5560" w:right="3680" w:hanging="4639"/>
        <w:spacing w:after="0" w:line="449" w:lineRule="auto"/>
        <w:tabs>
          <w:tab w:leader="none" w:pos="11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Bank has a perfected security interest; -25-</w:t>
      </w:r>
    </w:p>
    <w:p>
      <w:pPr>
        <w:sectPr>
          <w:pgSz w:w="11900" w:h="16838" w:orient="portrait"/>
          <w:cols w:equalWidth="0" w:num="1">
            <w:col w:w="11400"/>
          </w:cols>
          <w:pgMar w:left="240" w:top="270" w:right="259" w:bottom="1440" w:gutter="0" w:footer="0" w:header="0"/>
        </w:sectPr>
      </w:pPr>
    </w:p>
    <w:bookmarkStart w:id="30" w:name="page31"/>
    <w:bookmarkEnd w:id="30"/>
    <w:p>
      <w:pPr>
        <w:ind w:left="1120" w:hanging="239"/>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accepted in connection with Transfers permitted by Section 7.1;</w:t>
      </w:r>
    </w:p>
    <w:p>
      <w:pPr>
        <w:spacing w:after="0" w:line="117" w:lineRule="exact"/>
        <w:rPr>
          <w:rFonts w:ascii="Arial" w:cs="Arial" w:eastAsia="Arial" w:hAnsi="Arial"/>
          <w:sz w:val="18"/>
          <w:szCs w:val="18"/>
          <w:color w:val="auto"/>
        </w:rPr>
      </w:pPr>
    </w:p>
    <w:p>
      <w:pPr>
        <w:ind w:left="-40" w:right="100" w:firstLine="921"/>
        <w:spacing w:after="0" w:line="277" w:lineRule="auto"/>
        <w:tabs>
          <w:tab w:leader="none" w:pos="10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62" w:lineRule="exact"/>
        <w:rPr>
          <w:rFonts w:ascii="Arial" w:cs="Arial" w:eastAsia="Arial" w:hAnsi="Arial"/>
          <w:sz w:val="18"/>
          <w:szCs w:val="18"/>
          <w:color w:val="auto"/>
        </w:rPr>
      </w:pPr>
    </w:p>
    <w:p>
      <w:pPr>
        <w:ind w:left="-40" w:right="240" w:firstLine="921"/>
        <w:spacing w:after="0" w:line="286" w:lineRule="auto"/>
        <w:tabs>
          <w:tab w:leader="none" w:pos="11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Investments (i) by Borrower in Zafgen Australia, not to exceed Six Million Dollars ($6,000,000) in the aggregate in any fiscal year, (ii) by Borrower in Subsidiaries other than Zafgen Australia, not to exceed Fifty Thousand Dollars ($50,000) in the aggregate in any fiscal year, and (iii) by Subsidiaries in other Subsidiaries not to exceed Fifty Thousand Dollars ($50,000) in the aggregate in any fiscal year or in Borrower;</w:t>
      </w:r>
    </w:p>
    <w:p>
      <w:pPr>
        <w:spacing w:after="0" w:line="57" w:lineRule="exact"/>
        <w:rPr>
          <w:rFonts w:ascii="Arial" w:cs="Arial" w:eastAsia="Arial" w:hAnsi="Arial"/>
          <w:sz w:val="17"/>
          <w:szCs w:val="17"/>
          <w:color w:val="auto"/>
        </w:rPr>
      </w:pPr>
    </w:p>
    <w:p>
      <w:pPr>
        <w:ind w:left="-40" w:right="40" w:firstLine="921"/>
        <w:spacing w:after="0" w:line="264" w:lineRule="auto"/>
        <w:tabs>
          <w:tab w:leader="none" w:pos="11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w:t>
      </w:r>
    </w:p>
    <w:p>
      <w:pPr>
        <w:spacing w:after="0" w:line="73" w:lineRule="exact"/>
        <w:rPr>
          <w:rFonts w:ascii="Arial" w:cs="Arial" w:eastAsia="Arial" w:hAnsi="Arial"/>
          <w:sz w:val="18"/>
          <w:szCs w:val="18"/>
          <w:color w:val="auto"/>
        </w:rPr>
      </w:pPr>
    </w:p>
    <w:p>
      <w:pPr>
        <w:ind w:left="-40" w:right="540" w:firstLine="921"/>
        <w:spacing w:after="0" w:line="308" w:lineRule="auto"/>
        <w:tabs>
          <w:tab w:leader="none" w:pos="108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 and</w:t>
      </w:r>
    </w:p>
    <w:p>
      <w:pPr>
        <w:spacing w:after="0" w:line="38" w:lineRule="exact"/>
        <w:rPr>
          <w:rFonts w:ascii="Arial" w:cs="Arial" w:eastAsia="Arial" w:hAnsi="Arial"/>
          <w:sz w:val="17"/>
          <w:szCs w:val="17"/>
          <w:color w:val="auto"/>
        </w:rPr>
      </w:pPr>
    </w:p>
    <w:p>
      <w:pPr>
        <w:ind w:left="-40" w:right="640" w:firstLine="921"/>
        <w:spacing w:after="0" w:line="342" w:lineRule="auto"/>
        <w:tabs>
          <w:tab w:leader="none" w:pos="10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1120" w:hanging="239"/>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Liens existing on the Effective Date and shown on the Perfection Certificate or arising under this Agreement and the other Loan Documents;</w:t>
      </w:r>
    </w:p>
    <w:p>
      <w:pPr>
        <w:spacing w:after="0" w:line="140" w:lineRule="exact"/>
        <w:rPr>
          <w:rFonts w:ascii="Arial" w:cs="Arial" w:eastAsia="Arial" w:hAnsi="Arial"/>
          <w:sz w:val="16"/>
          <w:szCs w:val="16"/>
          <w:color w:val="auto"/>
        </w:rPr>
      </w:pPr>
    </w:p>
    <w:p>
      <w:pPr>
        <w:ind w:left="-40" w:right="240" w:firstLine="921"/>
        <w:spacing w:after="0" w:line="264" w:lineRule="auto"/>
        <w:tabs>
          <w:tab w:leader="none" w:pos="11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73" w:lineRule="exact"/>
        <w:rPr>
          <w:rFonts w:ascii="Arial" w:cs="Arial" w:eastAsia="Arial" w:hAnsi="Arial"/>
          <w:sz w:val="18"/>
          <w:szCs w:val="18"/>
          <w:color w:val="auto"/>
        </w:rPr>
      </w:pPr>
    </w:p>
    <w:p>
      <w:pPr>
        <w:ind w:left="-40" w:right="60" w:firstLine="921"/>
        <w:spacing w:after="0" w:line="264"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purchase money Liens or capital leases (i) on Equipment acquired or held by Borrower incurred for financing the acquisition of the Equipment securing no more than Two Hundred Fifty Thousand Dollars ($250,000) in the aggregate amount outstanding, or (ii) existing on Equipment when acquired,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Lien is confined to the property and improvements and the proceeds of the Equipment;</w:t>
      </w:r>
    </w:p>
    <w:p>
      <w:pPr>
        <w:spacing w:after="0" w:line="73" w:lineRule="exact"/>
        <w:rPr>
          <w:rFonts w:ascii="Arial" w:cs="Arial" w:eastAsia="Arial" w:hAnsi="Arial"/>
          <w:sz w:val="18"/>
          <w:szCs w:val="18"/>
          <w:color w:val="auto"/>
        </w:rPr>
      </w:pPr>
    </w:p>
    <w:p>
      <w:pPr>
        <w:ind w:left="-40" w:firstLine="921"/>
        <w:spacing w:after="0" w:line="259" w:lineRule="auto"/>
        <w:tabs>
          <w:tab w:leader="none" w:pos="11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One Hundred Thousand Dollars ($100,000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8" w:lineRule="exact"/>
        <w:rPr>
          <w:rFonts w:ascii="Arial" w:cs="Arial" w:eastAsia="Arial" w:hAnsi="Arial"/>
          <w:sz w:val="18"/>
          <w:szCs w:val="18"/>
          <w:color w:val="auto"/>
        </w:rPr>
      </w:pPr>
    </w:p>
    <w:p>
      <w:pPr>
        <w:ind w:left="-40" w:right="500" w:firstLine="921"/>
        <w:spacing w:after="0" w:line="277"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left="-40" w:right="40" w:firstLine="921"/>
        <w:spacing w:after="0" w:line="342" w:lineRule="auto"/>
        <w:tabs>
          <w:tab w:leader="none" w:pos="1098"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Liens incurred in the extension, renewal or refinancing of the indebtedness secured by Liens described in (a) through (c),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any extension, renewal or replacement Lien must be limited to the property encumbered by the existing Lien and the principal amount of the indebtedness may not increase;</w:t>
      </w:r>
    </w:p>
    <w:p>
      <w:pPr>
        <w:spacing w:after="0" w:line="15" w:lineRule="exact"/>
        <w:rPr>
          <w:rFonts w:ascii="Arial" w:cs="Arial" w:eastAsia="Arial" w:hAnsi="Arial"/>
          <w:sz w:val="16"/>
          <w:szCs w:val="16"/>
          <w:color w:val="auto"/>
        </w:rPr>
      </w:pPr>
    </w:p>
    <w:p>
      <w:pPr>
        <w:ind w:left="-40" w:right="100" w:firstLine="921"/>
        <w:spacing w:after="0" w:line="259" w:lineRule="auto"/>
        <w:tabs>
          <w:tab w:leader="none" w:pos="11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the leases, subleases, licenses and sublicenses do not prohibit granting Bank a security interest therein;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80" w:top="274" w:right="279" w:bottom="1440" w:gutter="0" w:footer="0" w:header="0"/>
        </w:sectPr>
      </w:pPr>
    </w:p>
    <w:bookmarkStart w:id="31" w:name="page32"/>
    <w:bookmarkEnd w:id="31"/>
    <w:p>
      <w:pPr>
        <w:ind w:right="60" w:firstLine="921"/>
        <w:spacing w:after="0" w:line="264" w:lineRule="auto"/>
        <w:tabs>
          <w:tab w:leader="none" w:pos="1168"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non-exclusive licenses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 8.4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8.7; and</w:t>
      </w:r>
    </w:p>
    <w:p>
      <w:pPr>
        <w:spacing w:after="0" w:line="102" w:lineRule="exact"/>
        <w:rPr>
          <w:rFonts w:ascii="Arial" w:cs="Arial" w:eastAsia="Arial" w:hAnsi="Arial"/>
          <w:sz w:val="16"/>
          <w:szCs w:val="16"/>
          <w:color w:val="auto"/>
        </w:rPr>
      </w:pPr>
    </w:p>
    <w:p>
      <w:pPr>
        <w:ind w:right="80" w:firstLine="921"/>
        <w:spacing w:after="0" w:line="277" w:lineRule="auto"/>
        <w:tabs>
          <w:tab w:leader="none" w:pos="11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deposit and/or securities accounts held at such institutions, provided that Bank has a perfected security interest in the amounts held in such deposit and/or securities accounts.</w:t>
      </w:r>
    </w:p>
    <w:p>
      <w:pPr>
        <w:spacing w:after="0" w:line="166"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Pledge Agreement</w:t>
      </w:r>
      <w:r>
        <w:rPr>
          <w:rFonts w:ascii="Arial" w:cs="Arial" w:eastAsia="Arial" w:hAnsi="Arial"/>
          <w:sz w:val="17"/>
          <w:szCs w:val="17"/>
          <w:color w:val="auto"/>
        </w:rPr>
        <w:t>” means that certain Bank Services Cash Pledge Agreement executed by Borrower in favor of Bank as of the Effective Date.</w:t>
      </w:r>
    </w:p>
    <w:p>
      <w:pPr>
        <w:spacing w:after="0" w:line="237" w:lineRule="exact"/>
        <w:rPr>
          <w:sz w:val="20"/>
          <w:szCs w:val="20"/>
          <w:color w:val="auto"/>
        </w:rPr>
      </w:pPr>
    </w:p>
    <w:p>
      <w:pPr>
        <w:ind w:left="460"/>
        <w:spacing w:after="0"/>
        <w:tabs>
          <w:tab w:leader="none" w:pos="61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Account</w:t>
      </w:r>
      <w:r>
        <w:rPr>
          <w:rFonts w:ascii="Arial" w:cs="Arial" w:eastAsia="Arial" w:hAnsi="Arial"/>
          <w:sz w:val="18"/>
          <w:szCs w:val="18"/>
          <w:color w:val="auto"/>
        </w:rPr>
        <w:t>” means Borrower’s restricted account number [</w:t>
      </w:r>
      <w:r>
        <w:rPr>
          <w:sz w:val="20"/>
          <w:szCs w:val="20"/>
          <w:color w:val="auto"/>
        </w:rPr>
        <w:tab/>
      </w:r>
      <w:r>
        <w:rPr>
          <w:rFonts w:ascii="Arial" w:cs="Arial" w:eastAsia="Arial" w:hAnsi="Arial"/>
          <w:sz w:val="16"/>
          <w:szCs w:val="16"/>
          <w:color w:val="auto"/>
        </w:rPr>
        <w:t>] held at Bank.</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Fee</w:t>
      </w:r>
      <w:r>
        <w:rPr>
          <w:rFonts w:ascii="Arial" w:cs="Arial" w:eastAsia="Arial" w:hAnsi="Arial"/>
          <w:sz w:val="16"/>
          <w:szCs w:val="16"/>
          <w:color w:val="auto"/>
        </w:rPr>
        <w:t>” is, with respect to any Term Loan subject to prepayment prior to the Term Loan Maturity Date, whether by mandatory or voluntary prepayment, acceleration or otherwise, an additional fee payable to Bank in an amount equal to: (i) for a prepayment made on or after the Effective Date through and including the first anniversary of the Effective Date, two percent (2.00%) of the principal amount of the Term Loan prepaid; (ii) for a prepayment made after the date which is the first anniversary of the Effective Date through and including the second anniversary of the Effective Date, one percent</w:t>
      </w:r>
    </w:p>
    <w:p>
      <w:pPr>
        <w:spacing w:after="0" w:line="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(1.00%) of the principal amount of the Term Loan prepaid and (iii) for a prepayment made after the date which is the second anniversary of the Effective Date through and including the third anniversary of the Effective Date, one-half of one percent (0.50%) of the principal amount of the Term Loan prepaid. Notwithstanding the foregoing, provided no Event of Default has occurred and is continuing, the Prepayment Fee shall be waived by Bank, if Bank closes on the refinance and redocumentation of this Agreement (in its sole and absolute discretion) prior to the Term Loan Maturity Date.</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Change</w:t>
      </w:r>
      <w:r>
        <w:rPr>
          <w:rFonts w:ascii="Arial" w:cs="Arial" w:eastAsia="Arial" w:hAnsi="Arial"/>
          <w:sz w:val="17"/>
          <w:szCs w:val="17"/>
          <w:color w:val="auto"/>
        </w:rPr>
        <w:t>” means, with respect to Bank, any change on or after the date of this Agreement in United States federal, state, or foreign laws or regulations, including Regulation D, or the adoption or making on or after such date of any interpretations, directives, or requests applying to a class of lenders including Bank, of or under any United States federal or state, or any foreign laws or regulations (whether or not having the force of law) by any court or governmental or monetary authority charged with the interpretation or administration thereof.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2" w:name="page33"/>
    <w:bookmarkEnd w:id="32"/>
    <w:p>
      <w:pPr>
        <w:jc w:val="both"/>
        <w:ind w:right="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and Chief Financial Officer of Borrower.</w:t>
      </w:r>
    </w:p>
    <w:p>
      <w:pPr>
        <w:spacing w:after="0" w:line="22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similar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the Bank’s right to sell any Collateral.</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entered into between Bank and the other creditor), on terms acceptable to Bank.</w:t>
      </w:r>
    </w:p>
    <w:p>
      <w:pPr>
        <w:spacing w:after="0" w:line="176"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a loan made by Bank pursuant to the terms of Section 2.1.1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December 1, 2021.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Payment</w:t>
      </w:r>
      <w:r>
        <w:rPr>
          <w:rFonts w:ascii="Arial" w:cs="Arial" w:eastAsia="Arial" w:hAnsi="Arial"/>
          <w:sz w:val="18"/>
          <w:szCs w:val="18"/>
          <w:color w:val="auto"/>
        </w:rPr>
        <w:t>” is defined in Section 2.1.1(b).</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Zafgen Animal Health</w:t>
      </w:r>
      <w:r>
        <w:rPr>
          <w:rFonts w:ascii="Arial" w:cs="Arial" w:eastAsia="Arial" w:hAnsi="Arial"/>
          <w:sz w:val="18"/>
          <w:szCs w:val="18"/>
          <w:color w:val="auto"/>
        </w:rPr>
        <w:t>” means Zafgen Animal Health, LLC, a Delaware limited liability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Zafgen Australia</w:t>
      </w:r>
      <w:r>
        <w:rPr>
          <w:rFonts w:ascii="Arial" w:cs="Arial" w:eastAsia="Arial" w:hAnsi="Arial"/>
          <w:sz w:val="18"/>
          <w:szCs w:val="18"/>
          <w:color w:val="auto"/>
        </w:rPr>
        <w:t>” means Zafgen Australia Pty. Ltd. a company organized under the laws of Australia.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Zafgen Securities</w:t>
      </w:r>
      <w:r>
        <w:rPr>
          <w:rFonts w:ascii="Arial" w:cs="Arial" w:eastAsia="Arial" w:hAnsi="Arial"/>
          <w:sz w:val="18"/>
          <w:szCs w:val="18"/>
          <w:color w:val="auto"/>
        </w:rPr>
        <w:t>” means Zafgen Securities Corporation, a MSC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follows.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ZAFGEN, INC.</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Patricia L. Allen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CFO</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SILICON VALLEY BANK</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Lauren Cole</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ectPr>
          <w:pgSz w:w="11900" w:h="16838" w:orient="portrait"/>
          <w:cols w:equalWidth="0" w:num="1">
            <w:col w:w="10219"/>
          </w:cols>
          <w:pgMar w:left="240" w:top="270" w:right="1440"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COLLATERAL DESCRIPTION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Notwithstanding the foregoing, the Collateral does not include any of the following: (a)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 and (b) more than 65% of the presently existing and hereafter arising issued and outstanding shares of capital stock owned by Borrower of any Foreign Subsidiary which shares entitle the holder thereof to vote for directors or any other matter.</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Bank, Borrower has agreed not to encumber any of its Intellectual Property without Bank’s prior written consent.</w:t>
      </w:r>
    </w:p>
    <w:p>
      <w:pPr>
        <w:sectPr>
          <w:pgSz w:w="11900" w:h="16838" w:orient="portrait"/>
          <w:cols w:equalWidth="0" w:num="1">
            <w:col w:w="11400"/>
          </w:cols>
          <w:pgMar w:left="240" w:top="270"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3460" w:type="dxa"/>
            <w:vAlign w:val="bottom"/>
            <w:gridSpan w:val="2"/>
          </w:tcPr>
          <w:p>
            <w:pPr>
              <w:spacing w:after="0"/>
              <w:rPr>
                <w:sz w:val="17"/>
                <w:szCs w:val="17"/>
                <w:color w:val="auto"/>
              </w:rPr>
            </w:pPr>
          </w:p>
        </w:tc>
      </w:tr>
      <w:tr>
        <w:trPr>
          <w:trHeight w:val="412"/>
        </w:trPr>
        <w:tc>
          <w:tcPr>
            <w:tcW w:w="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60" w:type="dxa"/>
            <w:vAlign w:val="bottom"/>
            <w:gridSpan w:val="5"/>
          </w:tcPr>
          <w:p>
            <w:pPr>
              <w:jc w:val="center"/>
              <w:ind w:right="1690"/>
              <w:spacing w:after="0"/>
              <w:rPr>
                <w:sz w:val="20"/>
                <w:szCs w:val="20"/>
                <w:color w:val="auto"/>
              </w:rPr>
            </w:pPr>
            <w:r>
              <w:rPr>
                <w:rFonts w:ascii="Arial" w:cs="Arial" w:eastAsia="Arial" w:hAnsi="Arial"/>
                <w:sz w:val="18"/>
                <w:szCs w:val="18"/>
                <w:b w:val="1"/>
                <w:bCs w:val="1"/>
                <w:color w:val="auto"/>
              </w:rPr>
              <w:t>COMPLIANCE CERTIFICATE</w:t>
            </w:r>
          </w:p>
        </w:tc>
      </w:tr>
      <w:tr>
        <w:trPr>
          <w:trHeight w:val="465"/>
        </w:trPr>
        <w:tc>
          <w:tcPr>
            <w:tcW w:w="640" w:type="dxa"/>
            <w:vAlign w:val="bottom"/>
          </w:tcPr>
          <w:p>
            <w:pPr>
              <w:spacing w:after="0"/>
              <w:rPr>
                <w:sz w:val="20"/>
                <w:szCs w:val="20"/>
                <w:color w:val="auto"/>
              </w:rPr>
            </w:pPr>
            <w:r>
              <w:rPr>
                <w:rFonts w:ascii="Arial" w:cs="Arial" w:eastAsia="Arial" w:hAnsi="Arial"/>
                <w:sz w:val="18"/>
                <w:szCs w:val="18"/>
                <w:color w:val="auto"/>
              </w:rPr>
              <w:t>TO:</w:t>
            </w:r>
          </w:p>
        </w:tc>
        <w:tc>
          <w:tcPr>
            <w:tcW w:w="2940" w:type="dxa"/>
            <w:vAlign w:val="bottom"/>
          </w:tcPr>
          <w:p>
            <w:pPr>
              <w:ind w:left="80"/>
              <w:spacing w:after="0"/>
              <w:rPr>
                <w:sz w:val="20"/>
                <w:szCs w:val="20"/>
                <w:color w:val="auto"/>
              </w:rPr>
            </w:pPr>
            <w:r>
              <w:rPr>
                <w:rFonts w:ascii="Arial" w:cs="Arial" w:eastAsia="Arial" w:hAnsi="Arial"/>
                <w:sz w:val="18"/>
                <w:szCs w:val="18"/>
                <w:color w:val="auto"/>
              </w:rPr>
              <w:t>SILICON VALLEY BANK</w:t>
            </w:r>
          </w:p>
        </w:tc>
        <w:tc>
          <w:tcPr>
            <w:tcW w:w="8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60" w:type="dxa"/>
            <w:vAlign w:val="bottom"/>
          </w:tcPr>
          <w:p>
            <w:pPr>
              <w:ind w:left="700"/>
              <w:spacing w:after="0"/>
              <w:rPr>
                <w:sz w:val="20"/>
                <w:szCs w:val="20"/>
                <w:color w:val="auto"/>
              </w:rPr>
            </w:pPr>
            <w:r>
              <w:rPr>
                <w:rFonts w:ascii="Arial" w:cs="Arial" w:eastAsia="Arial" w:hAnsi="Arial"/>
                <w:sz w:val="18"/>
                <w:szCs w:val="18"/>
                <w:color w:val="auto"/>
                <w:w w:val="91"/>
              </w:rPr>
              <w:t>Date:  December 29, 2017</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FROM:</w:t>
            </w:r>
          </w:p>
        </w:tc>
        <w:tc>
          <w:tcPr>
            <w:tcW w:w="2940" w:type="dxa"/>
            <w:vAlign w:val="bottom"/>
          </w:tcPr>
          <w:p>
            <w:pPr>
              <w:ind w:left="80"/>
              <w:spacing w:after="0"/>
              <w:rPr>
                <w:sz w:val="20"/>
                <w:szCs w:val="20"/>
                <w:color w:val="auto"/>
              </w:rPr>
            </w:pPr>
            <w:r>
              <w:rPr>
                <w:rFonts w:ascii="Arial" w:cs="Arial" w:eastAsia="Arial" w:hAnsi="Arial"/>
                <w:sz w:val="18"/>
                <w:szCs w:val="18"/>
                <w:color w:val="auto"/>
              </w:rPr>
              <w:t>ZAFGEN, INC.</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40" w:firstLine="456"/>
        <w:spacing w:after="0" w:line="277" w:lineRule="auto"/>
        <w:rPr>
          <w:sz w:val="20"/>
          <w:szCs w:val="20"/>
          <w:color w:val="auto"/>
        </w:rPr>
      </w:pPr>
      <w:r>
        <w:rPr>
          <w:rFonts w:ascii="Arial" w:cs="Arial" w:eastAsia="Arial" w:hAnsi="Arial"/>
          <w:sz w:val="18"/>
          <w:szCs w:val="18"/>
          <w:color w:val="auto"/>
        </w:rPr>
        <w:t>The undersigned authorized officer of ZAFGEN, INC. (“Borrower”) certifies that under the terms and conditions of the Loan and Security Agreement between Borrower and Bank (the “Agreement”):</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(1) Borrower is in complete compliance for the period ending with all required covenants except as noted below; (2) there are no Events of Default; (3) all representations and warranties in the Agreement are true and correct in all material respects on this date except as noted below;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(5) no Liens have been levied or claims made against Borrower or any of its Subsidiaries relating to unpaid employee payroll or benefits of which Borrower has not previously provided written notification to Bank.</w:t>
      </w:r>
    </w:p>
    <w:p>
      <w:pPr>
        <w:spacing w:after="0" w:line="179"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Reporting Covenants</w:t>
            </w:r>
          </w:p>
        </w:tc>
        <w:tc>
          <w:tcPr>
            <w:tcW w:w="260" w:type="dxa"/>
            <w:vAlign w:val="bottom"/>
          </w:tcPr>
          <w:p>
            <w:pPr>
              <w:spacing w:after="0"/>
              <w:rPr>
                <w:sz w:val="16"/>
                <w:szCs w:val="16"/>
                <w:color w:val="auto"/>
              </w:rPr>
            </w:pPr>
          </w:p>
        </w:tc>
        <w:tc>
          <w:tcPr>
            <w:tcW w:w="4280" w:type="dxa"/>
            <w:vAlign w:val="bottom"/>
            <w:gridSpan w:val="2"/>
          </w:tcPr>
          <w:p>
            <w:pPr>
              <w:ind w:left="2060"/>
              <w:spacing w:after="0"/>
              <w:rPr>
                <w:sz w:val="20"/>
                <w:szCs w:val="20"/>
                <w:color w:val="auto"/>
              </w:rPr>
            </w:pPr>
            <w:r>
              <w:rPr>
                <w:rFonts w:ascii="Arial" w:cs="Arial" w:eastAsia="Arial" w:hAnsi="Arial"/>
                <w:sz w:val="14"/>
                <w:szCs w:val="14"/>
                <w:b w:val="1"/>
                <w:bCs w:val="1"/>
                <w:color w:val="auto"/>
              </w:rPr>
              <w:t>Required</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Complies</w:t>
            </w:r>
          </w:p>
        </w:tc>
        <w:tc>
          <w:tcPr>
            <w:tcW w:w="360" w:type="dxa"/>
            <w:vAlign w:val="bottom"/>
          </w:tcPr>
          <w:p>
            <w:pPr>
              <w:spacing w:after="0"/>
              <w:rPr>
                <w:sz w:val="16"/>
                <w:szCs w:val="16"/>
                <w:color w:val="auto"/>
              </w:rPr>
            </w:pPr>
          </w:p>
        </w:tc>
      </w:tr>
      <w:tr>
        <w:trPr>
          <w:trHeight w:val="217"/>
        </w:trPr>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9"/>
              </w:rPr>
              <w:t>Quarterly financial</w:t>
            </w:r>
          </w:p>
        </w:tc>
        <w:tc>
          <w:tcPr>
            <w:tcW w:w="3580" w:type="dxa"/>
            <w:vAlign w:val="bottom"/>
          </w:tcPr>
          <w:p>
            <w:pPr>
              <w:ind w:left="100"/>
              <w:spacing w:after="0" w:line="190" w:lineRule="exact"/>
              <w:rPr>
                <w:sz w:val="20"/>
                <w:szCs w:val="20"/>
                <w:color w:val="auto"/>
              </w:rPr>
            </w:pPr>
            <w:r>
              <w:rPr>
                <w:rFonts w:ascii="Arial" w:cs="Arial" w:eastAsia="Arial" w:hAnsi="Arial"/>
                <w:sz w:val="18"/>
                <w:szCs w:val="18"/>
                <w:color w:val="auto"/>
              </w:rPr>
              <w:t>statements with Compliance Certificate</w:t>
            </w:r>
          </w:p>
        </w:tc>
        <w:tc>
          <w:tcPr>
            <w:tcW w:w="260" w:type="dxa"/>
            <w:vAlign w:val="bottom"/>
          </w:tcPr>
          <w:p>
            <w:pPr>
              <w:spacing w:after="0"/>
              <w:rPr>
                <w:sz w:val="18"/>
                <w:szCs w:val="18"/>
                <w:color w:val="auto"/>
              </w:rPr>
            </w:pPr>
          </w:p>
        </w:tc>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within 45 days</w:t>
            </w: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Yes</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c>
          <w:tcPr>
            <w:tcW w:w="360" w:type="dxa"/>
            <w:vAlign w:val="bottom"/>
            <w:tcBorders>
              <w:top w:val="single" w:sz="8" w:color="auto"/>
            </w:tcBorders>
          </w:tcPr>
          <w:p>
            <w:pPr>
              <w:spacing w:after="0"/>
              <w:rPr>
                <w:sz w:val="18"/>
                <w:szCs w:val="18"/>
                <w:color w:val="auto"/>
              </w:rPr>
            </w:pPr>
          </w:p>
        </w:tc>
      </w:tr>
      <w:tr>
        <w:trPr>
          <w:trHeight w:val="310"/>
        </w:trPr>
        <w:tc>
          <w:tcPr>
            <w:tcW w:w="4900" w:type="dxa"/>
            <w:vAlign w:val="bottom"/>
            <w:gridSpan w:val="3"/>
          </w:tcPr>
          <w:p>
            <w:pPr>
              <w:spacing w:after="0"/>
              <w:rPr>
                <w:sz w:val="20"/>
                <w:szCs w:val="20"/>
                <w:color w:val="auto"/>
              </w:rPr>
            </w:pPr>
            <w:r>
              <w:rPr>
                <w:rFonts w:ascii="Arial" w:cs="Arial" w:eastAsia="Arial" w:hAnsi="Arial"/>
                <w:sz w:val="18"/>
                <w:szCs w:val="18"/>
                <w:color w:val="auto"/>
              </w:rPr>
              <w:t>Annual financial statement (CPA Audited) + CC</w:t>
            </w:r>
          </w:p>
        </w:tc>
        <w:tc>
          <w:tcPr>
            <w:tcW w:w="26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FYE within 180 days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No</w:t>
            </w:r>
          </w:p>
        </w:tc>
        <w:tc>
          <w:tcPr>
            <w:tcW w:w="360" w:type="dxa"/>
            <w:vAlign w:val="bottom"/>
          </w:tcPr>
          <w:p>
            <w:pPr>
              <w:spacing w:after="0"/>
              <w:rPr>
                <w:sz w:val="24"/>
                <w:szCs w:val="24"/>
                <w:color w:val="auto"/>
              </w:rPr>
            </w:pPr>
          </w:p>
        </w:tc>
      </w:tr>
      <w:tr>
        <w:trPr>
          <w:trHeight w:val="324"/>
        </w:trPr>
        <w:tc>
          <w:tcPr>
            <w:tcW w:w="4900" w:type="dxa"/>
            <w:vAlign w:val="bottom"/>
            <w:gridSpan w:val="3"/>
          </w:tcPr>
          <w:p>
            <w:pPr>
              <w:spacing w:after="0"/>
              <w:rPr>
                <w:sz w:val="20"/>
                <w:szCs w:val="20"/>
                <w:color w:val="auto"/>
              </w:rPr>
            </w:pPr>
            <w:r>
              <w:rPr>
                <w:rFonts w:ascii="Arial" w:cs="Arial" w:eastAsia="Arial" w:hAnsi="Arial"/>
                <w:sz w:val="18"/>
                <w:szCs w:val="18"/>
                <w:color w:val="auto"/>
              </w:rPr>
              <w:t>10-Q, 10-K and 8-K</w:t>
            </w:r>
          </w:p>
        </w:tc>
        <w:tc>
          <w:tcPr>
            <w:tcW w:w="26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Within 5 days after filing with SEC (if applicable)</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No</w:t>
            </w:r>
          </w:p>
        </w:tc>
        <w:tc>
          <w:tcPr>
            <w:tcW w:w="360" w:type="dxa"/>
            <w:vAlign w:val="bottom"/>
          </w:tcPr>
          <w:p>
            <w:pPr>
              <w:spacing w:after="0"/>
              <w:rPr>
                <w:sz w:val="24"/>
                <w:szCs w:val="24"/>
                <w:color w:val="auto"/>
              </w:rPr>
            </w:pPr>
          </w:p>
        </w:tc>
      </w:tr>
      <w:tr>
        <w:trPr>
          <w:trHeight w:val="323"/>
        </w:trPr>
        <w:tc>
          <w:tcPr>
            <w:tcW w:w="10060" w:type="dxa"/>
            <w:vAlign w:val="bottom"/>
            <w:gridSpan w:val="8"/>
          </w:tcPr>
          <w:p>
            <w:pPr>
              <w:spacing w:after="0"/>
              <w:rPr>
                <w:sz w:val="20"/>
                <w:szCs w:val="20"/>
                <w:color w:val="auto"/>
              </w:rPr>
            </w:pPr>
            <w:r>
              <w:rPr>
                <w:rFonts w:ascii="Arial" w:cs="Arial" w:eastAsia="Arial" w:hAnsi="Arial"/>
                <w:sz w:val="18"/>
                <w:szCs w:val="18"/>
                <w:color w:val="auto"/>
                <w:w w:val="95"/>
              </w:rPr>
              <w:t>Annual Financial Projections/Budget (prepared on a quarterly basis)   Annually, within 30 days of FYE and (ii) within 7 days of board</w:t>
            </w:r>
          </w:p>
        </w:tc>
        <w:tc>
          <w:tcPr>
            <w:tcW w:w="340" w:type="dxa"/>
            <w:vAlign w:val="bottom"/>
          </w:tcPr>
          <w:p>
            <w:pPr>
              <w:spacing w:after="0"/>
              <w:rPr>
                <w:sz w:val="20"/>
                <w:szCs w:val="20"/>
                <w:color w:val="auto"/>
              </w:rPr>
            </w:pPr>
            <w:r>
              <w:rPr>
                <w:rFonts w:ascii="Arial" w:cs="Arial" w:eastAsia="Arial" w:hAnsi="Arial"/>
                <w:sz w:val="18"/>
                <w:szCs w:val="18"/>
                <w:color w:val="auto"/>
              </w:rPr>
              <w:t>Yes</w:t>
            </w:r>
          </w:p>
        </w:tc>
        <w:tc>
          <w:tcPr>
            <w:tcW w:w="8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No</w:t>
            </w:r>
          </w:p>
        </w:tc>
        <w:tc>
          <w:tcPr>
            <w:tcW w:w="36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approval when revised</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2"/>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Financial Covenants</w:t>
            </w:r>
          </w:p>
        </w:tc>
        <w:tc>
          <w:tcPr>
            <w:tcW w:w="260" w:type="dxa"/>
            <w:vAlign w:val="bottom"/>
          </w:tcPr>
          <w:p>
            <w:pPr>
              <w:spacing w:after="0"/>
              <w:rPr>
                <w:sz w:val="24"/>
                <w:szCs w:val="24"/>
                <w:color w:val="auto"/>
              </w:rPr>
            </w:pPr>
          </w:p>
        </w:tc>
        <w:tc>
          <w:tcPr>
            <w:tcW w:w="4280" w:type="dxa"/>
            <w:vAlign w:val="bottom"/>
            <w:gridSpan w:val="2"/>
          </w:tcPr>
          <w:p>
            <w:pPr>
              <w:ind w:left="1680"/>
              <w:spacing w:after="0"/>
              <w:rPr>
                <w:sz w:val="20"/>
                <w:szCs w:val="20"/>
                <w:color w:val="auto"/>
              </w:rPr>
            </w:pPr>
            <w:r>
              <w:rPr>
                <w:rFonts w:ascii="Arial" w:cs="Arial" w:eastAsia="Arial" w:hAnsi="Arial"/>
                <w:sz w:val="14"/>
                <w:szCs w:val="14"/>
                <w:b w:val="1"/>
                <w:bCs w:val="1"/>
                <w:color w:val="auto"/>
              </w:rPr>
              <w:t>Required</w:t>
            </w:r>
          </w:p>
        </w:tc>
        <w:tc>
          <w:tcPr>
            <w:tcW w:w="9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Complies</w:t>
            </w:r>
          </w:p>
        </w:tc>
      </w:tr>
      <w:tr>
        <w:trPr>
          <w:trHeight w:val="189"/>
        </w:trPr>
        <w:tc>
          <w:tcPr>
            <w:tcW w:w="1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Minimum Cash</w:t>
            </w:r>
          </w:p>
        </w:tc>
        <w:tc>
          <w:tcPr>
            <w:tcW w:w="3640" w:type="dxa"/>
            <w:vAlign w:val="bottom"/>
            <w:gridSpan w:val="2"/>
          </w:tcPr>
          <w:p>
            <w:pPr>
              <w:spacing w:after="0" w:line="189" w:lineRule="exact"/>
              <w:rPr>
                <w:sz w:val="20"/>
                <w:szCs w:val="20"/>
                <w:color w:val="auto"/>
              </w:rPr>
            </w:pPr>
            <w:r>
              <w:rPr>
                <w:rFonts w:ascii="Arial" w:cs="Arial" w:eastAsia="Arial" w:hAnsi="Arial"/>
                <w:sz w:val="18"/>
                <w:szCs w:val="18"/>
                <w:color w:val="auto"/>
              </w:rPr>
              <w:t>(Section 6.7(a) Borrower)</w:t>
            </w:r>
          </w:p>
        </w:tc>
        <w:tc>
          <w:tcPr>
            <w:tcW w:w="444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w w:val="97"/>
              </w:rPr>
              <w:t>105% of all the total amount of outstanding Indebtedness</w:t>
            </w:r>
          </w:p>
        </w:tc>
        <w:tc>
          <w:tcPr>
            <w:tcW w:w="100" w:type="dxa"/>
            <w:vAlign w:val="bottom"/>
          </w:tcPr>
          <w:p>
            <w:pPr>
              <w:spacing w:after="0"/>
              <w:rPr>
                <w:sz w:val="16"/>
                <w:szCs w:val="16"/>
                <w:color w:val="auto"/>
              </w:rPr>
            </w:pPr>
          </w:p>
        </w:tc>
        <w:tc>
          <w:tcPr>
            <w:tcW w:w="960" w:type="dxa"/>
            <w:vAlign w:val="bottom"/>
            <w:tcBorders>
              <w:top w:val="single" w:sz="8" w:color="auto"/>
            </w:tcBorders>
            <w:gridSpan w:val="3"/>
          </w:tcPr>
          <w:p>
            <w:pPr>
              <w:jc w:val="right"/>
              <w:spacing w:after="0" w:line="189" w:lineRule="exact"/>
              <w:rPr>
                <w:sz w:val="20"/>
                <w:szCs w:val="20"/>
                <w:color w:val="auto"/>
              </w:rPr>
            </w:pPr>
            <w:r>
              <w:rPr>
                <w:rFonts w:ascii="Arial" w:cs="Arial" w:eastAsia="Arial" w:hAnsi="Arial"/>
                <w:sz w:val="18"/>
                <w:szCs w:val="18"/>
                <w:color w:val="auto"/>
                <w:w w:val="87"/>
              </w:rPr>
              <w:t>$_________</w:t>
            </w: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jc w:val="center"/>
              <w:ind w:right="116"/>
              <w:spacing w:after="0" w:line="189" w:lineRule="exact"/>
              <w:rPr>
                <w:sz w:val="20"/>
                <w:szCs w:val="20"/>
                <w:color w:val="auto"/>
              </w:rPr>
            </w:pPr>
            <w:r>
              <w:rPr>
                <w:rFonts w:ascii="Arial" w:cs="Arial" w:eastAsia="Arial" w:hAnsi="Arial"/>
                <w:sz w:val="18"/>
                <w:szCs w:val="18"/>
                <w:color w:val="auto"/>
                <w:w w:val="83"/>
              </w:rPr>
              <w:t>Yes</w:t>
            </w:r>
          </w:p>
        </w:tc>
        <w:tc>
          <w:tcPr>
            <w:tcW w:w="3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No</w:t>
            </w:r>
          </w:p>
        </w:tc>
      </w:tr>
      <w:tr>
        <w:trPr>
          <w:trHeight w:val="230"/>
        </w:trPr>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under the Term Loan</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10"/>
        </w:trPr>
        <w:tc>
          <w:tcPr>
            <w:tcW w:w="4900" w:type="dxa"/>
            <w:vAlign w:val="bottom"/>
            <w:gridSpan w:val="3"/>
          </w:tcPr>
          <w:p>
            <w:pPr>
              <w:spacing w:after="0"/>
              <w:rPr>
                <w:sz w:val="20"/>
                <w:szCs w:val="20"/>
                <w:color w:val="auto"/>
              </w:rPr>
            </w:pPr>
            <w:r>
              <w:rPr>
                <w:rFonts w:ascii="Arial" w:cs="Arial" w:eastAsia="Arial" w:hAnsi="Arial"/>
                <w:sz w:val="18"/>
                <w:szCs w:val="18"/>
                <w:color w:val="auto"/>
                <w:w w:val="98"/>
              </w:rPr>
              <w:t>Minimum Cash (Section 6.7(b) Borrower, Zafgen Australia and</w:t>
            </w:r>
          </w:p>
        </w:tc>
        <w:tc>
          <w:tcPr>
            <w:tcW w:w="4440" w:type="dxa"/>
            <w:vAlign w:val="bottom"/>
            <w:gridSpan w:val="2"/>
          </w:tcPr>
          <w:p>
            <w:pPr>
              <w:spacing w:after="0"/>
              <w:rPr>
                <w:sz w:val="20"/>
                <w:szCs w:val="20"/>
                <w:color w:val="auto"/>
              </w:rPr>
            </w:pPr>
            <w:r>
              <w:rPr>
                <w:rFonts w:ascii="Arial" w:cs="Arial" w:eastAsia="Arial" w:hAnsi="Arial"/>
                <w:sz w:val="18"/>
                <w:szCs w:val="18"/>
                <w:color w:val="auto"/>
              </w:rPr>
              <w:t>$55,000,000</w:t>
            </w:r>
          </w:p>
        </w:tc>
        <w:tc>
          <w:tcPr>
            <w:tcW w:w="1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87"/>
              </w:rPr>
              <w:t>$_________</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center"/>
              <w:ind w:right="116"/>
              <w:spacing w:after="0"/>
              <w:rPr>
                <w:sz w:val="20"/>
                <w:szCs w:val="20"/>
                <w:color w:val="auto"/>
              </w:rPr>
            </w:pPr>
            <w:r>
              <w:rPr>
                <w:rFonts w:ascii="Arial" w:cs="Arial" w:eastAsia="Arial" w:hAnsi="Arial"/>
                <w:sz w:val="18"/>
                <w:szCs w:val="18"/>
                <w:color w:val="auto"/>
                <w:w w:val="83"/>
              </w:rPr>
              <w:t>Yes</w:t>
            </w:r>
          </w:p>
        </w:tc>
        <w:tc>
          <w:tcPr>
            <w:tcW w:w="360" w:type="dxa"/>
            <w:vAlign w:val="bottom"/>
          </w:tcPr>
          <w:p>
            <w:pPr>
              <w:ind w:left="20"/>
              <w:spacing w:after="0"/>
              <w:rPr>
                <w:sz w:val="20"/>
                <w:szCs w:val="20"/>
                <w:color w:val="auto"/>
              </w:rPr>
            </w:pPr>
            <w:r>
              <w:rPr>
                <w:rFonts w:ascii="Arial" w:cs="Arial" w:eastAsia="Arial" w:hAnsi="Arial"/>
                <w:sz w:val="18"/>
                <w:szCs w:val="18"/>
                <w:color w:val="auto"/>
              </w:rPr>
              <w:t>No</w:t>
            </w:r>
          </w:p>
        </w:tc>
      </w:t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Zafgen Securities)</w:t>
            </w:r>
          </w:p>
        </w:tc>
        <w:tc>
          <w:tcPr>
            <w:tcW w:w="2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5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0160" w:type="dxa"/>
            <w:vAlign w:val="bottom"/>
          </w:tcPr>
          <w:p>
            <w:pPr>
              <w:spacing w:after="0"/>
              <w:rPr>
                <w:sz w:val="20"/>
                <w:szCs w:val="20"/>
                <w:color w:val="auto"/>
              </w:rPr>
            </w:pPr>
            <w:r>
              <w:rPr>
                <w:rFonts w:ascii="Arial" w:cs="Arial" w:eastAsia="Arial" w:hAnsi="Arial"/>
                <w:sz w:val="18"/>
                <w:szCs w:val="18"/>
                <w:color w:val="auto"/>
                <w:w w:val="92"/>
              </w:rPr>
              <w:t>Have there been any amendments of or other changes to the capitalization table of Borrower and to the Operating Documents of Borrower</w:t>
            </w:r>
          </w:p>
        </w:tc>
        <w:tc>
          <w:tcPr>
            <w:tcW w:w="740" w:type="dxa"/>
            <w:vAlign w:val="bottom"/>
          </w:tcPr>
          <w:p>
            <w:pPr>
              <w:ind w:left="200"/>
              <w:spacing w:after="0"/>
              <w:rPr>
                <w:sz w:val="20"/>
                <w:szCs w:val="20"/>
                <w:color w:val="auto"/>
              </w:rPr>
            </w:pPr>
            <w:r>
              <w:rPr>
                <w:rFonts w:ascii="Arial" w:cs="Arial" w:eastAsia="Arial" w:hAnsi="Arial"/>
                <w:sz w:val="18"/>
                <w:szCs w:val="18"/>
                <w:color w:val="auto"/>
              </w:rPr>
              <w:t>Yes</w:t>
            </w:r>
          </w:p>
        </w:tc>
        <w:tc>
          <w:tcPr>
            <w:tcW w:w="520" w:type="dxa"/>
            <w:vAlign w:val="bottom"/>
          </w:tcPr>
          <w:p>
            <w:pPr>
              <w:ind w:left="300"/>
              <w:spacing w:after="0"/>
              <w:rPr>
                <w:sz w:val="20"/>
                <w:szCs w:val="20"/>
                <w:color w:val="auto"/>
              </w:rPr>
            </w:pPr>
            <w:r>
              <w:rPr>
                <w:rFonts w:ascii="Arial" w:cs="Arial" w:eastAsia="Arial" w:hAnsi="Arial"/>
                <w:sz w:val="18"/>
                <w:szCs w:val="18"/>
                <w:color w:val="auto"/>
                <w:w w:val="86"/>
              </w:rPr>
              <w:t>No</w:t>
            </w:r>
          </w:p>
        </w:tc>
      </w:tr>
      <w:tr>
        <w:trPr>
          <w:trHeight w:val="230"/>
        </w:trPr>
        <w:tc>
          <w:tcPr>
            <w:tcW w:w="10160" w:type="dxa"/>
            <w:vAlign w:val="bottom"/>
          </w:tcPr>
          <w:p>
            <w:pPr>
              <w:spacing w:after="0"/>
              <w:rPr>
                <w:sz w:val="20"/>
                <w:szCs w:val="20"/>
                <w:color w:val="auto"/>
              </w:rPr>
            </w:pPr>
            <w:r>
              <w:rPr>
                <w:rFonts w:ascii="Arial" w:cs="Arial" w:eastAsia="Arial" w:hAnsi="Arial"/>
                <w:sz w:val="18"/>
                <w:szCs w:val="18"/>
                <w:color w:val="auto"/>
              </w:rPr>
              <w:t>or any of its Subsidiaries? If yes, provide copies of any such amendments or changes with this Compliance Certificate.</w:t>
            </w: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10160" w:type="dxa"/>
            <w:vAlign w:val="bottom"/>
          </w:tcPr>
          <w:p>
            <w:pPr>
              <w:ind w:left="460"/>
              <w:spacing w:after="0"/>
              <w:rPr>
                <w:sz w:val="20"/>
                <w:szCs w:val="20"/>
                <w:color w:val="auto"/>
              </w:rPr>
            </w:pPr>
            <w:r>
              <w:rPr>
                <w:rFonts w:ascii="Arial" w:cs="Arial" w:eastAsia="Arial" w:hAnsi="Arial"/>
                <w:sz w:val="18"/>
                <w:szCs w:val="18"/>
                <w:color w:val="auto"/>
                <w:w w:val="97"/>
              </w:rPr>
              <w:t>The following are the exceptions with respect to the certification above: (If no exceptions exist, state “No exceptions to note.”)</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7"/>
        </w:trPr>
        <w:tc>
          <w:tcPr>
            <w:tcW w:w="10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r>
      <w:tr>
        <w:trPr>
          <w:trHeight w:val="291"/>
        </w:trPr>
        <w:tc>
          <w:tcPr>
            <w:tcW w:w="10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40" w:type="dxa"/>
            <w:vAlign w:val="bottom"/>
            <w:gridSpan w:val="5"/>
          </w:tcPr>
          <w:p>
            <w:pPr>
              <w:spacing w:after="0"/>
              <w:rPr>
                <w:sz w:val="20"/>
                <w:szCs w:val="20"/>
                <w:color w:val="auto"/>
              </w:rPr>
            </w:pPr>
            <w:r>
              <w:rPr>
                <w:rFonts w:ascii="Arial" w:cs="Arial" w:eastAsia="Arial" w:hAnsi="Arial"/>
                <w:sz w:val="18"/>
                <w:szCs w:val="18"/>
                <w:color w:val="auto"/>
              </w:rPr>
              <w:t>ZAFGEN, INC.</w:t>
            </w:r>
          </w:p>
        </w:tc>
        <w:tc>
          <w:tcPr>
            <w:tcW w:w="4180" w:type="dxa"/>
            <w:vAlign w:val="bottom"/>
            <w:gridSpan w:val="5"/>
          </w:tcPr>
          <w:p>
            <w:pPr>
              <w:ind w:left="1600"/>
              <w:spacing w:after="0"/>
              <w:rPr>
                <w:sz w:val="20"/>
                <w:szCs w:val="20"/>
                <w:color w:val="auto"/>
              </w:rPr>
            </w:pPr>
            <w:r>
              <w:rPr>
                <w:rFonts w:ascii="Arial" w:cs="Arial" w:eastAsia="Arial" w:hAnsi="Arial"/>
                <w:sz w:val="18"/>
                <w:szCs w:val="18"/>
                <w:b w:val="1"/>
                <w:bCs w:val="1"/>
                <w:color w:val="auto"/>
              </w:rPr>
              <w:t>BANK USE ONLY</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4"/>
          </w:tcPr>
          <w:p>
            <w:pPr>
              <w:ind w:left="1600"/>
              <w:spacing w:after="0"/>
              <w:rPr>
                <w:sz w:val="20"/>
                <w:szCs w:val="20"/>
                <w:color w:val="auto"/>
              </w:rPr>
            </w:pPr>
            <w:r>
              <w:rPr>
                <w:rFonts w:ascii="Arial" w:cs="Arial" w:eastAsia="Arial" w:hAnsi="Arial"/>
                <w:sz w:val="18"/>
                <w:szCs w:val="18"/>
                <w:color w:val="auto"/>
              </w:rPr>
              <w:t>Received by:</w:t>
            </w:r>
          </w:p>
        </w:tc>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4"/>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160" w:type="dxa"/>
            <w:vAlign w:val="bottom"/>
            <w:tcBorders>
              <w:top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rPr>
              <w:t>AUTHORIZED SIGNER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gridSpan w:val="3"/>
          </w:tcPr>
          <w:p>
            <w:pPr>
              <w:spacing w:after="0" w:line="196" w:lineRule="exact"/>
              <w:rPr>
                <w:sz w:val="20"/>
                <w:szCs w:val="20"/>
                <w:color w:val="auto"/>
              </w:rPr>
            </w:pPr>
            <w:r>
              <w:rPr>
                <w:rFonts w:ascii="Arial" w:cs="Arial" w:eastAsia="Arial" w:hAnsi="Arial"/>
                <w:sz w:val="18"/>
                <w:szCs w:val="18"/>
                <w:color w:val="auto"/>
                <w:w w:val="98"/>
              </w:rPr>
              <w:t>Name:</w:t>
            </w:r>
          </w:p>
        </w:tc>
        <w:tc>
          <w:tcPr>
            <w:tcW w:w="4500" w:type="dxa"/>
            <w:vAlign w:val="bottom"/>
            <w:tcBorders>
              <w:bottom w:val="single" w:sz="8" w:color="auto"/>
            </w:tcBorders>
            <w:gridSpan w:val="2"/>
          </w:tcPr>
          <w:p>
            <w:pPr>
              <w:spacing w:after="0"/>
              <w:rPr>
                <w:sz w:val="17"/>
                <w:szCs w:val="17"/>
                <w:color w:val="auto"/>
              </w:rPr>
            </w:pPr>
          </w:p>
        </w:tc>
        <w:tc>
          <w:tcPr>
            <w:tcW w:w="2040" w:type="dxa"/>
            <w:vAlign w:val="bottom"/>
          </w:tcPr>
          <w:p>
            <w:pPr>
              <w:ind w:left="1600"/>
              <w:spacing w:after="0" w:line="196" w:lineRule="exact"/>
              <w:rPr>
                <w:sz w:val="20"/>
                <w:szCs w:val="20"/>
                <w:color w:val="auto"/>
              </w:rPr>
            </w:pPr>
            <w:r>
              <w:rPr>
                <w:rFonts w:ascii="Arial" w:cs="Arial" w:eastAsia="Arial" w:hAnsi="Arial"/>
                <w:sz w:val="18"/>
                <w:szCs w:val="18"/>
                <w:color w:val="auto"/>
                <w:w w:val="97"/>
              </w:rPr>
              <w:t>Date:</w:t>
            </w:r>
          </w:p>
        </w:tc>
        <w:tc>
          <w:tcPr>
            <w:tcW w:w="980" w:type="dxa"/>
            <w:vAlign w:val="bottom"/>
            <w:tcBorders>
              <w:bottom w:val="single" w:sz="8" w:color="auto"/>
            </w:tcBorders>
            <w:gridSpan w:val="3"/>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gridSpan w:val="5"/>
          </w:tcPr>
          <w:p>
            <w:pPr>
              <w:spacing w:after="0" w:line="196" w:lineRule="exact"/>
              <w:rPr>
                <w:sz w:val="20"/>
                <w:szCs w:val="20"/>
                <w:color w:val="auto"/>
              </w:rPr>
            </w:pPr>
            <w:r>
              <w:rPr>
                <w:rFonts w:ascii="Arial" w:cs="Arial" w:eastAsia="Arial" w:hAnsi="Arial"/>
                <w:sz w:val="18"/>
                <w:szCs w:val="18"/>
                <w:color w:val="auto"/>
              </w:rPr>
              <w:t>Title:</w:t>
            </w:r>
          </w:p>
        </w:tc>
        <w:tc>
          <w:tcPr>
            <w:tcW w:w="2280" w:type="dxa"/>
            <w:vAlign w:val="bottom"/>
            <w:gridSpan w:val="2"/>
            <w:vMerge w:val="restart"/>
          </w:tcPr>
          <w:p>
            <w:pPr>
              <w:ind w:left="1600"/>
              <w:spacing w:after="0"/>
              <w:rPr>
                <w:sz w:val="20"/>
                <w:szCs w:val="20"/>
                <w:color w:val="auto"/>
              </w:rPr>
            </w:pPr>
            <w:r>
              <w:rPr>
                <w:rFonts w:ascii="Arial" w:cs="Arial" w:eastAsia="Arial" w:hAnsi="Arial"/>
                <w:sz w:val="18"/>
                <w:szCs w:val="18"/>
                <w:color w:val="auto"/>
                <w:w w:val="99"/>
              </w:rPr>
              <w:t>Verified:</w:t>
            </w:r>
          </w:p>
        </w:tc>
        <w:tc>
          <w:tcPr>
            <w:tcW w:w="740" w:type="dxa"/>
            <w:vAlign w:val="bottom"/>
            <w:gridSpan w:val="2"/>
            <w:vMerge w:val="restart"/>
          </w:tcPr>
          <w:p>
            <w:pPr>
              <w:spacing w:after="0"/>
              <w:rPr>
                <w:sz w:val="17"/>
                <w:szCs w:val="17"/>
                <w:color w:val="auto"/>
              </w:rPr>
            </w:pPr>
          </w:p>
        </w:tc>
        <w:tc>
          <w:tcPr>
            <w:tcW w:w="1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2"/>
            <w:vMerge w:val="continue"/>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vMerge w:val="restart"/>
          </w:tcPr>
          <w:p>
            <w:pPr>
              <w:ind w:left="1600"/>
              <w:spacing w:after="0"/>
              <w:rPr>
                <w:sz w:val="20"/>
                <w:szCs w:val="20"/>
                <w:color w:val="auto"/>
              </w:rPr>
            </w:pPr>
            <w:r>
              <w:rPr>
                <w:rFonts w:ascii="Arial" w:cs="Arial" w:eastAsia="Arial" w:hAnsi="Arial"/>
                <w:sz w:val="18"/>
                <w:szCs w:val="18"/>
                <w:color w:val="auto"/>
                <w:w w:val="97"/>
              </w:rPr>
              <w:t>Date:</w:t>
            </w:r>
          </w:p>
        </w:tc>
        <w:tc>
          <w:tcPr>
            <w:tcW w:w="980" w:type="dxa"/>
            <w:vAlign w:val="bottom"/>
            <w:gridSpan w:val="3"/>
            <w:vMerge w:val="restart"/>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AUTHORIZED SIGNER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4"/>
          </w:tcPr>
          <w:p>
            <w:pPr>
              <w:ind w:left="1600"/>
              <w:spacing w:after="0"/>
              <w:rPr>
                <w:sz w:val="20"/>
                <w:szCs w:val="20"/>
                <w:color w:val="auto"/>
              </w:rPr>
            </w:pPr>
            <w:r>
              <w:rPr>
                <w:rFonts w:ascii="Arial" w:cs="Arial" w:eastAsia="Arial" w:hAnsi="Arial"/>
                <w:sz w:val="18"/>
                <w:szCs w:val="18"/>
                <w:color w:val="auto"/>
                <w:w w:val="89"/>
              </w:rPr>
              <w:t>Compliance Status:</w:t>
            </w:r>
          </w:p>
        </w:tc>
        <w:tc>
          <w:tcPr>
            <w:tcW w:w="1160" w:type="dxa"/>
            <w:vAlign w:val="bottom"/>
          </w:tcPr>
          <w:p>
            <w:pPr>
              <w:ind w:left="560"/>
              <w:spacing w:after="0"/>
              <w:rPr>
                <w:sz w:val="20"/>
                <w:szCs w:val="20"/>
                <w:color w:val="auto"/>
              </w:rPr>
            </w:pPr>
            <w:r>
              <w:rPr>
                <w:rFonts w:ascii="Arial" w:cs="Arial" w:eastAsia="Arial" w:hAnsi="Arial"/>
                <w:sz w:val="18"/>
                <w:szCs w:val="18"/>
                <w:color w:val="auto"/>
              </w:rPr>
              <w:t>Yes</w:t>
            </w:r>
          </w:p>
        </w:tc>
        <w:tc>
          <w:tcPr>
            <w:tcW w:w="2000" w:type="dxa"/>
            <w:vAlign w:val="bottom"/>
          </w:tcPr>
          <w:p>
            <w:pPr>
              <w:ind w:left="340"/>
              <w:spacing w:after="0"/>
              <w:rPr>
                <w:sz w:val="20"/>
                <w:szCs w:val="20"/>
                <w:color w:val="auto"/>
              </w:rPr>
            </w:pPr>
            <w:r>
              <w:rPr>
                <w:rFonts w:ascii="Arial" w:cs="Arial" w:eastAsia="Arial" w:hAnsi="Arial"/>
                <w:sz w:val="18"/>
                <w:szCs w:val="18"/>
                <w:color w:val="auto"/>
              </w:rPr>
              <w:t>No</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ind w:left="6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 – LOAN PAYMENT/ADVANCE REQUEST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SAME DAY PROCESSING IS NOON PACIFIC TIME*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7"/>
          </w:tcPr>
          <w:p>
            <w:pPr>
              <w:spacing w:after="0"/>
              <w:rPr>
                <w:sz w:val="20"/>
                <w:szCs w:val="20"/>
                <w:color w:val="auto"/>
              </w:rPr>
            </w:pPr>
            <w:r>
              <w:rPr>
                <w:rFonts w:ascii="Arial" w:cs="Arial" w:eastAsia="Arial" w:hAnsi="Arial"/>
                <w:sz w:val="18"/>
                <w:szCs w:val="18"/>
                <w:color w:val="auto"/>
              </w:rPr>
              <w:t>Fax To:</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20" w:type="dxa"/>
            <w:vAlign w:val="bottom"/>
            <w:gridSpan w:val="3"/>
          </w:tcPr>
          <w:p>
            <w:pPr>
              <w:ind w:left="1100"/>
              <w:spacing w:after="0"/>
              <w:rPr>
                <w:sz w:val="20"/>
                <w:szCs w:val="20"/>
                <w:color w:val="auto"/>
              </w:rPr>
            </w:pPr>
            <w:r>
              <w:rPr>
                <w:rFonts w:ascii="Arial" w:cs="Arial" w:eastAsia="Arial" w:hAnsi="Arial"/>
                <w:sz w:val="18"/>
                <w:szCs w:val="18"/>
                <w:color w:val="auto"/>
                <w:w w:val="89"/>
              </w:rPr>
              <w:t>Date: _____________________</w:t>
            </w:r>
          </w:p>
        </w:tc>
        <w:tc>
          <w:tcPr>
            <w:tcW w:w="0" w:type="dxa"/>
            <w:vAlign w:val="bottom"/>
          </w:tcPr>
          <w:p>
            <w:pPr>
              <w:spacing w:after="0"/>
              <w:rPr>
                <w:sz w:val="1"/>
                <w:szCs w:val="1"/>
                <w:color w:val="auto"/>
              </w:rPr>
            </w:pPr>
          </w:p>
        </w:tc>
      </w:tr>
      <w:tr>
        <w:trPr>
          <w:trHeight w:val="459"/>
        </w:trPr>
        <w:tc>
          <w:tcPr>
            <w:tcW w:w="5200" w:type="dxa"/>
            <w:vAlign w:val="bottom"/>
            <w:gridSpan w:val="7"/>
          </w:tcPr>
          <w:p>
            <w:pPr>
              <w:spacing w:after="0"/>
              <w:rPr>
                <w:sz w:val="20"/>
                <w:szCs w:val="20"/>
                <w:color w:val="auto"/>
              </w:rPr>
            </w:pPr>
            <w:r>
              <w:rPr>
                <w:rFonts w:ascii="Arial" w:cs="Arial" w:eastAsia="Arial" w:hAnsi="Arial"/>
                <w:sz w:val="18"/>
                <w:szCs w:val="18"/>
                <w:b w:val="1"/>
                <w:bCs w:val="1"/>
                <w:color w:val="auto"/>
              </w:rPr>
              <w:t>LOAN PAYMENT:</w:t>
            </w:r>
          </w:p>
        </w:tc>
        <w:tc>
          <w:tcPr>
            <w:tcW w:w="100" w:type="dxa"/>
            <w:vAlign w:val="bottom"/>
          </w:tcPr>
          <w:p>
            <w:pPr>
              <w:spacing w:after="0"/>
              <w:rPr>
                <w:sz w:val="24"/>
                <w:szCs w:val="24"/>
                <w:color w:val="auto"/>
              </w:rPr>
            </w:pPr>
          </w:p>
        </w:tc>
        <w:tc>
          <w:tcPr>
            <w:tcW w:w="6120" w:type="dxa"/>
            <w:vAlign w:val="bottom"/>
            <w:gridSpan w:val="6"/>
            <w:vMerge w:val="restart"/>
          </w:tcPr>
          <w:p>
            <w:pPr>
              <w:ind w:left="1100"/>
              <w:spacing w:after="0"/>
              <w:rPr>
                <w:sz w:val="20"/>
                <w:szCs w:val="20"/>
                <w:color w:val="auto"/>
              </w:rPr>
            </w:pPr>
            <w:r>
              <w:rPr>
                <w:rFonts w:ascii="Arial" w:cs="Arial" w:eastAsia="Arial" w:hAnsi="Arial"/>
                <w:sz w:val="18"/>
                <w:szCs w:val="18"/>
                <w:color w:val="auto"/>
              </w:rPr>
              <w:t>ZAFGEN, INC.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40" w:type="dxa"/>
            <w:vAlign w:val="bottom"/>
            <w:gridSpan w:val="2"/>
          </w:tcPr>
          <w:p>
            <w:pPr>
              <w:spacing w:after="0"/>
              <w:rPr>
                <w:sz w:val="20"/>
                <w:szCs w:val="20"/>
                <w:color w:val="auto"/>
              </w:rPr>
            </w:pPr>
            <w:r>
              <w:rPr>
                <w:rFonts w:ascii="Arial" w:cs="Arial" w:eastAsia="Arial" w:hAnsi="Arial"/>
                <w:sz w:val="18"/>
                <w:szCs w:val="18"/>
                <w:color w:val="auto"/>
                <w:w w:val="95"/>
              </w:rPr>
              <w:t>From Account #</w:t>
            </w:r>
          </w:p>
        </w:tc>
        <w:tc>
          <w:tcPr>
            <w:tcW w:w="3960" w:type="dxa"/>
            <w:vAlign w:val="bottom"/>
            <w:tcBorders>
              <w:bottom w:val="single" w:sz="8" w:color="auto"/>
            </w:tcBorders>
            <w:gridSpan w:val="5"/>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ind w:left="1460"/>
              <w:spacing w:after="0"/>
              <w:rPr>
                <w:sz w:val="20"/>
                <w:szCs w:val="20"/>
                <w:color w:val="auto"/>
              </w:rPr>
            </w:pPr>
            <w:r>
              <w:rPr>
                <w:rFonts w:ascii="Arial" w:cs="Arial" w:eastAsia="Arial" w:hAnsi="Arial"/>
                <w:sz w:val="18"/>
                <w:szCs w:val="18"/>
                <w:color w:val="auto"/>
                <w:w w:val="96"/>
              </w:rPr>
              <w:t>To Account #</w:t>
            </w:r>
          </w:p>
        </w:tc>
        <w:tc>
          <w:tcPr>
            <w:tcW w:w="3460" w:type="dxa"/>
            <w:vAlign w:val="bottom"/>
            <w:tcBorders>
              <w:bottom w:val="single" w:sz="8" w:color="auto"/>
            </w:tcBorders>
            <w:gridSpan w:val="4"/>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gridSpan w:val="3"/>
          </w:tcPr>
          <w:p>
            <w:pPr>
              <w:ind w:left="160"/>
              <w:spacing w:after="0"/>
              <w:rPr>
                <w:sz w:val="20"/>
                <w:szCs w:val="20"/>
                <w:color w:val="auto"/>
              </w:rPr>
            </w:pPr>
            <w:r>
              <w:rPr>
                <w:rFonts w:ascii="Arial" w:cs="Arial" w:eastAsia="Arial" w:hAnsi="Arial"/>
                <w:sz w:val="18"/>
                <w:szCs w:val="18"/>
                <w:color w:val="auto"/>
              </w:rPr>
              <w:t>(Deposit Account #)</w:t>
            </w: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20" w:type="dxa"/>
            <w:vAlign w:val="bottom"/>
            <w:gridSpan w:val="3"/>
          </w:tcPr>
          <w:p>
            <w:pPr>
              <w:ind w:left="920"/>
              <w:spacing w:after="0"/>
              <w:rPr>
                <w:sz w:val="20"/>
                <w:szCs w:val="20"/>
                <w:color w:val="auto"/>
              </w:rPr>
            </w:pPr>
            <w:r>
              <w:rPr>
                <w:rFonts w:ascii="Arial" w:cs="Arial" w:eastAsia="Arial" w:hAnsi="Arial"/>
                <w:sz w:val="18"/>
                <w:szCs w:val="18"/>
                <w:color w:val="auto"/>
              </w:rPr>
              <w:t>(Loan Account #)</w:t>
            </w:r>
          </w:p>
        </w:tc>
        <w:tc>
          <w:tcPr>
            <w:tcW w:w="0" w:type="dxa"/>
            <w:vAlign w:val="bottom"/>
          </w:tcPr>
          <w:p>
            <w:pPr>
              <w:spacing w:after="0"/>
              <w:rPr>
                <w:sz w:val="1"/>
                <w:szCs w:val="1"/>
                <w:color w:val="auto"/>
              </w:rPr>
            </w:pPr>
          </w:p>
        </w:tc>
      </w:tr>
      <w:tr>
        <w:trPr>
          <w:trHeight w:val="190"/>
        </w:trPr>
        <w:tc>
          <w:tcPr>
            <w:tcW w:w="840" w:type="dxa"/>
            <w:vAlign w:val="bottom"/>
          </w:tcPr>
          <w:p>
            <w:pPr>
              <w:spacing w:after="0" w:line="190" w:lineRule="exact"/>
              <w:rPr>
                <w:sz w:val="20"/>
                <w:szCs w:val="20"/>
                <w:color w:val="auto"/>
              </w:rPr>
            </w:pPr>
            <w:r>
              <w:rPr>
                <w:rFonts w:ascii="Arial" w:cs="Arial" w:eastAsia="Arial" w:hAnsi="Arial"/>
                <w:sz w:val="18"/>
                <w:szCs w:val="18"/>
                <w:color w:val="auto"/>
                <w:w w:val="97"/>
              </w:rPr>
              <w:t>Principal $</w:t>
            </w:r>
          </w:p>
        </w:tc>
        <w:tc>
          <w:tcPr>
            <w:tcW w:w="4360" w:type="dxa"/>
            <w:vAlign w:val="bottom"/>
            <w:tcBorders>
              <w:bottom w:val="single" w:sz="8" w:color="auto"/>
            </w:tcBorders>
            <w:gridSpan w:val="6"/>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gridSpan w:val="3"/>
          </w:tcPr>
          <w:p>
            <w:pPr>
              <w:ind w:left="1460"/>
              <w:spacing w:after="0" w:line="190" w:lineRule="exact"/>
              <w:rPr>
                <w:sz w:val="20"/>
                <w:szCs w:val="20"/>
                <w:color w:val="auto"/>
              </w:rPr>
            </w:pPr>
            <w:r>
              <w:rPr>
                <w:rFonts w:ascii="Arial" w:cs="Arial" w:eastAsia="Arial" w:hAnsi="Arial"/>
                <w:sz w:val="18"/>
                <w:szCs w:val="18"/>
                <w:color w:val="auto"/>
                <w:w w:val="93"/>
              </w:rPr>
              <w:t>and/or Interest $</w:t>
            </w:r>
          </w:p>
        </w:tc>
        <w:tc>
          <w:tcPr>
            <w:tcW w:w="3240" w:type="dxa"/>
            <w:vAlign w:val="bottom"/>
            <w:tcBorders>
              <w:bottom w:val="single" w:sz="8" w:color="auto"/>
            </w:tcBorders>
          </w:tcPr>
          <w:p>
            <w:pPr>
              <w:spacing w:after="0"/>
              <w:rPr>
                <w:sz w:val="16"/>
                <w:szCs w:val="16"/>
                <w:color w:val="auto"/>
              </w:rPr>
            </w:pP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640" w:type="dxa"/>
            <w:vAlign w:val="bottom"/>
            <w:gridSpan w:val="4"/>
          </w:tcPr>
          <w:p>
            <w:pPr>
              <w:spacing w:after="0"/>
              <w:rPr>
                <w:sz w:val="20"/>
                <w:szCs w:val="20"/>
                <w:color w:val="auto"/>
              </w:rPr>
            </w:pPr>
            <w:r>
              <w:rPr>
                <w:rFonts w:ascii="Arial" w:cs="Arial" w:eastAsia="Arial" w:hAnsi="Arial"/>
                <w:sz w:val="18"/>
                <w:szCs w:val="18"/>
                <w:color w:val="auto"/>
                <w:w w:val="93"/>
              </w:rPr>
              <w:t>Authorized Signature:</w:t>
            </w:r>
          </w:p>
        </w:tc>
        <w:tc>
          <w:tcPr>
            <w:tcW w:w="3420" w:type="dxa"/>
            <w:vAlign w:val="bottom"/>
            <w:tcBorders>
              <w:bottom w:val="single" w:sz="8" w:color="auto"/>
            </w:tcBorders>
          </w:tcPr>
          <w:p>
            <w:pPr>
              <w:spacing w:after="0"/>
              <w:rPr>
                <w:sz w:val="24"/>
                <w:szCs w:val="24"/>
                <w:color w:val="auto"/>
              </w:rPr>
            </w:pPr>
          </w:p>
        </w:tc>
        <w:tc>
          <w:tcPr>
            <w:tcW w:w="1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2"/>
          </w:tcPr>
          <w:p>
            <w:pPr>
              <w:ind w:left="1460"/>
              <w:spacing w:after="0"/>
              <w:rPr>
                <w:sz w:val="20"/>
                <w:szCs w:val="20"/>
                <w:color w:val="auto"/>
              </w:rPr>
            </w:pPr>
            <w:r>
              <w:rPr>
                <w:rFonts w:ascii="Arial" w:cs="Arial" w:eastAsia="Arial" w:hAnsi="Arial"/>
                <w:sz w:val="18"/>
                <w:szCs w:val="18"/>
                <w:color w:val="auto"/>
                <w:w w:val="91"/>
              </w:rPr>
              <w:t>Phone Number:</w:t>
            </w:r>
          </w:p>
        </w:tc>
        <w:tc>
          <w:tcPr>
            <w:tcW w:w="3300" w:type="dxa"/>
            <w:vAlign w:val="bottom"/>
            <w:tcBorders>
              <w:bottom w:val="single" w:sz="8" w:color="auto"/>
            </w:tcBorders>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20" w:type="dxa"/>
            <w:vAlign w:val="bottom"/>
            <w:gridSpan w:val="3"/>
          </w:tcPr>
          <w:p>
            <w:pPr>
              <w:spacing w:after="0" w:line="196" w:lineRule="exact"/>
              <w:rPr>
                <w:sz w:val="20"/>
                <w:szCs w:val="20"/>
                <w:color w:val="auto"/>
              </w:rPr>
            </w:pPr>
            <w:r>
              <w:rPr>
                <w:rFonts w:ascii="Arial" w:cs="Arial" w:eastAsia="Arial" w:hAnsi="Arial"/>
                <w:sz w:val="18"/>
                <w:szCs w:val="18"/>
                <w:color w:val="auto"/>
                <w:w w:val="96"/>
              </w:rPr>
              <w:t>Print Name/Title:</w:t>
            </w:r>
          </w:p>
        </w:tc>
        <w:tc>
          <w:tcPr>
            <w:tcW w:w="3860" w:type="dxa"/>
            <w:vAlign w:val="bottom"/>
            <w:tcBorders>
              <w:bottom w:val="single" w:sz="8" w:color="auto"/>
            </w:tcBorders>
            <w:gridSpan w:val="3"/>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ADVANCE: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4"/>
          </w:tcPr>
          <w:p>
            <w:pPr>
              <w:spacing w:after="0"/>
              <w:rPr>
                <w:sz w:val="20"/>
                <w:szCs w:val="20"/>
                <w:color w:val="auto"/>
              </w:rPr>
            </w:pPr>
            <w:r>
              <w:rPr>
                <w:rFonts w:ascii="Arial" w:cs="Arial" w:eastAsia="Arial" w:hAnsi="Arial"/>
                <w:sz w:val="18"/>
                <w:szCs w:val="18"/>
                <w:color w:val="auto"/>
              </w:rPr>
              <w:t>From Account #</w:t>
            </w:r>
          </w:p>
        </w:tc>
        <w:tc>
          <w:tcPr>
            <w:tcW w:w="6060" w:type="dxa"/>
            <w:vAlign w:val="bottom"/>
            <w:gridSpan w:val="2"/>
          </w:tcPr>
          <w:p>
            <w:pPr>
              <w:ind w:left="1560"/>
              <w:spacing w:after="0"/>
              <w:rPr>
                <w:sz w:val="20"/>
                <w:szCs w:val="20"/>
                <w:color w:val="auto"/>
              </w:rPr>
            </w:pPr>
            <w:r>
              <w:rPr>
                <w:rFonts w:ascii="Arial" w:cs="Arial" w:eastAsia="Arial" w:hAnsi="Arial"/>
                <w:sz w:val="18"/>
                <w:szCs w:val="18"/>
                <w:color w:val="auto"/>
              </w:rPr>
              <w:t>To Account #</w:t>
            </w:r>
          </w:p>
        </w:tc>
      </w:tr>
      <w:tr>
        <w:trPr>
          <w:trHeight w:val="237"/>
        </w:trPr>
        <w:tc>
          <w:tcPr>
            <w:tcW w:w="12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(Loan Account #)</w:t>
            </w:r>
          </w:p>
        </w:tc>
        <w:tc>
          <w:tcPr>
            <w:tcW w:w="2600" w:type="dxa"/>
            <w:vAlign w:val="bottom"/>
          </w:tcPr>
          <w:p>
            <w:pPr>
              <w:spacing w:after="0"/>
              <w:rPr>
                <w:sz w:val="20"/>
                <w:szCs w:val="20"/>
                <w:color w:val="auto"/>
              </w:rPr>
            </w:pPr>
          </w:p>
        </w:tc>
        <w:tc>
          <w:tcPr>
            <w:tcW w:w="346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(Deposit Account #)</w:t>
            </w:r>
          </w:p>
        </w:tc>
      </w:tr>
      <w:tr>
        <w:trPr>
          <w:trHeight w:val="284"/>
        </w:trPr>
        <w:tc>
          <w:tcPr>
            <w:tcW w:w="1660" w:type="dxa"/>
            <w:vAlign w:val="bottom"/>
            <w:gridSpan w:val="2"/>
          </w:tcPr>
          <w:p>
            <w:pPr>
              <w:spacing w:after="0"/>
              <w:rPr>
                <w:sz w:val="20"/>
                <w:szCs w:val="20"/>
                <w:color w:val="auto"/>
              </w:rPr>
            </w:pPr>
            <w:r>
              <w:rPr>
                <w:rFonts w:ascii="Arial" w:cs="Arial" w:eastAsia="Arial" w:hAnsi="Arial"/>
                <w:sz w:val="18"/>
                <w:szCs w:val="18"/>
                <w:color w:val="auto"/>
                <w:w w:val="95"/>
              </w:rPr>
              <w:t>Amount of Advance $</w:t>
            </w:r>
          </w:p>
        </w:tc>
        <w:tc>
          <w:tcPr>
            <w:tcW w:w="3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sz w:val="20"/>
                <w:szCs w:val="20"/>
                <w:color w:val="auto"/>
              </w:rPr>
            </w:pPr>
            <w:r>
              <w:rPr>
                <w:rFonts w:ascii="Arial" w:cs="Arial" w:eastAsia="Arial" w:hAnsi="Arial"/>
                <w:sz w:val="18"/>
                <w:szCs w:val="18"/>
                <w:color w:val="auto"/>
                <w:w w:val="93"/>
              </w:rPr>
              <w:t>Authorized Signature:</w:t>
            </w:r>
          </w:p>
        </w:tc>
        <w:tc>
          <w:tcPr>
            <w:tcW w:w="3420" w:type="dxa"/>
            <w:vAlign w:val="bottom"/>
            <w:tcBorders>
              <w:bottom w:val="single" w:sz="8" w:color="auto"/>
            </w:tcBorders>
            <w:gridSpan w:val="3"/>
          </w:tcPr>
          <w:p>
            <w:pPr>
              <w:spacing w:after="0"/>
              <w:rPr>
                <w:sz w:val="17"/>
                <w:szCs w:val="17"/>
                <w:color w:val="auto"/>
              </w:rPr>
            </w:pPr>
          </w:p>
        </w:tc>
        <w:tc>
          <w:tcPr>
            <w:tcW w:w="1580" w:type="dxa"/>
            <w:vAlign w:val="bottom"/>
            <w:gridSpan w:val="6"/>
          </w:tcPr>
          <w:p>
            <w:pPr>
              <w:spacing w:after="0"/>
              <w:rPr>
                <w:sz w:val="17"/>
                <w:szCs w:val="17"/>
                <w:color w:val="auto"/>
              </w:rPr>
            </w:pPr>
          </w:p>
        </w:tc>
        <w:tc>
          <w:tcPr>
            <w:tcW w:w="1660" w:type="dxa"/>
            <w:vAlign w:val="bottom"/>
            <w:gridSpan w:val="4"/>
          </w:tcPr>
          <w:p>
            <w:pPr>
              <w:ind w:left="480"/>
              <w:spacing w:after="0"/>
              <w:rPr>
                <w:sz w:val="20"/>
                <w:szCs w:val="20"/>
                <w:color w:val="auto"/>
              </w:rPr>
            </w:pPr>
            <w:r>
              <w:rPr>
                <w:rFonts w:ascii="Arial" w:cs="Arial" w:eastAsia="Arial" w:hAnsi="Arial"/>
                <w:sz w:val="18"/>
                <w:szCs w:val="18"/>
                <w:color w:val="auto"/>
                <w:w w:val="91"/>
              </w:rPr>
              <w:t>Phone Number:</w:t>
            </w:r>
          </w:p>
        </w:tc>
        <w:tc>
          <w:tcPr>
            <w:tcW w:w="2880" w:type="dxa"/>
            <w:vAlign w:val="bottom"/>
            <w:tcBorders>
              <w:bottom w:val="single" w:sz="8" w:color="auto"/>
            </w:tcBorders>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20" w:type="dxa"/>
            <w:vAlign w:val="bottom"/>
            <w:gridSpan w:val="4"/>
          </w:tcPr>
          <w:p>
            <w:pPr>
              <w:spacing w:after="0"/>
              <w:rPr>
                <w:sz w:val="20"/>
                <w:szCs w:val="20"/>
                <w:color w:val="auto"/>
              </w:rPr>
            </w:pPr>
            <w:r>
              <w:rPr>
                <w:rFonts w:ascii="Arial" w:cs="Arial" w:eastAsia="Arial" w:hAnsi="Arial"/>
                <w:sz w:val="18"/>
                <w:szCs w:val="18"/>
                <w:color w:val="auto"/>
                <w:w w:val="96"/>
              </w:rPr>
              <w:t>Print Name/Title:</w:t>
            </w:r>
          </w:p>
        </w:tc>
        <w:tc>
          <w:tcPr>
            <w:tcW w:w="3860" w:type="dxa"/>
            <w:vAlign w:val="bottom"/>
            <w:tcBorders>
              <w:bottom w:val="single" w:sz="8" w:color="auto"/>
            </w:tcBorders>
            <w:gridSpan w:val="11"/>
          </w:tcPr>
          <w:p>
            <w:pPr>
              <w:spacing w:after="0"/>
              <w:rPr>
                <w:sz w:val="24"/>
                <w:szCs w:val="24"/>
                <w:color w:val="auto"/>
              </w:rPr>
            </w:pPr>
          </w:p>
        </w:tc>
        <w:tc>
          <w:tcPr>
            <w:tcW w:w="1460" w:type="dxa"/>
            <w:vAlign w:val="bottom"/>
            <w:gridSpan w:val="3"/>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6640" w:type="dxa"/>
            <w:vAlign w:val="bottom"/>
            <w:gridSpan w:val="18"/>
          </w:tcPr>
          <w:p>
            <w:pPr>
              <w:spacing w:after="0"/>
              <w:rPr>
                <w:sz w:val="20"/>
                <w:szCs w:val="20"/>
                <w:color w:val="auto"/>
              </w:rPr>
            </w:pPr>
            <w:r>
              <w:rPr>
                <w:rFonts w:ascii="Arial" w:cs="Arial" w:eastAsia="Arial" w:hAnsi="Arial"/>
                <w:sz w:val="18"/>
                <w:szCs w:val="18"/>
                <w:b w:val="1"/>
                <w:bCs w:val="1"/>
                <w:color w:val="auto"/>
              </w:rPr>
              <w:t>OUTGOING WIRE REQUEST:</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6640" w:type="dxa"/>
            <w:vAlign w:val="bottom"/>
            <w:gridSpan w:val="18"/>
          </w:tcPr>
          <w:p>
            <w:pPr>
              <w:spacing w:after="0"/>
              <w:rPr>
                <w:sz w:val="20"/>
                <w:szCs w:val="20"/>
                <w:color w:val="auto"/>
              </w:rPr>
            </w:pPr>
            <w:r>
              <w:rPr>
                <w:rFonts w:ascii="Arial" w:cs="Arial" w:eastAsia="Arial" w:hAnsi="Arial"/>
                <w:sz w:val="18"/>
                <w:szCs w:val="18"/>
                <w:b w:val="1"/>
                <w:bCs w:val="1"/>
                <w:color w:val="auto"/>
                <w:w w:val="91"/>
              </w:rPr>
              <w:t>Complete only if all or a portion of funds from the loan advance above is to be wired.</w:t>
            </w: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640" w:type="dxa"/>
            <w:vAlign w:val="bottom"/>
            <w:gridSpan w:val="18"/>
          </w:tcPr>
          <w:p>
            <w:pPr>
              <w:spacing w:after="0"/>
              <w:rPr>
                <w:sz w:val="20"/>
                <w:szCs w:val="20"/>
                <w:color w:val="auto"/>
              </w:rPr>
            </w:pPr>
            <w:r>
              <w:rPr>
                <w:rFonts w:ascii="Arial" w:cs="Arial" w:eastAsia="Arial" w:hAnsi="Arial"/>
                <w:sz w:val="18"/>
                <w:szCs w:val="18"/>
                <w:color w:val="auto"/>
              </w:rPr>
              <w:t>Deadline for same day processing is noon, Pacific Time</w:t>
            </w: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420" w:type="dxa"/>
            <w:vAlign w:val="bottom"/>
            <w:gridSpan w:val="6"/>
          </w:tcPr>
          <w:p>
            <w:pPr>
              <w:spacing w:after="0"/>
              <w:rPr>
                <w:sz w:val="20"/>
                <w:szCs w:val="20"/>
                <w:color w:val="auto"/>
              </w:rPr>
            </w:pPr>
            <w:r>
              <w:rPr>
                <w:rFonts w:ascii="Arial" w:cs="Arial" w:eastAsia="Arial" w:hAnsi="Arial"/>
                <w:sz w:val="18"/>
                <w:szCs w:val="18"/>
                <w:color w:val="auto"/>
                <w:w w:val="95"/>
              </w:rPr>
              <w:t>Beneficiary Name:</w:t>
            </w:r>
          </w:p>
        </w:tc>
        <w:tc>
          <w:tcPr>
            <w:tcW w:w="3740" w:type="dxa"/>
            <w:vAlign w:val="bottom"/>
            <w:tcBorders>
              <w:bottom w:val="single" w:sz="8" w:color="auto"/>
            </w:tcBorders>
            <w:gridSpan w:val="8"/>
          </w:tcPr>
          <w:p>
            <w:pPr>
              <w:spacing w:after="0"/>
              <w:rPr>
                <w:sz w:val="24"/>
                <w:szCs w:val="24"/>
                <w:color w:val="auto"/>
              </w:rPr>
            </w:pPr>
          </w:p>
        </w:tc>
        <w:tc>
          <w:tcPr>
            <w:tcW w:w="1480" w:type="dxa"/>
            <w:vAlign w:val="bottom"/>
            <w:gridSpan w:val="4"/>
          </w:tcPr>
          <w:p>
            <w:pPr>
              <w:spacing w:after="0"/>
              <w:rPr>
                <w:sz w:val="24"/>
                <w:szCs w:val="24"/>
                <w:color w:val="auto"/>
              </w:rPr>
            </w:pPr>
          </w:p>
        </w:tc>
        <w:tc>
          <w:tcPr>
            <w:tcW w:w="1540" w:type="dxa"/>
            <w:vAlign w:val="bottom"/>
            <w:gridSpan w:val="3"/>
          </w:tcPr>
          <w:p>
            <w:pPr>
              <w:ind w:left="120"/>
              <w:spacing w:after="0"/>
              <w:rPr>
                <w:sz w:val="20"/>
                <w:szCs w:val="20"/>
                <w:color w:val="auto"/>
              </w:rPr>
            </w:pPr>
            <w:r>
              <w:rPr>
                <w:rFonts w:ascii="Arial" w:cs="Arial" w:eastAsia="Arial" w:hAnsi="Arial"/>
                <w:sz w:val="18"/>
                <w:szCs w:val="18"/>
                <w:color w:val="auto"/>
                <w:w w:val="97"/>
              </w:rPr>
              <w:t>Amount of Wire: $</w:t>
            </w:r>
          </w:p>
        </w:tc>
        <w:tc>
          <w:tcPr>
            <w:tcW w:w="3000" w:type="dxa"/>
            <w:vAlign w:val="bottom"/>
            <w:tcBorders>
              <w:bottom w:val="single" w:sz="8" w:color="auto"/>
            </w:tcBorders>
            <w:gridSpan w:val="6"/>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60" w:type="dxa"/>
            <w:vAlign w:val="bottom"/>
            <w:gridSpan w:val="5"/>
          </w:tcPr>
          <w:p>
            <w:pPr>
              <w:spacing w:after="0" w:line="196" w:lineRule="exact"/>
              <w:rPr>
                <w:sz w:val="20"/>
                <w:szCs w:val="20"/>
                <w:color w:val="auto"/>
              </w:rPr>
            </w:pPr>
            <w:r>
              <w:rPr>
                <w:rFonts w:ascii="Arial" w:cs="Arial" w:eastAsia="Arial" w:hAnsi="Arial"/>
                <w:sz w:val="18"/>
                <w:szCs w:val="18"/>
                <w:color w:val="auto"/>
                <w:w w:val="95"/>
              </w:rPr>
              <w:t>Beneficiary Bank:</w:t>
            </w:r>
          </w:p>
        </w:tc>
        <w:tc>
          <w:tcPr>
            <w:tcW w:w="3840" w:type="dxa"/>
            <w:vAlign w:val="bottom"/>
            <w:tcBorders>
              <w:bottom w:val="single" w:sz="8" w:color="auto"/>
            </w:tcBorders>
            <w:gridSpan w:val="11"/>
          </w:tcPr>
          <w:p>
            <w:pPr>
              <w:spacing w:after="0"/>
              <w:rPr>
                <w:sz w:val="17"/>
                <w:szCs w:val="17"/>
                <w:color w:val="auto"/>
              </w:rPr>
            </w:pPr>
          </w:p>
        </w:tc>
        <w:tc>
          <w:tcPr>
            <w:tcW w:w="1440" w:type="dxa"/>
            <w:vAlign w:val="bottom"/>
            <w:gridSpan w:val="2"/>
          </w:tcPr>
          <w:p>
            <w:pPr>
              <w:spacing w:after="0"/>
              <w:rPr>
                <w:sz w:val="17"/>
                <w:szCs w:val="17"/>
                <w:color w:val="auto"/>
              </w:rPr>
            </w:pPr>
          </w:p>
        </w:tc>
        <w:tc>
          <w:tcPr>
            <w:tcW w:w="146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4"/>
              </w:rPr>
              <w:t>Account Number:</w:t>
            </w:r>
          </w:p>
        </w:tc>
        <w:tc>
          <w:tcPr>
            <w:tcW w:w="3080" w:type="dxa"/>
            <w:vAlign w:val="bottom"/>
            <w:tcBorders>
              <w:bottom w:val="single" w:sz="8" w:color="auto"/>
            </w:tcBorders>
            <w:gridSpan w:val="7"/>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1120" w:type="dxa"/>
            <w:vAlign w:val="bottom"/>
            <w:gridSpan w:val="3"/>
          </w:tcPr>
          <w:p>
            <w:pPr>
              <w:spacing w:after="0" w:line="196" w:lineRule="exact"/>
              <w:rPr>
                <w:sz w:val="20"/>
                <w:szCs w:val="20"/>
                <w:color w:val="auto"/>
              </w:rPr>
            </w:pPr>
            <w:r>
              <w:rPr>
                <w:rFonts w:ascii="Arial" w:cs="Arial" w:eastAsia="Arial" w:hAnsi="Arial"/>
                <w:sz w:val="18"/>
                <w:szCs w:val="18"/>
                <w:color w:val="auto"/>
                <w:w w:val="93"/>
              </w:rPr>
              <w:t>City and State:</w:t>
            </w:r>
          </w:p>
        </w:tc>
        <w:tc>
          <w:tcPr>
            <w:tcW w:w="4100" w:type="dxa"/>
            <w:vAlign w:val="bottom"/>
            <w:tcBorders>
              <w:bottom w:val="single" w:sz="8" w:color="auto"/>
            </w:tcBorders>
            <w:gridSpan w:val="14"/>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2600" w:type="dxa"/>
            <w:vAlign w:val="bottom"/>
            <w:gridSpan w:val="10"/>
          </w:tcPr>
          <w:p>
            <w:pPr>
              <w:spacing w:after="0"/>
              <w:rPr>
                <w:sz w:val="20"/>
                <w:szCs w:val="20"/>
                <w:color w:val="auto"/>
              </w:rPr>
            </w:pPr>
            <w:r>
              <w:rPr>
                <w:rFonts w:ascii="Arial" w:cs="Arial" w:eastAsia="Arial" w:hAnsi="Arial"/>
                <w:sz w:val="18"/>
                <w:szCs w:val="18"/>
                <w:color w:val="auto"/>
                <w:w w:val="96"/>
              </w:rPr>
              <w:t>Beneficiary Bank Transit (ABA) #:</w:t>
            </w:r>
          </w:p>
        </w:tc>
        <w:tc>
          <w:tcPr>
            <w:tcW w:w="2240" w:type="dxa"/>
            <w:vAlign w:val="bottom"/>
            <w:tcBorders>
              <w:bottom w:val="single" w:sz="8" w:color="auto"/>
            </w:tcBorders>
          </w:tcPr>
          <w:p>
            <w:pPr>
              <w:spacing w:after="0"/>
              <w:rPr>
                <w:sz w:val="24"/>
                <w:szCs w:val="24"/>
                <w:color w:val="auto"/>
              </w:rPr>
            </w:pPr>
          </w:p>
        </w:tc>
        <w:tc>
          <w:tcPr>
            <w:tcW w:w="1800" w:type="dxa"/>
            <w:vAlign w:val="bottom"/>
            <w:gridSpan w:val="7"/>
          </w:tcPr>
          <w:p>
            <w:pPr>
              <w:spacing w:after="0"/>
              <w:rPr>
                <w:sz w:val="24"/>
                <w:szCs w:val="24"/>
                <w:color w:val="auto"/>
              </w:rPr>
            </w:pPr>
          </w:p>
        </w:tc>
        <w:tc>
          <w:tcPr>
            <w:tcW w:w="3640" w:type="dxa"/>
            <w:vAlign w:val="bottom"/>
            <w:gridSpan w:val="5"/>
          </w:tcPr>
          <w:p>
            <w:pPr>
              <w:ind w:left="120"/>
              <w:spacing w:after="0"/>
              <w:rPr>
                <w:sz w:val="20"/>
                <w:szCs w:val="20"/>
                <w:color w:val="auto"/>
              </w:rPr>
            </w:pPr>
            <w:r>
              <w:rPr>
                <w:rFonts w:ascii="Arial" w:cs="Arial" w:eastAsia="Arial" w:hAnsi="Arial"/>
                <w:sz w:val="18"/>
                <w:szCs w:val="18"/>
                <w:color w:val="auto"/>
                <w:w w:val="93"/>
              </w:rPr>
              <w:t>Beneficiary Bank Code (Swift, Sort, Chip, etc.):</w:t>
            </w:r>
          </w:p>
        </w:tc>
        <w:tc>
          <w:tcPr>
            <w:tcW w:w="460" w:type="dxa"/>
            <w:vAlign w:val="bottom"/>
            <w:tcBorders>
              <w:bottom w:val="single" w:sz="8" w:color="auto"/>
            </w:tcBorders>
            <w:gridSpan w:val="3"/>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540" w:type="dxa"/>
            <w:vAlign w:val="bottom"/>
            <w:gridSpan w:val="9"/>
          </w:tcPr>
          <w:p>
            <w:pPr>
              <w:ind w:left="860"/>
              <w:spacing w:after="0"/>
              <w:rPr>
                <w:sz w:val="20"/>
                <w:szCs w:val="20"/>
                <w:color w:val="auto"/>
              </w:rPr>
            </w:pPr>
            <w:r>
              <w:rPr>
                <w:rFonts w:ascii="Arial" w:cs="Arial" w:eastAsia="Arial" w:hAnsi="Arial"/>
                <w:sz w:val="18"/>
                <w:szCs w:val="18"/>
                <w:b w:val="1"/>
                <w:bCs w:val="1"/>
                <w:color w:val="auto"/>
              </w:rPr>
              <w:t>(For International Wire Only)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4"/>
        </w:trPr>
        <w:tc>
          <w:tcPr>
            <w:tcW w:w="1460" w:type="dxa"/>
            <w:vAlign w:val="bottom"/>
            <w:gridSpan w:val="7"/>
          </w:tcPr>
          <w:p>
            <w:pPr>
              <w:spacing w:after="0"/>
              <w:rPr>
                <w:sz w:val="20"/>
                <w:szCs w:val="20"/>
                <w:color w:val="auto"/>
              </w:rPr>
            </w:pPr>
            <w:r>
              <w:rPr>
                <w:rFonts w:ascii="Arial" w:cs="Arial" w:eastAsia="Arial" w:hAnsi="Arial"/>
                <w:sz w:val="18"/>
                <w:szCs w:val="18"/>
                <w:color w:val="auto"/>
                <w:w w:val="95"/>
              </w:rPr>
              <w:t>Intermediary Bank:</w:t>
            </w:r>
          </w:p>
        </w:tc>
        <w:tc>
          <w:tcPr>
            <w:tcW w:w="3680" w:type="dxa"/>
            <w:vAlign w:val="bottom"/>
            <w:tcBorders>
              <w:bottom w:val="single" w:sz="8" w:color="auto"/>
            </w:tcBorders>
            <w:gridSpan w:val="6"/>
          </w:tcPr>
          <w:p>
            <w:pPr>
              <w:spacing w:after="0"/>
              <w:rPr>
                <w:sz w:val="24"/>
                <w:szCs w:val="24"/>
                <w:color w:val="auto"/>
              </w:rPr>
            </w:pPr>
          </w:p>
        </w:tc>
        <w:tc>
          <w:tcPr>
            <w:tcW w:w="1500" w:type="dxa"/>
            <w:vAlign w:val="bottom"/>
            <w:gridSpan w:val="5"/>
          </w:tcPr>
          <w:p>
            <w:pPr>
              <w:spacing w:after="0"/>
              <w:rPr>
                <w:sz w:val="24"/>
                <w:szCs w:val="24"/>
                <w:color w:val="auto"/>
              </w:rPr>
            </w:pPr>
          </w:p>
        </w:tc>
        <w:tc>
          <w:tcPr>
            <w:tcW w:w="1400" w:type="dxa"/>
            <w:vAlign w:val="bottom"/>
          </w:tcPr>
          <w:p>
            <w:pPr>
              <w:ind w:left="120"/>
              <w:spacing w:after="0"/>
              <w:rPr>
                <w:sz w:val="20"/>
                <w:szCs w:val="20"/>
                <w:color w:val="auto"/>
              </w:rPr>
            </w:pPr>
            <w:r>
              <w:rPr>
                <w:rFonts w:ascii="Arial" w:cs="Arial" w:eastAsia="Arial" w:hAnsi="Arial"/>
                <w:sz w:val="18"/>
                <w:szCs w:val="18"/>
                <w:color w:val="auto"/>
                <w:w w:val="98"/>
              </w:rPr>
              <w:t>Transit (ABA) #:</w:t>
            </w:r>
          </w:p>
        </w:tc>
        <w:tc>
          <w:tcPr>
            <w:tcW w:w="3140" w:type="dxa"/>
            <w:vAlign w:val="bottom"/>
            <w:tcBorders>
              <w:bottom w:val="single" w:sz="8" w:color="auto"/>
            </w:tcBorders>
            <w:gridSpan w:val="8"/>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600" w:type="dxa"/>
            <w:vAlign w:val="bottom"/>
            <w:gridSpan w:val="8"/>
          </w:tcPr>
          <w:p>
            <w:pPr>
              <w:spacing w:after="0"/>
              <w:rPr>
                <w:sz w:val="20"/>
                <w:szCs w:val="20"/>
                <w:color w:val="auto"/>
              </w:rPr>
            </w:pPr>
            <w:r>
              <w:rPr>
                <w:rFonts w:ascii="Arial" w:cs="Arial" w:eastAsia="Arial" w:hAnsi="Arial"/>
                <w:sz w:val="18"/>
                <w:szCs w:val="18"/>
                <w:color w:val="auto"/>
                <w:w w:val="93"/>
              </w:rPr>
              <w:t>For Further Credit to:</w:t>
            </w:r>
          </w:p>
        </w:tc>
        <w:tc>
          <w:tcPr>
            <w:tcW w:w="5040" w:type="dxa"/>
            <w:vAlign w:val="bottom"/>
            <w:tcBorders>
              <w:bottom w:val="single" w:sz="8" w:color="auto"/>
            </w:tcBorders>
            <w:gridSpan w:val="10"/>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5"/>
          </w:tcPr>
          <w:p>
            <w:pPr>
              <w:spacing w:after="0"/>
              <w:rPr>
                <w:sz w:val="17"/>
                <w:szCs w:val="17"/>
                <w:color w:val="auto"/>
              </w:rPr>
            </w:pPr>
          </w:p>
        </w:tc>
        <w:tc>
          <w:tcPr>
            <w:tcW w:w="5180" w:type="dxa"/>
            <w:vAlign w:val="bottom"/>
            <w:gridSpan w:val="11"/>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640" w:type="dxa"/>
            <w:vAlign w:val="bottom"/>
            <w:gridSpan w:val="18"/>
          </w:tcPr>
          <w:p>
            <w:pPr>
              <w:spacing w:after="0"/>
              <w:rPr>
                <w:sz w:val="20"/>
                <w:szCs w:val="20"/>
                <w:color w:val="auto"/>
              </w:rPr>
            </w:pPr>
            <w:r>
              <w:rPr>
                <w:rFonts w:ascii="Arial" w:cs="Arial" w:eastAsia="Arial" w:hAnsi="Arial"/>
                <w:sz w:val="18"/>
                <w:szCs w:val="18"/>
                <w:color w:val="auto"/>
              </w:rPr>
              <w:t>Special Instruction:</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tbl>
      <w:tblPr>
        <w:tblLayout w:type="fixed"/>
        <w:tblInd w:w="0" w:type="dxa"/>
        <w:tblCellMar>
          <w:top w:w="0" w:type="dxa"/>
          <w:left w:w="0" w:type="dxa"/>
          <w:bottom w:w="0" w:type="dxa"/>
          <w:right w:w="0" w:type="dxa"/>
        </w:tblCellMar>
      </w:tblPr>
      <w:tr>
        <w:trPr>
          <w:trHeight w:val="206"/>
        </w:trPr>
        <w:tc>
          <w:tcPr>
            <w:tcW w:w="1640" w:type="dxa"/>
            <w:vAlign w:val="bottom"/>
            <w:gridSpan w:val="3"/>
          </w:tcPr>
          <w:p>
            <w:pPr>
              <w:spacing w:after="0" w:line="206" w:lineRule="exact"/>
              <w:rPr>
                <w:sz w:val="20"/>
                <w:szCs w:val="20"/>
                <w:color w:val="auto"/>
              </w:rPr>
            </w:pPr>
            <w:r>
              <w:rPr>
                <w:rFonts w:ascii="Arial" w:cs="Arial" w:eastAsia="Arial" w:hAnsi="Arial"/>
                <w:sz w:val="18"/>
                <w:szCs w:val="18"/>
                <w:color w:val="auto"/>
                <w:w w:val="93"/>
              </w:rPr>
              <w:t>Authorized Signature:</w:t>
            </w:r>
          </w:p>
        </w:tc>
        <w:tc>
          <w:tcPr>
            <w:tcW w:w="3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60" w:type="dxa"/>
            <w:vAlign w:val="bottom"/>
            <w:gridSpan w:val="3"/>
          </w:tcPr>
          <w:p>
            <w:pPr>
              <w:ind w:left="1540"/>
              <w:spacing w:after="0" w:line="206" w:lineRule="exact"/>
              <w:rPr>
                <w:sz w:val="20"/>
                <w:szCs w:val="20"/>
                <w:color w:val="auto"/>
              </w:rPr>
            </w:pPr>
            <w:r>
              <w:rPr>
                <w:rFonts w:ascii="Arial" w:cs="Arial" w:eastAsia="Arial" w:hAnsi="Arial"/>
                <w:sz w:val="18"/>
                <w:szCs w:val="18"/>
                <w:color w:val="auto"/>
                <w:w w:val="93"/>
              </w:rPr>
              <w:t>2nd Signature (if required):</w:t>
            </w:r>
          </w:p>
        </w:tc>
        <w:tc>
          <w:tcPr>
            <w:tcW w:w="2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320" w:type="dxa"/>
            <w:vAlign w:val="bottom"/>
            <w:gridSpan w:val="2"/>
          </w:tcPr>
          <w:p>
            <w:pPr>
              <w:spacing w:after="0"/>
              <w:rPr>
                <w:sz w:val="20"/>
                <w:szCs w:val="20"/>
                <w:color w:val="auto"/>
              </w:rPr>
            </w:pPr>
            <w:r>
              <w:rPr>
                <w:rFonts w:ascii="Arial" w:cs="Arial" w:eastAsia="Arial" w:hAnsi="Arial"/>
                <w:sz w:val="18"/>
                <w:szCs w:val="18"/>
                <w:color w:val="auto"/>
                <w:w w:val="96"/>
              </w:rPr>
              <w:t>Print Name/Title:</w:t>
            </w: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gridSpan w:val="2"/>
          </w:tcPr>
          <w:p>
            <w:pPr>
              <w:ind w:left="1540"/>
              <w:spacing w:after="0"/>
              <w:rPr>
                <w:sz w:val="20"/>
                <w:szCs w:val="20"/>
                <w:color w:val="auto"/>
              </w:rPr>
            </w:pPr>
            <w:r>
              <w:rPr>
                <w:rFonts w:ascii="Arial" w:cs="Arial" w:eastAsia="Arial" w:hAnsi="Arial"/>
                <w:sz w:val="18"/>
                <w:szCs w:val="18"/>
                <w:color w:val="auto"/>
                <w:w w:val="96"/>
              </w:rPr>
              <w:t>Print Name/Title:</w:t>
            </w:r>
          </w:p>
        </w:tc>
        <w:tc>
          <w:tcPr>
            <w:tcW w:w="3140" w:type="dxa"/>
            <w:vAlign w:val="bottom"/>
            <w:tcBorders>
              <w:bottom w:val="single" w:sz="8" w:color="auto"/>
            </w:tcBorders>
            <w:gridSpan w:val="3"/>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980" w:type="dxa"/>
            <w:vAlign w:val="bottom"/>
          </w:tcPr>
          <w:p>
            <w:pPr>
              <w:spacing w:after="0"/>
              <w:rPr>
                <w:sz w:val="20"/>
                <w:szCs w:val="20"/>
                <w:color w:val="auto"/>
              </w:rPr>
            </w:pPr>
            <w:r>
              <w:rPr>
                <w:rFonts w:ascii="Arial" w:cs="Arial" w:eastAsia="Arial" w:hAnsi="Arial"/>
                <w:sz w:val="18"/>
                <w:szCs w:val="18"/>
                <w:color w:val="auto"/>
                <w:w w:val="91"/>
              </w:rPr>
              <w:t>Telephone #:</w:t>
            </w:r>
          </w:p>
        </w:tc>
        <w:tc>
          <w:tcPr>
            <w:tcW w:w="66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20" w:type="dxa"/>
            <w:vAlign w:val="bottom"/>
          </w:tcPr>
          <w:p>
            <w:pPr>
              <w:ind w:left="1540"/>
              <w:spacing w:after="0"/>
              <w:rPr>
                <w:sz w:val="20"/>
                <w:szCs w:val="20"/>
                <w:color w:val="auto"/>
              </w:rPr>
            </w:pPr>
            <w:r>
              <w:rPr>
                <w:rFonts w:ascii="Arial" w:cs="Arial" w:eastAsia="Arial" w:hAnsi="Arial"/>
                <w:sz w:val="18"/>
                <w:szCs w:val="18"/>
                <w:color w:val="auto"/>
                <w:w w:val="91"/>
              </w:rPr>
              <w:t>Telephone #:</w:t>
            </w:r>
          </w:p>
        </w:tc>
        <w:tc>
          <w:tcPr>
            <w:tcW w:w="3480" w:type="dxa"/>
            <w:vAlign w:val="bottom"/>
            <w:tcBorders>
              <w:bottom w:val="single" w:sz="8" w:color="auto"/>
            </w:tcBorders>
            <w:gridSpan w:val="4"/>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BORROWING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40815" cy="403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081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CORPORATE BORROWING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ORROWER</w:t>
      </w:r>
      <w:r>
        <w:rPr>
          <w:rFonts w:ascii="Arial" w:cs="Arial" w:eastAsia="Arial" w:hAnsi="Arial"/>
          <w:sz w:val="18"/>
          <w:szCs w:val="18"/>
          <w:color w:val="auto"/>
        </w:rPr>
        <w:t>:</w:t>
      </w:r>
      <w:r>
        <w:rPr>
          <w:rFonts w:ascii="Arial" w:cs="Arial" w:eastAsia="Arial" w:hAnsi="Arial"/>
          <w:sz w:val="18"/>
          <w:szCs w:val="18"/>
          <w:b w:val="1"/>
          <w:bCs w:val="1"/>
          <w:color w:val="auto"/>
        </w:rPr>
        <w:t xml:space="preserve"> ZAFGEN, INC. D</w:t>
      </w:r>
      <w:r>
        <w:rPr>
          <w:rFonts w:ascii="Arial" w:cs="Arial" w:eastAsia="Arial" w:hAnsi="Arial"/>
          <w:sz w:val="15"/>
          <w:szCs w:val="15"/>
          <w:b w:val="1"/>
          <w:bCs w:val="1"/>
          <w:color w:val="auto"/>
        </w:rPr>
        <w:t>ATE</w:t>
      </w:r>
      <w:r>
        <w:rPr>
          <w:rFonts w:ascii="Arial" w:cs="Arial" w:eastAsia="Arial" w:hAnsi="Arial"/>
          <w:sz w:val="18"/>
          <w:szCs w:val="18"/>
          <w:color w:val="auto"/>
        </w:rPr>
        <w:t>: December 29,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ANK</w:t>
      </w:r>
      <w:r>
        <w:rPr>
          <w:rFonts w:ascii="Arial" w:cs="Arial" w:eastAsia="Arial" w:hAnsi="Arial"/>
          <w:sz w:val="18"/>
          <w:szCs w:val="18"/>
          <w:b w:val="1"/>
          <w:bCs w:val="1"/>
          <w:color w:val="auto"/>
        </w:rPr>
        <w:t>: Silicon Valley Bank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hereby certify as follows, as of the date set forth above:</w:t>
      </w:r>
    </w:p>
    <w:p>
      <w:pPr>
        <w:spacing w:after="0" w:line="117"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am the Secretary, Assistant Secretary or other officer of Borrower. My title is as set forth below.</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w:t>
      </w:r>
    </w:p>
    <w:p>
      <w:pPr>
        <w:spacing w:after="0" w:line="117" w:lineRule="exact"/>
        <w:rPr>
          <w:rFonts w:ascii="Arial" w:cs="Arial" w:eastAsia="Arial" w:hAnsi="Arial"/>
          <w:sz w:val="18"/>
          <w:szCs w:val="18"/>
          <w:color w:val="auto"/>
        </w:rPr>
      </w:pPr>
    </w:p>
    <w:p>
      <w:pPr>
        <w:ind w:right="560" w:firstLine="8"/>
        <w:spacing w:after="0" w:line="286"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Attached hereto are true, correct and complete copies of Borrower’s Articles/Certificate of Incorporation (including amendments), as filed with the Secretary of State of the state in which Borrower is incorporated as set forth above. Such Articles/Certificate of Incorporation have not been amended, annulled, rescinded, revoked or supplemented, and remain in full force and effect as of the date hereof.</w:t>
      </w:r>
    </w:p>
    <w:p>
      <w:pPr>
        <w:spacing w:after="0" w:line="57" w:lineRule="exact"/>
        <w:rPr>
          <w:rFonts w:ascii="Arial" w:cs="Arial" w:eastAsia="Arial" w:hAnsi="Arial"/>
          <w:sz w:val="17"/>
          <w:szCs w:val="17"/>
          <w:color w:val="auto"/>
        </w:rPr>
      </w:pPr>
    </w:p>
    <w:p>
      <w:pPr>
        <w:ind w:right="40" w:firstLine="8"/>
        <w:spacing w:after="0" w:line="259"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Silicon Valley Bank (“Bank”) may rely on them until Bank receives written notice of revocation from Borrower.</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ESOLVED</w:t>
      </w:r>
      <w:r>
        <w:rPr>
          <w:rFonts w:ascii="Arial" w:cs="Arial" w:eastAsia="Arial" w:hAnsi="Arial"/>
          <w:sz w:val="17"/>
          <w:szCs w:val="17"/>
          <w:color w:val="auto"/>
        </w:rPr>
        <w:t>, that</w:t>
      </w:r>
      <w:r>
        <w:rPr>
          <w:rFonts w:ascii="Arial" w:cs="Arial" w:eastAsia="Arial" w:hAnsi="Arial"/>
          <w:sz w:val="17"/>
          <w:szCs w:val="17"/>
          <w:b w:val="1"/>
          <w:bCs w:val="1"/>
          <w:color w:val="auto"/>
        </w:rPr>
        <w:t xml:space="preserve"> any one </w:t>
      </w:r>
      <w:r>
        <w:rPr>
          <w:rFonts w:ascii="Arial" w:cs="Arial" w:eastAsia="Arial" w:hAnsi="Arial"/>
          <w:sz w:val="17"/>
          <w:szCs w:val="17"/>
          <w:color w:val="auto"/>
        </w:rPr>
        <w:t>of the following officers or employees of Borrower, whose names, titles and signatures are below, may act on behalf of</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8"/>
              </w:rPr>
              <w:t>Authorized</w:t>
            </w:r>
          </w:p>
        </w:tc>
      </w:tr>
      <w:tr>
        <w:trPr>
          <w:trHeight w:val="149"/>
        </w:trPr>
        <w:tc>
          <w:tcPr>
            <w:tcW w:w="1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to Add or</w:t>
            </w:r>
          </w:p>
        </w:tc>
      </w:tr>
      <w:tr>
        <w:trPr>
          <w:trHeight w:val="149"/>
        </w:trPr>
        <w:tc>
          <w:tcPr>
            <w:tcW w:w="1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1"/>
              </w:rPr>
              <w:t>Remove</w:t>
            </w:r>
          </w:p>
        </w:tc>
      </w:tr>
      <w:tr>
        <w:trPr>
          <w:trHeight w:val="167"/>
        </w:trPr>
        <w:tc>
          <w:tcPr>
            <w:tcW w:w="16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w w:val="90"/>
              </w:rPr>
              <w:t>Name</w:t>
            </w: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w w:val="98"/>
              </w:rPr>
              <w:t>Title</w:t>
            </w: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80" w:type="dxa"/>
            <w:vAlign w:val="bottom"/>
            <w:gridSpan w:val="4"/>
          </w:tcPr>
          <w:p>
            <w:pPr>
              <w:ind w:left="1360"/>
              <w:spacing w:after="0"/>
              <w:rPr>
                <w:sz w:val="20"/>
                <w:szCs w:val="20"/>
                <w:color w:val="auto"/>
              </w:rPr>
            </w:pPr>
            <w:r>
              <w:rPr>
                <w:rFonts w:ascii="Arial" w:cs="Arial" w:eastAsia="Arial" w:hAnsi="Arial"/>
                <w:sz w:val="14"/>
                <w:szCs w:val="14"/>
                <w:color w:val="auto"/>
              </w:rPr>
              <w:t>Signature</w:t>
            </w: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Signatories</w:t>
            </w:r>
          </w:p>
        </w:tc>
      </w:tr>
      <w:tr>
        <w:trPr>
          <w:trHeight w:val="169"/>
        </w:trPr>
        <w:tc>
          <w:tcPr>
            <w:tcW w:w="168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top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3"/>
        </w:trPr>
        <w:tc>
          <w:tcPr>
            <w:tcW w:w="1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3"/>
        </w:trPr>
        <w:tc>
          <w:tcPr>
            <w:tcW w:w="1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83"/>
        </w:trPr>
        <w:tc>
          <w:tcPr>
            <w:tcW w:w="1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ectPr>
          <w:pgSz w:w="11900" w:h="16838" w:orient="portrait"/>
          <w:cols w:equalWidth="0" w:num="1">
            <w:col w:w="11400"/>
          </w:cols>
          <w:pgMar w:left="240" w:top="270" w:right="259" w:bottom="1440" w:gutter="0" w:footer="0" w:header="0"/>
        </w:sectPr>
      </w:pPr>
    </w:p>
    <w:bookmarkStart w:id="39" w:name="page40"/>
    <w:bookmarkEnd w:id="39"/>
    <w:p>
      <w:pPr>
        <w:ind w:left="452"/>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w:t>
      </w:r>
      <w:r>
        <w:rPr>
          <w:rFonts w:ascii="Arial" w:cs="Arial" w:eastAsia="Arial" w:hAnsi="Arial"/>
          <w:sz w:val="15"/>
          <w:szCs w:val="15"/>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r>
        <w:rPr>
          <w:rFonts w:ascii="Arial" w:cs="Arial" w:eastAsia="Arial" w:hAnsi="Arial"/>
          <w:sz w:val="18"/>
          <w:szCs w:val="18"/>
          <w:b w:val="1"/>
          <w:bCs w:val="1"/>
          <w:color w:val="auto"/>
        </w:rPr>
        <w:t xml:space="preserve"> any one </w:t>
      </w:r>
      <w:r>
        <w:rPr>
          <w:rFonts w:ascii="Arial" w:cs="Arial" w:eastAsia="Arial" w:hAnsi="Arial"/>
          <w:sz w:val="18"/>
          <w:szCs w:val="18"/>
          <w:color w:val="auto"/>
        </w:rPr>
        <w:t>of the persons designated above with a checked box beside his or her name may, from time to time, add or remove</w:t>
      </w:r>
      <w:r>
        <w:rPr>
          <w:rFonts w:ascii="Arial" w:cs="Arial" w:eastAsia="Arial" w:hAnsi="Arial"/>
          <w:sz w:val="18"/>
          <w:szCs w:val="18"/>
          <w:b w:val="1"/>
          <w:bCs w:val="1"/>
          <w:color w:val="auto"/>
        </w:rPr>
        <w:t xml:space="preserve"> </w:t>
      </w:r>
      <w:r>
        <w:rPr>
          <w:rFonts w:ascii="Arial" w:cs="Arial" w:eastAsia="Arial" w:hAnsi="Arial"/>
          <w:sz w:val="18"/>
          <w:szCs w:val="18"/>
          <w:color w:val="auto"/>
        </w:rPr>
        <w:t>any individuals to and from the above list of persons authorized to act on behalf of Borrower.</w:t>
      </w:r>
    </w:p>
    <w:p>
      <w:pPr>
        <w:spacing w:after="0" w:line="54"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individuals may, on behalf of Borrower:</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Bank.</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Bank requires.</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Grant Bank a security interest in any of Borrower’s assets.</w:t>
      </w:r>
    </w:p>
    <w:p>
      <w:pPr>
        <w:spacing w:after="0" w:line="117" w:lineRule="exact"/>
        <w:rPr>
          <w:sz w:val="20"/>
          <w:szCs w:val="20"/>
          <w:color w:val="auto"/>
        </w:rPr>
      </w:pPr>
    </w:p>
    <w:p>
      <w:pPr>
        <w:ind w:left="912" w:right="120"/>
        <w:spacing w:after="0" w:line="282" w:lineRule="auto"/>
        <w:rPr>
          <w:sz w:val="20"/>
          <w:szCs w:val="20"/>
          <w:color w:val="auto"/>
        </w:rPr>
      </w:pPr>
      <w:r>
        <w:rPr>
          <w:rFonts w:ascii="Arial" w:cs="Arial" w:eastAsia="Arial" w:hAnsi="Arial"/>
          <w:sz w:val="18"/>
          <w:szCs w:val="18"/>
          <w:b w:val="1"/>
          <w:bCs w:val="1"/>
          <w:color w:val="auto"/>
        </w:rPr>
        <w:t>Negotiate Items</w:t>
      </w:r>
      <w:r>
        <w:rPr>
          <w:rFonts w:ascii="Arial" w:cs="Arial" w:eastAsia="Arial" w:hAnsi="Arial"/>
          <w:sz w:val="18"/>
          <w:szCs w:val="18"/>
          <w:color w:val="auto"/>
        </w:rPr>
        <w:t>. Negotiate or discount all drafts, trade acceptances, promissory notes, or other indebtedness in which Borrower has an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and receive cash or otherwise use the proceeds.</w:t>
      </w:r>
    </w:p>
    <w:p>
      <w:pPr>
        <w:spacing w:after="0" w:line="54"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Apply for Letters of Credit</w:t>
      </w:r>
      <w:r>
        <w:rPr>
          <w:rFonts w:ascii="Arial" w:cs="Arial" w:eastAsia="Arial" w:hAnsi="Arial"/>
          <w:sz w:val="18"/>
          <w:szCs w:val="18"/>
          <w:color w:val="auto"/>
        </w:rPr>
        <w:t>. Apply for letters of credit from Bank.</w:t>
      </w:r>
    </w:p>
    <w:p>
      <w:pPr>
        <w:spacing w:after="0" w:line="117" w:lineRule="exact"/>
        <w:rPr>
          <w:sz w:val="20"/>
          <w:szCs w:val="20"/>
          <w:color w:val="auto"/>
        </w:rPr>
      </w:pPr>
    </w:p>
    <w:p>
      <w:pPr>
        <w:ind w:left="912" w:right="680"/>
        <w:spacing w:after="0" w:line="282" w:lineRule="auto"/>
        <w:rPr>
          <w:sz w:val="20"/>
          <w:szCs w:val="20"/>
          <w:color w:val="auto"/>
        </w:rPr>
      </w:pPr>
      <w:r>
        <w:rPr>
          <w:rFonts w:ascii="Arial" w:cs="Arial" w:eastAsia="Arial" w:hAnsi="Arial"/>
          <w:sz w:val="18"/>
          <w:szCs w:val="18"/>
          <w:b w:val="1"/>
          <w:bCs w:val="1"/>
          <w:color w:val="auto"/>
        </w:rPr>
        <w:t>Enter Derivative Transactions</w:t>
      </w:r>
      <w:r>
        <w:rPr>
          <w:rFonts w:ascii="Arial" w:cs="Arial" w:eastAsia="Arial" w:hAnsi="Arial"/>
          <w:sz w:val="18"/>
          <w:szCs w:val="18"/>
          <w:color w:val="auto"/>
        </w:rPr>
        <w:t>. Execute spot or forward foreign exchange contracts, interest rate swap agreements, or other derivative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w:t>
      </w:r>
    </w:p>
    <w:p>
      <w:pPr>
        <w:spacing w:after="0" w:line="54"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Issue Warrants</w:t>
      </w:r>
      <w:r>
        <w:rPr>
          <w:rFonts w:ascii="Arial" w:cs="Arial" w:eastAsia="Arial" w:hAnsi="Arial"/>
          <w:sz w:val="18"/>
          <w:szCs w:val="18"/>
          <w:color w:val="auto"/>
        </w:rPr>
        <w:t>. Issue warrants for Borrower’s capital stock.</w:t>
      </w:r>
    </w:p>
    <w:p>
      <w:pPr>
        <w:spacing w:after="0" w:line="117" w:lineRule="exact"/>
        <w:rPr>
          <w:sz w:val="20"/>
          <w:szCs w:val="20"/>
          <w:color w:val="auto"/>
        </w:rPr>
      </w:pPr>
    </w:p>
    <w:p>
      <w:pPr>
        <w:ind w:left="912" w:right="540"/>
        <w:spacing w:after="0" w:line="347" w:lineRule="auto"/>
        <w:rPr>
          <w:sz w:val="20"/>
          <w:szCs w:val="20"/>
          <w:color w:val="auto"/>
        </w:rPr>
      </w:pPr>
      <w:r>
        <w:rPr>
          <w:rFonts w:ascii="Arial" w:cs="Arial" w:eastAsia="Arial" w:hAnsi="Arial"/>
          <w:sz w:val="16"/>
          <w:szCs w:val="16"/>
          <w:b w:val="1"/>
          <w:bCs w:val="1"/>
          <w:color w:val="auto"/>
        </w:rPr>
        <w:t>Further Acts</w:t>
      </w:r>
      <w:r>
        <w:rPr>
          <w:rFonts w:ascii="Arial" w:cs="Arial" w:eastAsia="Arial" w:hAnsi="Arial"/>
          <w:sz w:val="16"/>
          <w:szCs w:val="16"/>
          <w:color w:val="auto"/>
        </w:rPr>
        <w:t>. Designate other individuals to request advances, pay fees and costs and execute other documents or agreements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agreement that waive Borrower’s right to a jury trial) they believe to be necessary to effect these resolutions.</w:t>
      </w:r>
    </w:p>
    <w:p>
      <w:pPr>
        <w:spacing w:after="0" w:line="8"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URTHER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all acts authorized by the above resolutions and any prior acts relating thereto are ratified.</w:t>
      </w:r>
    </w:p>
    <w:p>
      <w:pPr>
        <w:spacing w:after="0" w:line="229" w:lineRule="exact"/>
        <w:rPr>
          <w:sz w:val="20"/>
          <w:szCs w:val="20"/>
          <w:color w:val="auto"/>
        </w:rPr>
      </w:pPr>
    </w:p>
    <w:p>
      <w:pPr>
        <w:ind w:left="6852" w:right="2460" w:hanging="6852"/>
        <w:spacing w:after="0" w:line="516" w:lineRule="auto"/>
        <w:tabs>
          <w:tab w:leader="none" w:pos="1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persons listed above are Borrower’s officers or employees with their titles and signatures shown next to their names. By:</w:t>
      </w:r>
    </w:p>
    <w:p>
      <w:pPr>
        <w:spacing w:after="0" w:line="1" w:lineRule="exact"/>
        <w:rPr>
          <w:rFonts w:ascii="Arial" w:cs="Arial" w:eastAsia="Arial" w:hAnsi="Arial"/>
          <w:sz w:val="18"/>
          <w:szCs w:val="18"/>
          <w:color w:val="auto"/>
        </w:rPr>
      </w:pPr>
    </w:p>
    <w:p>
      <w:pPr>
        <w:ind w:left="6852"/>
        <w:spacing w:after="0"/>
        <w:rPr>
          <w:rFonts w:ascii="Arial" w:cs="Arial" w:eastAsia="Arial" w:hAnsi="Arial"/>
          <w:sz w:val="18"/>
          <w:szCs w:val="18"/>
          <w:color w:val="auto"/>
        </w:rPr>
      </w:pPr>
      <w:r>
        <w:rPr>
          <w:rFonts w:ascii="Arial" w:cs="Arial" w:eastAsia="Arial" w:hAnsi="Arial"/>
          <w:sz w:val="18"/>
          <w:szCs w:val="18"/>
          <w:color w:val="auto"/>
        </w:rPr>
        <w:t>Name:</w:t>
      </w:r>
    </w:p>
    <w:p>
      <w:pPr>
        <w:spacing w:after="0" w:line="225" w:lineRule="exact"/>
        <w:rPr>
          <w:rFonts w:ascii="Arial" w:cs="Arial" w:eastAsia="Arial" w:hAnsi="Arial"/>
          <w:sz w:val="18"/>
          <w:szCs w:val="18"/>
          <w:color w:val="auto"/>
        </w:rPr>
      </w:pPr>
    </w:p>
    <w:p>
      <w:pPr>
        <w:ind w:left="6852"/>
        <w:spacing w:after="0"/>
        <w:rPr>
          <w:rFonts w:ascii="Arial" w:cs="Arial" w:eastAsia="Arial" w:hAnsi="Arial"/>
          <w:sz w:val="18"/>
          <w:szCs w:val="18"/>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-558800</wp:posOffset>
            </wp:positionV>
            <wp:extent cx="22288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-421640</wp:posOffset>
            </wp:positionV>
            <wp:extent cx="514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-284480</wp:posOffset>
            </wp:positionV>
            <wp:extent cx="22288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-147320</wp:posOffset>
            </wp:positionV>
            <wp:extent cx="3429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-10160</wp:posOffset>
            </wp:positionV>
            <wp:extent cx="22288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126365</wp:posOffset>
            </wp:positionV>
            <wp:extent cx="4000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52" w:right="220" w:hanging="452"/>
        <w:spacing w:after="0" w:line="277"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70" w:lineRule="exact"/>
        <w:rPr>
          <w:sz w:val="20"/>
          <w:szCs w:val="20"/>
          <w:color w:val="auto"/>
        </w:rPr>
      </w:pPr>
    </w:p>
    <w:p>
      <w:pPr>
        <w:ind w:left="452"/>
        <w:spacing w:after="0"/>
        <w:tabs>
          <w:tab w:leader="none" w:pos="2472" w:val="left"/>
        </w:tabs>
        <w:rPr>
          <w:sz w:val="20"/>
          <w:szCs w:val="20"/>
          <w:color w:val="auto"/>
        </w:rPr>
      </w:pPr>
      <w:r>
        <w:rPr>
          <w:rFonts w:ascii="Arial" w:cs="Arial" w:eastAsia="Arial" w:hAnsi="Arial"/>
          <w:sz w:val="18"/>
          <w:szCs w:val="18"/>
          <w:color w:val="auto"/>
        </w:rPr>
        <w:t>I, the</w:t>
      </w:r>
      <w:r>
        <w:rPr>
          <w:sz w:val="20"/>
          <w:szCs w:val="20"/>
          <w:color w:val="auto"/>
        </w:rPr>
        <w:tab/>
      </w:r>
      <w:r>
        <w:rPr>
          <w:rFonts w:ascii="Arial" w:cs="Arial" w:eastAsia="Arial" w:hAnsi="Arial"/>
          <w:sz w:val="16"/>
          <w:szCs w:val="16"/>
          <w:color w:val="auto"/>
        </w:rPr>
        <w:t>of Borrower, hereby certify as to paragraphs 1 through 5 above, as of the date set forth above.</w:t>
      </w:r>
    </w:p>
    <w:p>
      <w:pPr>
        <w:spacing w:after="0" w:line="25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-10160</wp:posOffset>
            </wp:positionV>
            <wp:extent cx="22288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126365</wp:posOffset>
            </wp:positionV>
            <wp:extent cx="514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-10160</wp:posOffset>
            </wp:positionV>
            <wp:extent cx="22288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126365</wp:posOffset>
            </wp:positionV>
            <wp:extent cx="3429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-10160</wp:posOffset>
            </wp:positionV>
            <wp:extent cx="22288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4347845</wp:posOffset>
            </wp:positionH>
            <wp:positionV relativeFrom="paragraph">
              <wp:posOffset>126365</wp:posOffset>
            </wp:positionV>
            <wp:extent cx="4000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Corporate Borrowing Certificate</w:t>
      </w:r>
      <w:r>
        <w:rPr>
          <w:rFonts w:ascii="Arial" w:cs="Arial" w:eastAsia="Arial" w:hAnsi="Arial"/>
          <w:sz w:val="18"/>
          <w:szCs w:val="18"/>
          <w:b w:val="1"/>
          <w:bCs w:val="1"/>
          <w:color w:val="auto"/>
        </w:rPr>
        <w:t>]</w:t>
      </w:r>
    </w:p>
    <w:p>
      <w:pPr>
        <w:sectPr>
          <w:pgSz w:w="11900" w:h="16838" w:orient="portrait"/>
          <w:cols w:equalWidth="0" w:num="1">
            <w:col w:w="11352"/>
          </w:cols>
          <w:pgMar w:left="248" w:top="270" w:right="2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MARKETING CONSENT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-119380</wp:posOffset>
            </wp:positionV>
            <wp:extent cx="1440815" cy="403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81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Consent Form</w:t>
      </w:r>
    </w:p>
    <w:p>
      <w:pPr>
        <w:spacing w:after="0" w:line="121" w:lineRule="exact"/>
        <w:rPr>
          <w:sz w:val="20"/>
          <w:szCs w:val="20"/>
          <w:color w:val="auto"/>
        </w:rPr>
      </w:pPr>
    </w:p>
    <w:p>
      <w:pPr>
        <w:ind w:left="120"/>
        <w:spacing w:after="0" w:line="312" w:lineRule="auto"/>
        <w:rPr>
          <w:sz w:val="20"/>
          <w:szCs w:val="20"/>
          <w:color w:val="auto"/>
        </w:rPr>
      </w:pPr>
      <w:r>
        <w:rPr>
          <w:rFonts w:ascii="Arial" w:cs="Arial" w:eastAsia="Arial" w:hAnsi="Arial"/>
          <w:sz w:val="16"/>
          <w:szCs w:val="16"/>
          <w:color w:val="auto"/>
        </w:rPr>
        <w:t>SVB Financial Group is proud of our business relationships and occasionally likes to promote these relationships. We would like to use your company’s information and logo for promotional and marketing purposes in SVB Financial Group member businesses (collectively “SVB”) materials. While we would appreciate your consent to all of the uses listed below, please review and select all of the uses that you consent to below.</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Indicate your selection(s) by checking the boxes below</w:t>
      </w:r>
    </w:p>
    <w:p>
      <w:pPr>
        <w:spacing w:after="0" w:line="127" w:lineRule="exact"/>
        <w:rPr>
          <w:sz w:val="20"/>
          <w:szCs w:val="20"/>
          <w:color w:val="auto"/>
        </w:rPr>
      </w:pPr>
    </w:p>
    <w:p>
      <w:pPr>
        <w:ind w:left="560" w:right="480" w:hanging="445"/>
        <w:spacing w:after="0" w:line="282" w:lineRule="auto"/>
        <w:tabs>
          <w:tab w:leader="none" w:pos="560" w:val="left"/>
        </w:tabs>
        <w:numPr>
          <w:ilvl w:val="0"/>
          <w:numId w:val="42"/>
        </w:numPr>
        <w:rPr>
          <w:rFonts w:ascii="MS PGothic" w:cs="MS PGothic" w:eastAsia="MS PGothic" w:hAnsi="MS PGothic"/>
          <w:sz w:val="18"/>
          <w:szCs w:val="18"/>
          <w:color w:val="auto"/>
        </w:rPr>
      </w:pPr>
      <w:r>
        <w:rPr>
          <w:rFonts w:ascii="Arial" w:cs="Arial" w:eastAsia="Arial" w:hAnsi="Arial"/>
          <w:sz w:val="18"/>
          <w:szCs w:val="18"/>
          <w:b w:val="1"/>
          <w:bCs w:val="1"/>
          <w:color w:val="auto"/>
        </w:rPr>
        <w:t>Marketing</w:t>
      </w:r>
      <w:r>
        <w:rPr>
          <w:rFonts w:ascii="Arial" w:cs="Arial" w:eastAsia="Arial" w:hAnsi="Arial"/>
          <w:sz w:val="18"/>
          <w:szCs w:val="18"/>
          <w:color w:val="auto"/>
        </w:rPr>
        <w:t>: You consent to SVB’s use of Company’s name, logo and images provided to us in written and oral presentations,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and PR materials, professional lists and websites.</w:t>
      </w:r>
    </w:p>
    <w:p>
      <w:pPr>
        <w:spacing w:after="0" w:line="67" w:lineRule="exact"/>
        <w:rPr>
          <w:rFonts w:ascii="MS PGothic" w:cs="MS PGothic" w:eastAsia="MS PGothic" w:hAnsi="MS PGothic"/>
          <w:sz w:val="18"/>
          <w:szCs w:val="18"/>
          <w:color w:val="auto"/>
        </w:rPr>
      </w:pPr>
    </w:p>
    <w:p>
      <w:pPr>
        <w:ind w:left="560" w:right="440" w:hanging="445"/>
        <w:spacing w:after="0" w:line="282" w:lineRule="auto"/>
        <w:tabs>
          <w:tab w:leader="none" w:pos="560" w:val="left"/>
        </w:tabs>
        <w:numPr>
          <w:ilvl w:val="0"/>
          <w:numId w:val="4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Deal Terms: </w:t>
      </w:r>
      <w:r>
        <w:rPr>
          <w:rFonts w:ascii="Arial" w:cs="Arial" w:eastAsia="Arial" w:hAnsi="Arial"/>
          <w:sz w:val="18"/>
          <w:szCs w:val="18"/>
          <w:color w:val="auto"/>
        </w:rPr>
        <w:t>You consent to SVB’s inclusion of the size and type of any loan or credit facility alongside your company’s name in any oral</w:t>
      </w:r>
      <w:r>
        <w:rPr>
          <w:rFonts w:ascii="Arial" w:cs="Arial" w:eastAsia="Arial" w:hAnsi="Arial"/>
          <w:sz w:val="18"/>
          <w:szCs w:val="18"/>
          <w:b w:val="1"/>
          <w:bCs w:val="1"/>
          <w:color w:val="auto"/>
        </w:rPr>
        <w:t xml:space="preserve"> </w:t>
      </w:r>
      <w:r>
        <w:rPr>
          <w:rFonts w:ascii="Arial" w:cs="Arial" w:eastAsia="Arial" w:hAnsi="Arial"/>
          <w:sz w:val="18"/>
          <w:szCs w:val="18"/>
          <w:color w:val="auto"/>
        </w:rPr>
        <w:t>presentations, advertising, marketing and PR materials, customer lists, and websites.</w:t>
      </w:r>
    </w:p>
    <w:p>
      <w:pPr>
        <w:spacing w:after="0" w:line="67" w:lineRule="exact"/>
        <w:rPr>
          <w:rFonts w:ascii="MS PGothic" w:cs="MS PGothic" w:eastAsia="MS PGothic" w:hAnsi="MS PGothic"/>
          <w:sz w:val="18"/>
          <w:szCs w:val="18"/>
          <w:color w:val="auto"/>
        </w:rPr>
      </w:pPr>
    </w:p>
    <w:p>
      <w:pPr>
        <w:ind w:left="560" w:hanging="445"/>
        <w:spacing w:after="0"/>
        <w:tabs>
          <w:tab w:leader="none" w:pos="560" w:val="left"/>
        </w:tabs>
        <w:numPr>
          <w:ilvl w:val="0"/>
          <w:numId w:val="4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Reference: </w:t>
      </w:r>
      <w:r>
        <w:rPr>
          <w:rFonts w:ascii="Arial" w:cs="Arial" w:eastAsia="Arial" w:hAnsi="Arial"/>
          <w:sz w:val="18"/>
          <w:szCs w:val="18"/>
          <w:color w:val="auto"/>
        </w:rPr>
        <w:t>You consent to SVB’s use of Company and representatives’ names as a reference for SVB.</w:t>
      </w:r>
    </w:p>
    <w:p>
      <w:pPr>
        <w:spacing w:after="0" w:line="130" w:lineRule="exact"/>
        <w:rPr>
          <w:rFonts w:ascii="MS PGothic" w:cs="MS PGothic" w:eastAsia="MS PGothic" w:hAnsi="MS PGothic"/>
          <w:sz w:val="18"/>
          <w:szCs w:val="18"/>
          <w:color w:val="auto"/>
        </w:rPr>
      </w:pPr>
    </w:p>
    <w:p>
      <w:pPr>
        <w:ind w:left="560" w:hanging="445"/>
        <w:spacing w:after="0" w:line="313" w:lineRule="auto"/>
        <w:tabs>
          <w:tab w:leader="none" w:pos="560" w:val="left"/>
        </w:tabs>
        <w:numPr>
          <w:ilvl w:val="0"/>
          <w:numId w:val="4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Testimonial: </w:t>
      </w:r>
      <w:r>
        <w:rPr>
          <w:rFonts w:ascii="Arial" w:cs="Arial" w:eastAsia="Arial" w:hAnsi="Arial"/>
          <w:sz w:val="17"/>
          <w:szCs w:val="17"/>
          <w:color w:val="auto"/>
        </w:rPr>
        <w:t>You consent to SVB’s use of Company and representatives’ names and quotations in written and oral presentations, marketing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PR materials, and websites. Our practice is to send you a draft of any quotation concerning Company prior to publishing.</w:t>
      </w:r>
    </w:p>
    <w:p>
      <w:pPr>
        <w:spacing w:after="0" w:line="43" w:lineRule="exact"/>
        <w:rPr>
          <w:rFonts w:ascii="MS PGothic" w:cs="MS PGothic" w:eastAsia="MS PGothic" w:hAnsi="MS PGothic"/>
          <w:sz w:val="17"/>
          <w:szCs w:val="17"/>
          <w:color w:val="auto"/>
        </w:rPr>
      </w:pPr>
    </w:p>
    <w:p>
      <w:pPr>
        <w:ind w:left="560" w:right="240" w:hanging="445"/>
        <w:spacing w:after="0" w:line="347" w:lineRule="auto"/>
        <w:tabs>
          <w:tab w:leader="none" w:pos="560" w:val="left"/>
        </w:tabs>
        <w:numPr>
          <w:ilvl w:val="0"/>
          <w:numId w:val="4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News release: </w:t>
      </w:r>
      <w:r>
        <w:rPr>
          <w:rFonts w:ascii="Arial" w:cs="Arial" w:eastAsia="Arial" w:hAnsi="Arial"/>
          <w:sz w:val="16"/>
          <w:szCs w:val="16"/>
          <w:color w:val="auto"/>
        </w:rPr>
        <w:t>You consent to SVB’s use of Company’s name, trademarks, service marks, quotations and images provided to us in the SVB’s</w:t>
      </w:r>
      <w:r>
        <w:rPr>
          <w:rFonts w:ascii="Arial" w:cs="Arial" w:eastAsia="Arial" w:hAnsi="Arial"/>
          <w:sz w:val="16"/>
          <w:szCs w:val="16"/>
          <w:b w:val="1"/>
          <w:bCs w:val="1"/>
          <w:color w:val="auto"/>
        </w:rPr>
        <w:t xml:space="preserve"> </w:t>
      </w:r>
      <w:r>
        <w:rPr>
          <w:rFonts w:ascii="Arial" w:cs="Arial" w:eastAsia="Arial" w:hAnsi="Arial"/>
          <w:sz w:val="16"/>
          <w:szCs w:val="16"/>
          <w:color w:val="auto"/>
        </w:rPr>
        <w:t>news releases concerning Company. Our practice is to send you a draft of any news release concerning Company prior to publishing.</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order to maintain the integrity of your logos, please provide them in:</w:t>
      </w:r>
    </w:p>
    <w:p>
      <w:pPr>
        <w:spacing w:after="0" w:line="131" w:lineRule="exact"/>
        <w:rPr>
          <w:sz w:val="20"/>
          <w:szCs w:val="20"/>
          <w:color w:val="auto"/>
        </w:rPr>
      </w:pPr>
    </w:p>
    <w:p>
      <w:pPr>
        <w:ind w:left="440" w:hanging="325"/>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Full color and black and white versions, with or without taglines</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least 300 dpi in PNG, EPS, TIF, or JPG formats (please do not send PDF or website logos).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make sure to print the Company name, and any individual names and titles as you would like them displayed in materials or lists.</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Company name</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Additional names</w:t>
      </w:r>
    </w:p>
    <w:p>
      <w:pPr>
        <w:spacing w:after="0" w:line="117" w:lineRule="exact"/>
        <w:rPr>
          <w:sz w:val="20"/>
          <w:szCs w:val="20"/>
          <w:color w:val="auto"/>
        </w:rPr>
      </w:pPr>
    </w:p>
    <w:p>
      <w:pPr>
        <w:ind w:left="120" w:right="240"/>
        <w:spacing w:after="0" w:line="312" w:lineRule="auto"/>
        <w:rPr>
          <w:sz w:val="20"/>
          <w:szCs w:val="20"/>
          <w:color w:val="auto"/>
        </w:rPr>
      </w:pPr>
      <w:r>
        <w:rPr>
          <w:rFonts w:ascii="Arial" w:cs="Arial" w:eastAsia="Arial" w:hAnsi="Arial"/>
          <w:sz w:val="16"/>
          <w:szCs w:val="16"/>
          <w:color w:val="auto"/>
        </w:rPr>
        <w:t>You grant to SVB a limited license to use the information for the limited purposes above, which you can revoke upon written notice to SVB. The signer below acknowledges that he or she has authority to bind the Company to this consent. SVB will not be responsible for versions that were printed prior to receiving notice revoking any such consent. Company is solely responsible for defense and maintenance of its intellectual property.</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contact your Relationship Advisor or SVB representative if you have any questions.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or Agreed on Behalf Of Company or Yourself</w:t>
      </w:r>
    </w:p>
    <w:p>
      <w:pPr>
        <w:sectPr>
          <w:pgSz w:w="11900" w:h="16838" w:orient="portrait"/>
          <w:cols w:equalWidth="0" w:num="1">
            <w:col w:w="10960"/>
          </w:cols>
          <w:pgMar w:left="700" w:top="270" w:right="2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502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ectPr>
          <w:pgSz w:w="11900" w:h="16838" w:orient="portrait"/>
          <w:cols w:equalWidth="0" w:num="2">
            <w:col w:w="4880" w:space="720"/>
            <w:col w:w="5360"/>
          </w:cols>
          <w:pgMar w:left="700" w:top="270"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440"/>
        <w:spacing w:after="0"/>
        <w:rPr>
          <w:sz w:val="20"/>
          <w:szCs w:val="20"/>
          <w:color w:val="auto"/>
        </w:rPr>
      </w:pPr>
      <w:r>
        <w:rPr>
          <w:rFonts w:ascii="Arial" w:cs="Arial" w:eastAsia="Arial" w:hAnsi="Arial"/>
          <w:sz w:val="16"/>
          <w:szCs w:val="16"/>
          <w:color w:val="auto"/>
        </w:rPr>
        <w:t>Today’s date</w:t>
      </w:r>
    </w:p>
    <w:p>
      <w:pPr>
        <w:spacing w:after="0" w:line="200" w:lineRule="exact"/>
        <w:rPr>
          <w:sz w:val="20"/>
          <w:szCs w:val="20"/>
          <w:color w:val="auto"/>
        </w:rPr>
      </w:pPr>
    </w:p>
    <w:p>
      <w:pPr>
        <w:sectPr>
          <w:pgSz w:w="11900" w:h="16838" w:orient="portrait"/>
          <w:cols w:equalWidth="0" w:num="2">
            <w:col w:w="4880" w:space="720"/>
            <w:col w:w="5360"/>
          </w:cols>
          <w:pgMar w:left="700" w:top="27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Phone number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4940"/>
        <w:spacing w:after="0"/>
        <w:rPr>
          <w:sz w:val="20"/>
          <w:szCs w:val="20"/>
          <w:color w:val="auto"/>
        </w:rPr>
      </w:pPr>
      <w:r>
        <w:rPr>
          <w:rFonts w:ascii="Arial" w:cs="Arial" w:eastAsia="Arial" w:hAnsi="Arial"/>
          <w:sz w:val="16"/>
          <w:szCs w:val="16"/>
          <w:color w:val="auto"/>
        </w:rPr>
        <w:t>Email</w:t>
      </w:r>
    </w:p>
    <w:p>
      <w:pPr>
        <w:spacing w:after="0" w:line="200" w:lineRule="exact"/>
        <w:rPr>
          <w:sz w:val="20"/>
          <w:szCs w:val="20"/>
          <w:color w:val="auto"/>
        </w:rPr>
      </w:pPr>
    </w:p>
    <w:p>
      <w:pPr>
        <w:sectPr>
          <w:pgSz w:w="11900" w:h="16838" w:orient="portrait"/>
          <w:cols w:equalWidth="0" w:num="2">
            <w:col w:w="4880" w:space="720"/>
            <w:col w:w="5360"/>
          </w:cols>
          <w:pgMar w:left="700" w:top="270" w:right="2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this completed form and any attachments to your Relationship Advisor or SVB via email at logo@svb.com.</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©2014 SVB Financial Group. All rights reserved. Silicon Valley Bank is a member of FDIC and Federal Reserve System. SVB&gt;, SVB&gt;Find a way, SVB Financial Group, and Silicon Valley Bank are registered trademarks. B_SAM-14-13427 rev. 06-25-14.</w:t>
      </w:r>
    </w:p>
    <w:p>
      <w:pPr>
        <w:sectPr>
          <w:pgSz w:w="11900" w:h="16838" w:orient="portrait"/>
          <w:cols w:equalWidth="0" w:num="1">
            <w:col w:w="10960"/>
          </w:cols>
          <w:pgMar w:left="700" w:top="270"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8938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Reports Strong Clinical Progress and Updates Outlook for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ZGN-1061 Phase 2 trial fully enrolled with type 2 diabetes patients; topline data expected mid-year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returning to rare disorders with ZGN-1258; Prader-Willi syndrome expected as first indication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Increased cash position will fuel programs through multiple key milestones</w:t>
      </w:r>
    </w:p>
    <w:p>
      <w:pPr>
        <w:spacing w:after="0" w:line="22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Boston, Mass., January 5, 2018 </w:t>
      </w:r>
      <w:r>
        <w:rPr>
          <w:rFonts w:ascii="Arial" w:cs="Arial" w:eastAsia="Arial" w:hAnsi="Arial"/>
          <w:sz w:val="18"/>
          <w:szCs w:val="18"/>
          <w:color w:val="auto"/>
        </w:rPr>
        <w:t>– Zafgen, Inc. (Nasdaq:ZFGN), a clinical-stage biopharmaceutical company leveraging its proprietary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MetAP2 systems biology to develop novel therapies for patients affected by a range of metabolic diseases, today announced strong clinical progress with its lead ZGN-1061 program currently in development for patients with complex type 2 diabetes. Additionally, the company unveiled plans to return to the rare metabolic disease space in 2018, with a second highly optimized MetAP2 development candidate, ZGN-1258, targeting an initial indication in Prader-Willi syndrome (PWS).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Zafgen also announced today that it increased its cash position during the fourth quarter of 2017 and expects to end calendar year 2017 with just over</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$100 million in cash, cash equivalents and marketable securities. The company is well-capitalized to support its clinical-stage development programs beyond the first half of 2019, a period that will include multiple data readouts and other program milestones.</w:t>
      </w:r>
    </w:p>
    <w:p>
      <w:pPr>
        <w:spacing w:after="0" w:line="18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“Zafgen has deep proprietary knowledge of MetAP2 systems biology, and has significantly improved the translation of that biology with new insights, chemistries and product candidates that we believe will provide safe and effective treatment options for patients affected by a range of serious, metabolically driven conditions,” said Jeffrey Hatfield, Chief Executive Officer, Zafgen. “We enter 2018 gaining momentum across the company, and have a clear vision in place for advancing our programs efficiently to drive shareholder value and ultimately deliver potentially transformative therapies to patients most in need.”</w:t>
      </w:r>
    </w:p>
    <w:p>
      <w:pPr>
        <w:spacing w:after="0" w:line="15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Zafgen has undertaken extensive efforts to further characterize the MetAP2 pathway and its effects in various systems, and to optimize the profile of its development candidates to reflect this increased understanding. Each of Zafgen’s current development candidates has been designed to preferentially distribute to specific target tissue systems relating directly to the indication being pursued, while reducing significantly the exposure to other tissue systems reached by its first MetAP2 inhibitor. As a result, the company expects that the current development candidates will have a substantial safety advantage over its first MetAP2 inhibitor.</w:t>
      </w:r>
    </w:p>
    <w:p>
      <w:pPr>
        <w:spacing w:after="0" w:line="18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are excited about the strong progress we have made throughout our development portfolio, particularly in our extended, company-wide effort to guide our return to clinical development for PWS,” said Thomas Hughes, Ph.D., President and Chief Scientific Officer, Zafgen. “We are proceeding with a mix of purpose, care and transparency to translate the insights we have gained into investigational therapies with the efficacy and safety profile needed to meet the unique needs of patients affected by a range of diseases, including PWS.”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updates and milestones in 2018 across each program include: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ZGN-1061 for Type 2 Diabetes</w:t>
      </w:r>
    </w:p>
    <w:p>
      <w:pPr>
        <w:spacing w:after="0" w:line="23" w:lineRule="exact"/>
        <w:rPr>
          <w:sz w:val="20"/>
          <w:szCs w:val="20"/>
          <w:color w:val="auto"/>
        </w:rPr>
      </w:pPr>
    </w:p>
    <w:p>
      <w:pPr>
        <w:ind w:left="900" w:right="140" w:hanging="446"/>
        <w:spacing w:after="0" w:line="30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Enrollment is complete in Zafgen’s Phase 2 clinical trial of ZGN-1061, its investigational MetAP2 inhibitor for the treatment of type 2 diabetes, with 137 patients participating versus 120 planned (+14%) due to accelerated participation interest in the final weeks of the enrollment period. The Phase 2 trial is designed to evaluate safety, tolerability and glucose-lowering efficacy in diabetes patients who are also obese.</w:t>
      </w:r>
    </w:p>
    <w:p>
      <w:pPr>
        <w:spacing w:after="0" w:line="60" w:lineRule="exact"/>
        <w:rPr>
          <w:rFonts w:ascii="Arial" w:cs="Arial" w:eastAsia="Arial" w:hAnsi="Arial"/>
          <w:sz w:val="16"/>
          <w:szCs w:val="16"/>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Topline data are expected mid-year 2018.</w:t>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ZGN-1258 for Prader-Willi Syndrome and Additional Rare Disorders</w:t>
      </w:r>
    </w:p>
    <w:p>
      <w:pPr>
        <w:spacing w:after="0" w:line="23" w:lineRule="exact"/>
        <w:rPr>
          <w:sz w:val="20"/>
          <w:szCs w:val="20"/>
          <w:color w:val="auto"/>
        </w:rPr>
      </w:pPr>
    </w:p>
    <w:p>
      <w:pPr>
        <w:ind w:left="900" w:right="460" w:hanging="446"/>
        <w:spacing w:after="0" w:line="261"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Zafgen has selected ZGN-1258 as its development candidate for treating rare or orphan metabolic diseases, beginning with PWS, following extensive optimization and preclinical safety and efficacy profiling.</w:t>
      </w:r>
    </w:p>
    <w:p>
      <w:pPr>
        <w:spacing w:after="0" w:line="89"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Zafgen is beginning investigational new drug (IND) application-enabling work in the first quarter of 2018 in preparation for filing an IND with the U.S. Food and Drug Administration (FDA) and beginning Phase 1 clinical development by the end of the year.</w:t>
      </w:r>
    </w:p>
    <w:p>
      <w:pPr>
        <w:spacing w:after="0" w:line="75"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ZGN-1258 is designed to change the way the body metabolizes fat, reduce fat mass and decrease hyperphagia in PWS, a rare genetic form of life-threatening obesity characterized by unrelenting pathologic hunger (hyperphagia) leading to dangerous food-seeking behavior.</w:t>
      </w:r>
    </w:p>
    <w:p>
      <w:pPr>
        <w:spacing w:after="0" w:line="51" w:lineRule="exact"/>
        <w:rPr>
          <w:rFonts w:ascii="Arial" w:cs="Arial" w:eastAsia="Arial" w:hAnsi="Arial"/>
          <w:sz w:val="17"/>
          <w:szCs w:val="17"/>
          <w:color w:val="auto"/>
        </w:rPr>
      </w:pPr>
    </w:p>
    <w:p>
      <w:pPr>
        <w:ind w:left="900" w:right="2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ZGN-1258 exhibits an expanded ability to act on hunger control centers, in addition to peripheral adipose tissue, differentiating it from ZGN-1061. Based on preclinical studies, the efficacy profile of ZGN-1258 closely aligns with data seen in previous trials with the company’s first MetAP2 inhibitor, but, importantly, the new compound appears to have no activity in endothelial cells </w:t>
      </w:r>
      <w:r>
        <w:rPr>
          <w:rFonts w:ascii="Arial" w:cs="Arial" w:eastAsia="Arial" w:hAnsi="Arial"/>
          <w:sz w:val="18"/>
          <w:szCs w:val="18"/>
          <w:i w:val="1"/>
          <w:iCs w:val="1"/>
          <w:color w:val="auto"/>
        </w:rPr>
        <w:t>in vitro</w:t>
      </w:r>
      <w:r>
        <w:rPr>
          <w:rFonts w:ascii="Arial" w:cs="Arial" w:eastAsia="Arial" w:hAnsi="Arial"/>
          <w:sz w:val="18"/>
          <w:szCs w:val="18"/>
          <w:color w:val="auto"/>
        </w:rPr>
        <w:t>, which is critical to reduce risk of thrombosis and thrombotic events in this patient population.</w:t>
      </w:r>
    </w:p>
    <w:p>
      <w:pPr>
        <w:spacing w:after="0" w:line="92"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part of its commitment to the PWS community, Zafgen will also be developing and launching a global PWS natural history study mid-year. This study will inform Zafgen’s development program, and will provide first-ever insights into the medical and clinical history in people with PWS.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p>
    <w:p>
      <w:pPr>
        <w:spacing w:after="0" w:line="27" w:lineRule="exact"/>
        <w:rPr>
          <w:sz w:val="20"/>
          <w:szCs w:val="20"/>
          <w:color w:val="auto"/>
        </w:rPr>
      </w:pPr>
    </w:p>
    <w:p>
      <w:pPr>
        <w:ind w:left="900" w:right="80" w:hanging="446"/>
        <w:spacing w:after="0" w:line="261"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Zafgen entered into a $20 million venture debt financing agreement with Silicon Valley Bank on December 29, 2017, adding non-dilutive capital to its balance sheet and extending its expected cash runway beyond the first half of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Zafgen (Nasdaq:ZFGN) is a clinical-stage biopharmaceutical company leveraging its proprietary knowledge of MetAP2 systems biology to develop novel therapies for patients affected by a range of complex metabolic diseases. Zafgen has pioneered the study of MetAP2 inhibitors in both common and rare metabolic disorders, and its current disease areas of focus are type 2 diabetes, Prader-Willi syndrome and liver diseases. The company’s lead product candidate is ZGN-1061, a MetAP2 inhibitor in Phase 2 clinical development with unique properties that maximize impact on metabolic parameters relevant to the treatment of type 2 diabetes and other related metabolic disorders. In 2018, Zafgen plans to file an investigational new drug (IND) application with the U.S. FDA and initiate Phase 1 clinical trials for ZGN-1258, its new molecule for the treatment of Prader-Willi syndrome and potential other rare and serious forms of obesity. Learn more at www.zafgen.com.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Various statements in this release concerning Zafgen’s future expectations, plans and prospects, including without limitation, Zafgen’s expectations regarding the use of ZGN-1258, ZGN-1061 and other second-generation MetAP2 inhibitors as treatments for metabolic diseases including Prader-Willi syndrome, type 2 diabetes and obesity and Zafgen’s expectations with respect to the timing and success of its preclinical studies and clinical trials of ZGN-1258, ZGN-1061 and its other product candidates, Zafgen’s expected cash, cash equivalents and marketable securities balance as of December 31, 2017, and Zafgen’s expectations regarding the length of its cash runway, may constitute forward-looking statements for the purposes of the safe harbor provisions under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w:t>
      </w:r>
    </w:p>
    <w:p>
      <w:pPr>
        <w:sectPr>
          <w:pgSz w:w="11900" w:h="16838" w:orient="portrait"/>
          <w:cols w:equalWidth="0" w:num="1">
            <w:col w:w="11420"/>
          </w:cols>
          <w:pgMar w:left="240" w:top="274" w:right="239" w:bottom="1440" w:gutter="0" w:footer="0" w:header="0"/>
        </w:sectPr>
      </w:pPr>
    </w:p>
    <w:bookmarkStart w:id="43" w:name="page44"/>
    <w:bookmarkEnd w:id="4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safety of ZGN-1258, ZGN-1061 and its other product candidates and to differentiate ZGN-1258, ZGN-1061 and its other product candidates from first generation MetAP2 inhibitors, such as beloranib, the preclinical and clinical results for ZGN-1258, ZGN-1061 and its other product candidates, which may not support further development and marketing approval, actions of regulatory agencies, which may affect the initiation, timing and progress of preclinical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w:t>
      </w:r>
    </w:p>
    <w:p>
      <w:pPr>
        <w:spacing w:after="0" w:line="1"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in Zafgen’s most recent Quarterly Report on Form 10-Q filed with the Securities and Exchange Commission, as well as discussions of potential risks, uncertainties, and other important factors in Zafgen’s subsequent filings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Laura Perry or Mary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laura@argotpartners.com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mary@argotpartners.com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
    <w:nsid w:val="8EDBDAB"/>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35"/>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4"/>
    </w:lvl>
  </w:abstractNum>
  <w:abstractNum w:abstractNumId="8">
    <w:nsid w:val="71F32454"/>
    <w:multiLevelType w:val="hybridMultilevel"/>
    <w:lvl w:ilvl="0">
      <w:lvlJc w:val="left"/>
      <w:lvlText w:val="(%1)"/>
      <w:numFmt w:val="lowerLetter"/>
      <w:start w:val="7"/>
    </w:lvl>
  </w:abstractNum>
  <w:abstractNum w:abstractNumId="9">
    <w:nsid w:val="2CA88611"/>
    <w:multiLevelType w:val="hybridMultilevel"/>
    <w:lvl w:ilvl="0">
      <w:lvlJc w:val="left"/>
      <w:lvlText w:val="(%1)"/>
      <w:numFmt w:val="lowerLetter"/>
      <w:start w:val="1"/>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lowerRoman"/>
      <w:start w:val="3"/>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7"/>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2"/>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3"/>
    </w:lvl>
  </w:abstractNum>
  <w:abstractNum w:abstractNumId="25">
    <w:nsid w:val="5072367"/>
    <w:multiLevelType w:val="hybridMultilevel"/>
    <w:lvl w:ilvl="0">
      <w:lvlJc w:val="left"/>
      <w:lvlText w:val="(%1)"/>
      <w:numFmt w:val="lowerLetter"/>
      <w:start w:val="9"/>
    </w:lvl>
  </w:abstractNum>
  <w:abstractNum w:abstractNumId="26">
    <w:nsid w:val="3804823E"/>
    <w:multiLevelType w:val="hybridMultilevel"/>
    <w:lvl w:ilvl="0">
      <w:lvlJc w:val="left"/>
      <w:lvlText w:val="%1"/>
      <w:numFmt w:val="decimal"/>
      <w:start w:val="10"/>
    </w:lvl>
  </w:abstractNum>
  <w:abstractNum w:abstractNumId="27">
    <w:nsid w:val="77465F01"/>
    <w:multiLevelType w:val="hybridMultilevel"/>
    <w:lvl w:ilvl="0">
      <w:lvlJc w:val="left"/>
      <w:lvlText w:val="%1"/>
      <w:numFmt w:val="decimal"/>
      <w:start w:val="13"/>
    </w:lvl>
  </w:abstractNum>
  <w:abstractNum w:abstractNumId="28">
    <w:nsid w:val="7724C67E"/>
    <w:multiLevelType w:val="hybridMultilevel"/>
    <w:lvl w:ilvl="0">
      <w:lvlJc w:val="left"/>
      <w:lvlText w:val="(%1)"/>
      <w:numFmt w:val="decimal"/>
      <w:start w:val="7"/>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3"/>
    </w:lvl>
  </w:abstractNum>
  <w:abstractNum w:abstractNumId="31">
    <w:nsid w:val="5E884ADC"/>
    <w:multiLevelType w:val="hybridMultilevel"/>
    <w:lvl w:ilvl="0">
      <w:lvlJc w:val="left"/>
      <w:lvlText w:val="(%1)"/>
      <w:numFmt w:val="lowerLetter"/>
      <w:start w:val="2"/>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4"/>
    </w:lvl>
  </w:abstractNum>
  <w:abstractNum w:abstractNumId="35">
    <w:nsid w:val="153EA438"/>
    <w:multiLevelType w:val="hybridMultilevel"/>
    <w:lvl w:ilvl="0">
      <w:lvlJc w:val="left"/>
      <w:lvlText w:val="(%1)"/>
      <w:numFmt w:val="lowerLetter"/>
      <w:start w:val="5"/>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8"/>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5"/>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2019-12-29T01:55:43Z</dcterms:created>
  <dcterms:modified xsi:type="dcterms:W3CDTF">2019-12-29T01:55:43Z</dcterms:modified>
</cp:coreProperties>
</file>