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820" w:right="1540" w:hanging="3803"/>
        <w:spacing w:after="0" w:line="303" w:lineRule="auto"/>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000" w:right="1540" w:hanging="3983"/>
        <w:spacing w:after="0" w:line="344" w:lineRule="auto"/>
        <w:tabs>
          <w:tab w:leader="none" w:pos="52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____</w:t>
      </w:r>
    </w:p>
    <w:p>
      <w:pPr>
        <w:ind w:left="4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001-36510</w:t>
      </w:r>
    </w:p>
    <w:p>
      <w:pPr>
        <w:spacing w:after="0" w:line="2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06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216"/>
        </w:trPr>
        <w:tc>
          <w:tcPr>
            <w:tcW w:w="406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Bala Cynwyd, PA</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96"/>
        </w:trPr>
        <w:tc>
          <w:tcPr>
            <w:tcW w:w="4060" w:type="dxa"/>
            <w:vAlign w:val="bottom"/>
          </w:tcPr>
          <w:p>
            <w:pPr>
              <w:spacing w:after="0"/>
              <w:rPr>
                <w:sz w:val="24"/>
                <w:szCs w:val="24"/>
                <w:color w:val="auto"/>
              </w:rPr>
            </w:pPr>
          </w:p>
        </w:tc>
        <w:tc>
          <w:tcPr>
            <w:tcW w:w="2700" w:type="dxa"/>
            <w:vAlign w:val="bottom"/>
            <w:gridSpan w:val="2"/>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9"/>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7480" w:type="dxa"/>
            <w:vAlign w:val="bottom"/>
            <w:gridSpan w:val="4"/>
          </w:tcPr>
          <w:p>
            <w:pPr>
              <w:jc w:val="center"/>
              <w:ind w:left="36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250"/>
        </w:trPr>
        <w:tc>
          <w:tcPr>
            <w:tcW w:w="4060" w:type="dxa"/>
            <w:vAlign w:val="bottom"/>
          </w:tcPr>
          <w:p>
            <w:pPr>
              <w:spacing w:after="0"/>
              <w:rPr>
                <w:sz w:val="21"/>
                <w:szCs w:val="21"/>
                <w:color w:val="auto"/>
              </w:rPr>
            </w:pPr>
          </w:p>
        </w:tc>
        <w:tc>
          <w:tcPr>
            <w:tcW w:w="34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3760" w:type="dxa"/>
            <w:vAlign w:val="bottom"/>
          </w:tcPr>
          <w:p>
            <w:pPr>
              <w:spacing w:after="0"/>
              <w:rPr>
                <w:sz w:val="21"/>
                <w:szCs w:val="21"/>
                <w:color w:val="auto"/>
              </w:rPr>
            </w:pPr>
          </w:p>
        </w:tc>
      </w:tr>
      <w:tr>
        <w:trPr>
          <w:trHeight w:val="147"/>
        </w:trPr>
        <w:tc>
          <w:tcPr>
            <w:tcW w:w="4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122"/>
        </w:trPr>
        <w:tc>
          <w:tcPr>
            <w:tcW w:w="4060" w:type="dxa"/>
            <w:vAlign w:val="bottom"/>
            <w:tcBorders>
              <w:left w:val="single" w:sz="8" w:color="auto"/>
              <w:bottom w:val="single" w:sz="8" w:color="auto"/>
            </w:tcBorders>
          </w:tcPr>
          <w:p>
            <w:pPr>
              <w:jc w:val="center"/>
              <w:ind w:left="384"/>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25"/>
        </w:trPr>
        <w:tc>
          <w:tcPr>
            <w:tcW w:w="4060" w:type="dxa"/>
            <w:vAlign w:val="bottom"/>
            <w:tcBorders>
              <w:left w:val="single" w:sz="8" w:color="auto"/>
              <w:bottom w:val="single" w:sz="8" w:color="auto"/>
            </w:tcBorders>
          </w:tcPr>
          <w:p>
            <w:pPr>
              <w:jc w:val="center"/>
              <w:ind w:left="364"/>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LRMR</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0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96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27, 2025, there were 64,027,892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Statements made in this Quarterly Report on Form 10-Q that are not statements of historical or current facts are “forward-looking statements” within the meaning of the Private Securities Litigation Reform Act of 1995, as amended.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1020" w:right="20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(“FDA”), European Medicines Agency ("EMA") and other comparable regulatory authorities for marketing approval for nomlabofusp (nomlabofusp is the International Nonproprietary Name and the United States Adopted Name for CTI-1601 ) or any other product candidates that we may develop in the future and unexpected costs that may result therefrom;</w:t>
      </w:r>
    </w:p>
    <w:p>
      <w:pPr>
        <w:spacing w:after="0" w:line="75"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FDA's request for additional information or studies (whether clinical or non-clinical), changes in clinical protocols, adverse events, regulatory restrictions, including additional clinical holds, and milestones for nomlabofusp;</w:t>
      </w:r>
    </w:p>
    <w:p>
      <w:pPr>
        <w:spacing w:after="0" w:line="7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ongoing open label extension trial (“OLE”) and our pediatric PK run-in trial, including the timing of site initiations and the rate of patient enrollment;</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participating in the FDA’s Support for Clinical Trials Advancing Rare Disease Therapeutics (“START”) pilot program for the development of nomlabofusp;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(“BLA”) submission for accelerated approval, including our ability to supply to the FDA all required data for the FDA to review and accept an accelerated application, or any other product candidates that we may develop in the future;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future financings, if any;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86" w:lineRule="exact"/>
        <w:rPr>
          <w:sz w:val="20"/>
          <w:szCs w:val="20"/>
          <w:color w:val="auto"/>
        </w:rPr>
      </w:pPr>
    </w:p>
    <w:p>
      <w:pPr>
        <w:ind w:left="1020" w:right="120"/>
        <w:spacing w:after="0" w:line="282" w:lineRule="auto"/>
        <w:rPr>
          <w:sz w:val="20"/>
          <w:szCs w:val="20"/>
          <w:color w:val="auto"/>
        </w:rPr>
      </w:pPr>
      <w:r>
        <w:rPr>
          <w:rFonts w:ascii="Times New Roman" w:cs="Times New Roman" w:eastAsia="Times New Roman" w:hAnsi="Times New Roman"/>
          <w:sz w:val="18"/>
          <w:szCs w:val="18"/>
          <w:color w:val="auto"/>
        </w:rPr>
        <w:t>product candidates that we may develop in the future and our ability to maintain our relationships and contracts with our key vendors and to identify and contract with alternate or secondary key vendors;</w:t>
      </w:r>
    </w:p>
    <w:p>
      <w:pPr>
        <w:spacing w:after="0" w:line="54" w:lineRule="exact"/>
        <w:rPr>
          <w:sz w:val="20"/>
          <w:szCs w:val="20"/>
          <w:color w:val="auto"/>
        </w:rPr>
      </w:pPr>
    </w:p>
    <w:p>
      <w:pPr>
        <w:jc w:val="both"/>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9"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both approved and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4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monetary policy changes, changes in trade policies, including tariffs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w:t>
      </w:r>
    </w:p>
    <w:p>
      <w:pPr>
        <w:spacing w:after="0" w:line="79"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regulatory developments in the U.S., including regulatory developments due to changes in the U.S. presidential administration, healthcare reform in the United States, including the Inflation Reduction Act of 2022 ("IRA"), and measures being taken worldwide designed to reduce healthcare costs and limit the overall level of government expenditures.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14, 2025. All forward-looking statements are applicable only as of the date on which they were made and, except as required by law, we undertake no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12"/>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60" w:type="dxa"/>
            <w:vAlign w:val="bottom"/>
            <w:tcBorders>
              <w:top w:val="single" w:sz="8" w:color="0000FF"/>
            </w:tcBorders>
            <w:gridSpan w:val="6"/>
          </w:tcPr>
          <w:p>
            <w:pPr>
              <w:spacing w:after="0"/>
              <w:rPr>
                <w:sz w:val="24"/>
                <w:szCs w:val="24"/>
                <w:color w:val="auto"/>
              </w:rPr>
            </w:pPr>
          </w:p>
        </w:tc>
        <w:tc>
          <w:tcPr>
            <w:tcW w:w="352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2025 and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2025 and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40" w:type="dxa"/>
            <w:vAlign w:val="bottom"/>
            <w:tcBorders>
              <w:bottom w:val="single" w:sz="8" w:color="0000EE"/>
            </w:tcBorders>
          </w:tcPr>
          <w:p>
            <w:pPr>
              <w:spacing w:after="0"/>
              <w:rPr>
                <w:sz w:val="24"/>
                <w:szCs w:val="24"/>
                <w:color w:val="auto"/>
              </w:rPr>
            </w:pPr>
          </w:p>
        </w:tc>
        <w:tc>
          <w:tcPr>
            <w:tcW w:w="364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80" w:type="dxa"/>
            <w:vAlign w:val="bottom"/>
            <w:gridSpan w:val="1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885"/>
        </w:trPr>
        <w:tc>
          <w:tcPr>
            <w:tcW w:w="2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gridSpan w:val="11"/>
          </w:tcPr>
          <w:p>
            <w:pPr>
              <w:jc w:val="center"/>
              <w:ind w:left="4150"/>
              <w:spacing w:after="0"/>
              <w:rPr>
                <w:sz w:val="20"/>
                <w:szCs w:val="20"/>
                <w:color w:val="auto"/>
              </w:rPr>
            </w:pPr>
            <w:r>
              <w:rPr>
                <w:rFonts w:ascii="Times New Roman" w:cs="Times New Roman" w:eastAsia="Times New Roman" w:hAnsi="Times New Roman"/>
                <w:sz w:val="18"/>
                <w:szCs w:val="18"/>
                <w:color w:val="auto"/>
                <w:w w:val="88"/>
              </w:rPr>
              <w:t>2</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170,175</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200,225</w:t>
            </w:r>
          </w:p>
        </w:tc>
        <w:tc>
          <w:tcPr>
            <w:tcW w:w="100" w:type="dxa"/>
            <w:vAlign w:val="bottom"/>
            <w:shd w:val="clear" w:color="auto" w:fill="CFF0FC"/>
          </w:tcPr>
          <w:p>
            <w:pPr>
              <w:spacing w:after="0"/>
              <w:rPr>
                <w:sz w:val="21"/>
                <w:szCs w:val="21"/>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of March 31, 2025 and December 31, 2024; no shares issued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2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authorized as of March 31, 2025 and December 31, 2024;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64,027,892 and 63,815,065 shares issued and outstanding as of</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(298,439)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(269,158)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144,271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170,175</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-3950970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-3110865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-3093720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26,552</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00" w:type="dxa"/>
            <w:vAlign w:val="bottom"/>
          </w:tcPr>
          <w:p>
            <w:pPr>
              <w:spacing w:after="0"/>
              <w:rPr>
                <w:sz w:val="18"/>
                <w:szCs w:val="18"/>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(31,188)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(16,734)</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(29,281)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(14,654)</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5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(0.27)</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63,964,008</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53,553,707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(29,281)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(14,654)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(29,375)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(14,760)</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-1791335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-890905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-873760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100" w:type="dxa"/>
            <w:vAlign w:val="bottom"/>
            <w:gridSpan w:val="3"/>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10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02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63,815,065</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440,758</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(269,158)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212,827</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(29,281)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(29,281)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64,027,892</w:t>
            </w:r>
          </w:p>
        </w:tc>
        <w:tc>
          <w:tcPr>
            <w:tcW w:w="104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(298,439)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20" w:type="dxa"/>
            <w:vAlign w:val="bottom"/>
          </w:tcPr>
          <w:p>
            <w:pPr>
              <w:spacing w:after="0"/>
              <w:rPr>
                <w:sz w:val="24"/>
                <w:szCs w:val="24"/>
                <w:color w:val="auto"/>
              </w:rPr>
            </w:pPr>
          </w:p>
        </w:tc>
        <w:tc>
          <w:tcPr>
            <w:tcW w:w="2100" w:type="dxa"/>
            <w:vAlign w:val="bottom"/>
            <w:gridSpan w:val="3"/>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24"/>
                <w:szCs w:val="2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0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02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43,909,069</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19,736,842</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(14,654)</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63,800,017</w:t>
            </w:r>
          </w:p>
        </w:tc>
        <w:tc>
          <w:tcPr>
            <w:tcW w:w="104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(203,208)</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-1593850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-1576705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-1593850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-1576705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-1593850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-1576705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-1593850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-1576705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-1593850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-1576705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3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(29,281)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(14,654)</w:t>
            </w: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expense</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(26,540)</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(10,411)</w:t>
            </w:r>
          </w:p>
        </w:tc>
      </w:tr>
      <w:tr>
        <w:trPr>
          <w:trHeight w:val="210"/>
        </w:trPr>
        <w:tc>
          <w:tcPr>
            <w:tcW w:w="8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(52,503)</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(84,864)</w:t>
            </w:r>
          </w:p>
        </w:tc>
      </w:tr>
      <w:tr>
        <w:trPr>
          <w:trHeight w:val="216"/>
        </w:trPr>
        <w:tc>
          <w:tcPr>
            <w:tcW w:w="8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(68,364)</w:t>
            </w:r>
          </w:p>
        </w:tc>
      </w:tr>
      <w:tr>
        <w:trPr>
          <w:trHeight w:val="210"/>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equity securities, net of issuance costs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162,151</w:t>
            </w:r>
          </w:p>
        </w:tc>
        <w:tc>
          <w:tcPr>
            <w:tcW w:w="120" w:type="dxa"/>
            <w:vAlign w:val="bottom"/>
          </w:tcPr>
          <w:p>
            <w:pPr>
              <w:spacing w:after="0"/>
              <w:rPr>
                <w:sz w:val="18"/>
                <w:szCs w:val="18"/>
                <w:color w:val="auto"/>
              </w:rPr>
            </w:pPr>
          </w:p>
        </w:tc>
      </w:tr>
      <w:tr>
        <w:trPr>
          <w:trHeight w:val="209"/>
        </w:trPr>
        <w:tc>
          <w:tcPr>
            <w:tcW w:w="8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(12,092)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83,376</w:t>
            </w:r>
          </w:p>
        </w:tc>
        <w:tc>
          <w:tcPr>
            <w:tcW w:w="120" w:type="dxa"/>
            <w:vAlign w:val="bottom"/>
          </w:tcPr>
          <w:p>
            <w:pPr>
              <w:spacing w:after="0"/>
              <w:rPr>
                <w:sz w:val="18"/>
                <w:szCs w:val="18"/>
                <w:color w:val="auto"/>
              </w:rPr>
            </w:pPr>
          </w:p>
        </w:tc>
      </w:tr>
      <w:tr>
        <w:trPr>
          <w:trHeight w:val="216"/>
        </w:trPr>
        <w:tc>
          <w:tcPr>
            <w:tcW w:w="8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111,464</w:t>
            </w:r>
          </w:p>
        </w:tc>
        <w:tc>
          <w:tcPr>
            <w:tcW w:w="120" w:type="dxa"/>
            <w:vAlign w:val="bottom"/>
          </w:tcPr>
          <w:p>
            <w:pPr>
              <w:spacing w:after="0"/>
              <w:rPr>
                <w:sz w:val="18"/>
                <w:szCs w:val="18"/>
                <w:color w:val="auto"/>
              </w:rPr>
            </w:pPr>
          </w:p>
        </w:tc>
      </w:tr>
      <w:tr>
        <w:trPr>
          <w:trHeight w:val="210"/>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expense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-1979930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-1979930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-1422400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-848360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-848360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-565150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and the United States Adopted Name for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Larimar has completed two Phase 1 clinical trials and a Phase 2 dose exploration trial, and has an ongoing Phase 2 OLE trial in patients with FA and an ongoing run-in study in adolescent patients with FA.</w:t>
      </w:r>
    </w:p>
    <w:p>
      <w:pPr>
        <w:spacing w:after="0" w:line="5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In May 2021, the Company reported positive top-line data from its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spacing w:after="0" w:line="5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reported preliminary unblinded top-line data from the 25 mg cohort of the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68"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In July 2023, the FDA cleared initiation of a second cohort (50 mg) of the four-week, placebo-controlled, Phase 2 dose exploration trial of nomlabofusp in patients with FA and the initiation of the OLE trial with daily dosing of 25 mg.</w:t>
      </w:r>
    </w:p>
    <w:p>
      <w:pPr>
        <w:spacing w:after="0" w:line="54"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7"/>
          <w:szCs w:val="17"/>
          <w:color w:val="auto"/>
        </w:rPr>
        <w:t>In February 2024, the Company reported positive top-line data and successful completion of the Phase 2 dose exploration study.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Patients who completed treatment in the Phase 2 dose exploration study or who previously completed a prior clinical trial of nomlabofusp are eligible to screen and possibly participate in the OLE study.</w:t>
      </w:r>
    </w:p>
    <w:p>
      <w:pPr>
        <w:spacing w:after="0" w:line="7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March 2024, Larimar dosed the first patient in the OLE trial, evaluating daily subcutaneous injections of 25 mg of nomlabofusp self-administered or administered by a caregiver.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30, 2024, Larimar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the Company received access to the Medicines and Healthcare Regulatory Agency ("MHRA”) Innovative Licensing and Access Pathway (“ILAP”) for the treatment of adults and children with FA. The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(the “EU”), and access to the PRIME scheme in the EU.</w:t>
      </w:r>
    </w:p>
    <w:p>
      <w:pPr>
        <w:spacing w:after="0" w:line="75"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reported positive initial data from the ongoing OLE study. This data included safety, FXN levels, clinical, pharmacokinetic data and dose escalation: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86" w:lineRule="exact"/>
        <w:rPr>
          <w:sz w:val="20"/>
          <w:szCs w:val="20"/>
          <w:color w:val="auto"/>
        </w:rPr>
      </w:pPr>
    </w:p>
    <w:p>
      <w:pPr>
        <w:ind w:left="900" w:right="10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withdrew from the study;</w:t>
      </w:r>
    </w:p>
    <w:p>
      <w:pPr>
        <w:spacing w:after="0" w:line="67" w:lineRule="exact"/>
        <w:rPr>
          <w:rFonts w:ascii="Times New Roman" w:cs="Times New Roman" w:eastAsia="Times New Roman" w:hAnsi="Times New Roman"/>
          <w:sz w:val="18"/>
          <w:szCs w:val="18"/>
          <w:color w:val="auto"/>
        </w:rPr>
      </w:pPr>
    </w:p>
    <w:p>
      <w:pPr>
        <w:jc w:val="both"/>
        <w:ind w:left="900" w:right="16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FXN levels appear to reach steady-state levels by Day 30 in buccal cells;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clinical data showed trends toward improvement across a number of clinical outcomes for long-term 25 mg daily nomlabofusp including:</w:t>
      </w:r>
    </w:p>
    <w:p>
      <w:pPr>
        <w:spacing w:after="0" w:line="38" w:lineRule="exact"/>
        <w:rPr>
          <w:rFonts w:ascii="Times New Roman" w:cs="Times New Roman" w:eastAsia="Times New Roman" w:hAnsi="Times New Roman"/>
          <w:sz w:val="17"/>
          <w:szCs w:val="17"/>
          <w:color w:val="auto"/>
        </w:rPr>
      </w:pPr>
    </w:p>
    <w:p>
      <w:pPr>
        <w:ind w:left="900"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decreased values indicating early trends towards improvement in the Modified Friedreich's Ataxia Rating Scale (mFARS) and the FARS-Activities of Daily Living ("ADL"), Modified Fatigue Impact Scale and 9 hole peg test at 90 days relative to baseline;</w:t>
      </w:r>
    </w:p>
    <w:p>
      <w:pPr>
        <w:spacing w:after="0" w:line="73" w:lineRule="exact"/>
        <w:rPr>
          <w:rFonts w:ascii="Times New Roman" w:cs="Times New Roman" w:eastAsia="Times New Roman" w:hAnsi="Times New Roman"/>
          <w:sz w:val="17"/>
          <w:szCs w:val="17"/>
          <w:color w:val="auto"/>
        </w:rPr>
      </w:pPr>
    </w:p>
    <w:p>
      <w:pPr>
        <w:ind w:left="900" w:right="1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Also in December 2024, Larimar announced that it was increasing the dose in the OLE to 50 mg of nomlabofusp daily for then currently enrolled and all future OLE study participants. In March 2025, the Company announced that its Safety Monitoring Team has deemed anaphylaxis as an adverse drug reaction likely associated with nomlabofusp and therefore, Larimar expects to see additional reactions. To reduce the risk of allergic reactions, including anaphylaxis, Larimar amended the OLE protocol to administer premedication for the first month of dosing. The OLE study is ongoing with seven sites activated and participants continuing to enroll. Active study participants are currently receiving the 50 mg dose of nomlabofusp. The Company plans to provide an update on OLE data on at least 30 to 40 study participants, some of whom have been receiving nomlabofusp for more than a year, in September 2025.</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January 2025, the Company initiated dosing of adolescents (12-17 years old) in a pharmacokinetic ("PK") run-in study for pediatric patients with FA. Study participants in the PK run-in study were randomized 2:1 to receive either nomlabofusp at a weight-base dose expected to match the PK of adults receiving the 50 mg dose, or placebo, daily for seven days. Dosing of this adolescent PK run-in study was completed in March 2025. Following assessment of safety and PK data, participants will be eligible to screen for the OLE study. The data from this cohort is expected to be presented in the nomlabofusp program update in September 2025.</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February 2025, FDA accepted the data supporting the comparability of the lyophilized drug product to the frozen solution and agreed with Larimar’s plans to introduce the lyophilized product into its clinical development program in mid-2025. The frozen solution is the dosage form currently being used in the OLE. The lyophilized drug product is the formulation that Larimar intends to commercialize.</w:t>
      </w:r>
    </w:p>
    <w:p>
      <w:pPr>
        <w:spacing w:after="0" w:line="68"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7"/>
          <w:szCs w:val="17"/>
          <w:color w:val="auto"/>
        </w:rPr>
        <w:t>In March 2025, the Company announced that FDA stated as part of a START pilot program that it is open to considering the use of FXN concentration as a reasonably likely surrogate endpoint (“RLSE”) and the acceptability of FXN’s concentration as an RLSE to support approval will be a matter of review in a future marketing application. FDA recommended focusing on assessments of skin FXN concentrations rather than buccal FXN concentrations due to more consistent sampling and less variability. FDA acknowledged that data the Company recently submitted appear to support a relationship between increased FXN concentrations in skin cells and relevant tissues such as the heart, dorsal root ganglion and skeletal muscle. FDA also acknowledged that the nonclinical studies the Company submitted were performed at relevant human doses. FDA also suggested that the Company consider exploring the relationship between increases in FXN in skin and changes in pharmacodynamic (PD) markers such as lipid profiles and/or clinical measures to provide additional support for the use of FXN as an RLSE. The Company continues to interact with the FDA under the START pilot program, including seeking feedback on the adequacy of the safety data set for a BLA submission seeking accelerated approval targeted for the end of 2025.</w:t>
      </w:r>
    </w:p>
    <w:p>
      <w:pPr>
        <w:spacing w:after="0" w:line="6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Company has obtained feedback from both FDA and EMA on the global Phase 3 study protocol, and the Company is on track to initiate the study by mid-2025 with potential sites in the U.S., E.U., U.K, Canada, and Australia.</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capabilities. Even if the Company's drug development efforts are successful, it is uncertain when, if ever, it will realize significant revenue from product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U.S. Generally Accepted Accounting Principles ("GAAP").</w:t>
      </w:r>
    </w:p>
    <w:p>
      <w:pPr>
        <w:spacing w:after="0" w:line="6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was derived from the Company’s audited financial statements but does not include all disclosures required by GAAP. The accompanying unaudited condensed consolidated financial statements as of March 31, 2025 and for the three months ended March 31, 2025 and 2024,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2024 included in the Company’s Annual Report on Form 10-K filed with the SEC on March 24, 2025.</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March 31, 2025, condensed consolidated results of operations for the three months ended March 31, 2025 and condensed consolidated statement of cash flows for the three months ended March 31, 2025 have been made. The results of operations for the three months ended March 31, 2025 are not necessarily indicative of the results of operations that may be expected for the year ending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presented on the basis that it will continue as a going concern, which contemplates the realization of assets and satisfaction of liabilities in the normal course of business.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$29.3 million and $14.7 million for the three months ended March 31, 2025 and 2024, respectively. In addition, as of March 31, 2025, the Company had an accumulated deficit of $298.4 million. The Company expects to continue to generate operating losses for the foreseeable future. As of March 31, 2025, the Company had approximately $157.5 million of cash, cash equivalents and marketable securities available for use to fund its operations and capital requirements.</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will be sufficient to fund its forecasted operating expenses and capital expenditure requirements for at least twelve months from the date these financial statements are issued, into the second quarter of 2026. If the timing of the Company's clinical assumptions are delayed or if there are other forecasted assumption changes that negatively impact its operating plan, the Company would reduce expenditures in order to further extend cash resources.</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commercialization efforts and/or commercial operations, which could adversely affect its business prospects, or the Company may be unable to continue operations.</w:t>
      </w:r>
    </w:p>
    <w:p>
      <w:pPr>
        <w:spacing w:after="0" w:line="17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spacing w:after="0" w:line="7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Company excluded 9,564,550 and 6,555,145 common stock equivalents outstanding as of March 31, 2025 and 2024, respectively, from the computation of diluted net loss per share for the three months ended March 31, 2025 and 2024 because they had an anti-dilutive impact due to the net loss incurred for the periods presented.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 making group, in deciding how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allocate resources in assessing performance. The Company is managed on a consolidated basis and has one operating and reportable segment related to the development of clinical and preclinical product candidates for the development of the Company’s proprietary new therapies, primarily nomlabofusp, the Company's life science segment. The Company’s chief operating decision maker (“CODM”) is the Company's chief executive officer ("CEO").</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Company and its reportable segment based on net loss, which is reported on the consolidated Statements of Operations. The measure of segment assets is reported on the balance sheet as total consolidated assets. All long-lived assets are located in the U.S.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regulatory approval.</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CODM uses consolidated financial information, including consolidated net loss, to evaluate performance, forecast future period financial results, allocate resources for the company by, among other things, comparing budgeted to actual results.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regularly provided to the CODM for the three months ended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50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5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Technical operations</w:t>
            </w:r>
          </w:p>
        </w:tc>
        <w:tc>
          <w:tcPr>
            <w:tcW w:w="368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Development (a)</w:t>
            </w:r>
          </w:p>
        </w:tc>
        <w:tc>
          <w:tcPr>
            <w:tcW w:w="2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Nomlabofusp support</w:t>
            </w: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(b)</w:t>
            </w:r>
          </w:p>
        </w:tc>
        <w:tc>
          <w:tcPr>
            <w:tcW w:w="2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7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8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(2,080)</w:t>
            </w:r>
          </w:p>
        </w:tc>
      </w:tr>
      <w:tr>
        <w:trPr>
          <w:trHeight w:val="20"/>
        </w:trPr>
        <w:tc>
          <w:tcPr>
            <w:tcW w:w="50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7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(29,281)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(14,654)</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7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60" w:firstLine="517"/>
        <w:spacing w:after="0" w:line="282" w:lineRule="auto"/>
        <w:tabs>
          <w:tab w:leader="none" w:pos="7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include research and development related stock compensation expense of approximately $0.9 million for the three months ended March 31, 2025 and 2024, respectively.</w:t>
      </w:r>
    </w:p>
    <w:p>
      <w:pPr>
        <w:spacing w:after="0" w:line="53" w:lineRule="exact"/>
        <w:rPr>
          <w:rFonts w:ascii="Times New Roman" w:cs="Times New Roman" w:eastAsia="Times New Roman" w:hAnsi="Times New Roman"/>
          <w:sz w:val="18"/>
          <w:szCs w:val="18"/>
          <w:color w:val="auto"/>
        </w:rPr>
      </w:pPr>
    </w:p>
    <w:p>
      <w:pPr>
        <w:ind w:right="160" w:firstLine="517"/>
        <w:spacing w:after="0" w:line="282" w:lineRule="auto"/>
        <w:tabs>
          <w:tab w:leader="none" w:pos="7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general and administrative related stock compensation expense of approximately $0.9 million and $1.2 million for the three months ended March 31,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adopted ASU 2023-07, effective December 31, 2024, in these consolidated financial statements. ASU 2023-07 only impacted the disclosures and did not impact the consolidated financial statements. See Note 2, Segment Information, for disclosures related to the adoption of ASU 2023-07.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(Topic 740),” which requires entities to disclose in their rate reconciliation table additional categories of information about federal, state and foreign income taxes as well as additional information about reconciling items if certain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quantitative thresholds are met. This ASU will require all entities to disclose income taxes paid, net of refunds, disaggregated by federal (national), state and foreign taxes for annual periods and to disaggregate the information by jurisdiction based on a quantitative threshold. All entities are required to apply the guidance prospectively, with the option to apply it retrospectively. The ASU is effective for fiscal years beginning after December 15, 2024, with early adoption permitted. The Company has determined it will adopt this ASU on January 1, 2025, the adoption of which is not expected to have a material impact on the Company’s consolidated results of operations or cash flows.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periods beginning after December 15, 2026, and interim periods within annual reporting periods beginning after December 15, 2027. Early adoption is permitted. The Company will evaluate the impact adopting ASU 2024-03 will have on the Company's consolidated financial statements and disclosures.</w:t>
      </w:r>
    </w:p>
    <w:p>
      <w:pPr>
        <w:spacing w:after="0" w:line="71"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as of March 31, 2025 and December 31, 2024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20"/>
          </w:cols>
          <w:pgMar w:left="320" w:top="1440" w:right="3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29" w:lineRule="exact"/>
        <w:rPr>
          <w:sz w:val="20"/>
          <w:szCs w:val="20"/>
          <w:color w:val="auto"/>
        </w:rPr>
      </w:pPr>
    </w:p>
    <w:p>
      <w:pPr>
        <w:sectPr>
          <w:pgSz w:w="11900" w:h="16838" w:orient="portrait"/>
          <w:cols w:equalWidth="0" w:num="2">
            <w:col w:w="680" w:space="640"/>
            <w:col w:w="990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54" w:lineRule="exact"/>
        <w:rPr>
          <w:sz w:val="20"/>
          <w:szCs w:val="20"/>
          <w:color w:val="auto"/>
        </w:rPr>
      </w:pPr>
    </w:p>
    <w:p>
      <w:pPr>
        <w:sectPr>
          <w:pgSz w:w="11900" w:h="16838" w:orient="portrait"/>
          <w:cols w:equalWidth="0" w:num="2">
            <w:col w:w="680" w:space="640"/>
            <w:col w:w="990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117" w:lineRule="exact"/>
        <w:rPr>
          <w:sz w:val="20"/>
          <w:szCs w:val="20"/>
          <w:color w:val="auto"/>
        </w:rPr>
      </w:pPr>
    </w:p>
    <w:p>
      <w:pPr>
        <w:sectPr>
          <w:pgSz w:w="11900" w:h="16838" w:orient="portrait"/>
          <w:cols w:equalWidth="0" w:num="2">
            <w:col w:w="680" w:space="640"/>
            <w:col w:w="9900"/>
          </w:cols>
          <w:pgMar w:left="320" w:top="1440" w:right="359" w:bottom="1440" w:gutter="0" w:footer="0" w:header="0"/>
          <w:type w:val="continuous"/>
        </w:sect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cash equivalents, marketable securities, accounts payable and accrued liabilities. For accounts payable and accrued liabilities, the carrying amounts of these financial instruments as of March 31, 2025 and December 31, 2024 were considered representative of their fair values due to their short term to maturity.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6" w:name="page17"/>
    <w:bookmarkEnd w:id="16"/>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March 31, 2025 and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73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400" w:type="dxa"/>
            <w:vAlign w:val="bottom"/>
            <w:gridSpan w:val="3"/>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146,671</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400" w:type="dxa"/>
            <w:vAlign w:val="bottom"/>
            <w:gridSpan w:val="3"/>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124,525</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400" w:type="dxa"/>
            <w:vAlign w:val="bottom"/>
            <w:gridSpan w:val="3"/>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400" w:type="dxa"/>
            <w:vAlign w:val="bottom"/>
            <w:gridSpan w:val="3"/>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-2600960</wp:posOffset>
            </wp:positionV>
            <wp:extent cx="9398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-2600960</wp:posOffset>
            </wp:positionV>
            <wp:extent cx="9398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-2600960</wp:posOffset>
            </wp:positionV>
            <wp:extent cx="939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-2600960</wp:posOffset>
            </wp:positionV>
            <wp:extent cx="10287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-1898015</wp:posOffset>
            </wp:positionV>
            <wp:extent cx="9398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-1898015</wp:posOffset>
            </wp:positionV>
            <wp:extent cx="9398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-1898015</wp:posOffset>
            </wp:positionV>
            <wp:extent cx="9398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-1898015</wp:posOffset>
            </wp:positionV>
            <wp:extent cx="10287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-1032510</wp:posOffset>
            </wp:positionV>
            <wp:extent cx="939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-1032510</wp:posOffset>
            </wp:positionV>
            <wp:extent cx="9398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-1032510</wp:posOffset>
            </wp:positionV>
            <wp:extent cx="939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-1032510</wp:posOffset>
            </wp:positionV>
            <wp:extent cx="10287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-329565</wp:posOffset>
            </wp:positionV>
            <wp:extent cx="939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-329565</wp:posOffset>
            </wp:positionV>
            <wp:extent cx="9398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-329565</wp:posOffset>
            </wp:positionV>
            <wp:extent cx="9398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-329565</wp:posOffset>
            </wp:positionV>
            <wp:extent cx="10287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70"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$1.1 million as of March 31, 2025 and December 31, 2024, respectively, and is included in prepaid expenses and other current assets on the condensed consolidated balance sheets.</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bills,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March 31, 2025 and December 31, 2024, no allowances for credit losses for the Company’s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investments were recorded. During the three months ended March 31, 2025 and 2024, the Company did not recognize any impairment losses related to investments.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Company's cash equivalents and marketable securities consisted of a U.S. government money market fund, U.S. Treasury Bills and U.S. government and agency securities, all held in our name in a separate custody account with U.S. Bank. The U.S. government money market fund has same-day liquidity access and the U.S. government and agency securities all have maturities of 360 days or less.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March 31, 2025 and December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3"/>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136,346</w:t>
            </w:r>
          </w:p>
        </w:tc>
        <w:tc>
          <w:tcPr>
            <w:tcW w:w="24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136,400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3"/>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150,088</w:t>
            </w:r>
          </w:p>
        </w:tc>
        <w:tc>
          <w:tcPr>
            <w:tcW w:w="24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-882650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-864870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-1028065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-882650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-864870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-1028065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-882650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-864870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-1028065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-882650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and December 31, 2024, the Company held no investments that have been in a continuous loss position for 12 months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w:t>
      </w:r>
    </w:p>
    <w:p>
      <w:pPr>
        <w:spacing w:after="0" w:line="31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45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6,141</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33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r>
      <w:tr>
        <w:trPr>
          <w:trHeight w:val="249"/>
        </w:trPr>
        <w:tc>
          <w:tcPr>
            <w:tcW w:w="436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7,959</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shd w:val="clear" w:color="auto" w:fill="CFF0FC"/>
          </w:tcPr>
          <w:p>
            <w:pPr>
              <w:spacing w:after="0"/>
              <w:rPr>
                <w:sz w:val="21"/>
                <w:szCs w:val="21"/>
                <w:color w:val="auto"/>
              </w:rPr>
            </w:pPr>
          </w:p>
        </w:tc>
      </w:tr>
      <w:tr>
        <w:trPr>
          <w:trHeight w:val="845"/>
        </w:trPr>
        <w:tc>
          <w:tcPr>
            <w:tcW w:w="436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60" w:type="dxa"/>
            <w:vAlign w:val="bottom"/>
          </w:tcPr>
          <w:p>
            <w:pPr>
              <w:spacing w:after="0"/>
              <w:rPr>
                <w:sz w:val="15"/>
                <w:szCs w:val="15"/>
                <w:color w:val="auto"/>
              </w:rPr>
            </w:pP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4"/>
          </w:tcPr>
          <w:p>
            <w:pPr>
              <w:jc w:val="right"/>
              <w:ind w:right="934"/>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580" w:type="dxa"/>
            <w:vAlign w:val="bottom"/>
            <w:shd w:val="clear" w:color="auto" w:fill="CFF0FC"/>
          </w:tcPr>
          <w:p>
            <w:pPr>
              <w:jc w:val="center"/>
              <w:ind w:left="1714"/>
              <w:spacing w:after="0"/>
              <w:rPr>
                <w:sz w:val="20"/>
                <w:szCs w:val="20"/>
                <w:color w:val="auto"/>
              </w:rPr>
            </w:pPr>
            <w:r>
              <w:rPr>
                <w:rFonts w:ascii="Times New Roman" w:cs="Times New Roman" w:eastAsia="Times New Roman" w:hAnsi="Times New Roman"/>
                <w:sz w:val="18"/>
                <w:szCs w:val="18"/>
                <w:color w:val="auto"/>
                <w:w w:val="97"/>
              </w:rPr>
              <w:t>5 years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580" w:type="dxa"/>
            <w:vAlign w:val="bottom"/>
          </w:tcPr>
          <w:p>
            <w:pPr>
              <w:jc w:val="center"/>
              <w:ind w:left="1714"/>
              <w:spacing w:after="0"/>
              <w:rPr>
                <w:sz w:val="20"/>
                <w:szCs w:val="20"/>
                <w:color w:val="auto"/>
              </w:rPr>
            </w:pPr>
            <w:r>
              <w:rPr>
                <w:rFonts w:ascii="Times New Roman" w:cs="Times New Roman" w:eastAsia="Times New Roman" w:hAnsi="Times New Roman"/>
                <w:sz w:val="18"/>
                <w:szCs w:val="18"/>
                <w:color w:val="auto"/>
                <w:w w:val="97"/>
              </w:rPr>
              <w:t>5 years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580" w:type="dxa"/>
            <w:vAlign w:val="bottom"/>
            <w:shd w:val="clear" w:color="auto" w:fill="CFF0FC"/>
          </w:tcPr>
          <w:p>
            <w:pPr>
              <w:jc w:val="center"/>
              <w:ind w:left="1714"/>
              <w:spacing w:after="0"/>
              <w:rPr>
                <w:sz w:val="20"/>
                <w:szCs w:val="20"/>
                <w:color w:val="auto"/>
              </w:rPr>
            </w:pPr>
            <w:r>
              <w:rPr>
                <w:rFonts w:ascii="Times New Roman" w:cs="Times New Roman" w:eastAsia="Times New Roman" w:hAnsi="Times New Roman"/>
                <w:sz w:val="18"/>
                <w:szCs w:val="18"/>
                <w:color w:val="auto"/>
                <w:w w:val="97"/>
              </w:rPr>
              <w:t>7 years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Pr>
          <w:p>
            <w:pPr>
              <w:jc w:val="center"/>
              <w:ind w:left="1714"/>
              <w:spacing w:after="0"/>
              <w:rPr>
                <w:sz w:val="20"/>
                <w:szCs w:val="20"/>
                <w:color w:val="auto"/>
              </w:rPr>
            </w:pPr>
            <w:r>
              <w:rPr>
                <w:rFonts w:ascii="Times New Roman" w:cs="Times New Roman" w:eastAsia="Times New Roman" w:hAnsi="Times New Roman"/>
                <w:sz w:val="18"/>
                <w:szCs w:val="18"/>
                <w:color w:val="auto"/>
              </w:rPr>
              <w:t>lease term</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10"/>
        </w:trPr>
        <w:tc>
          <w:tcPr>
            <w:tcW w:w="4660" w:type="dxa"/>
            <w:vAlign w:val="bottom"/>
            <w:shd w:val="clear" w:color="auto" w:fill="CFF0FC"/>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(1,543)</w:t>
            </w:r>
          </w:p>
        </w:tc>
      </w:tr>
      <w:tr>
        <w:trPr>
          <w:trHeight w:val="249"/>
        </w:trPr>
        <w:tc>
          <w:tcPr>
            <w:tcW w:w="4660" w:type="dxa"/>
            <w:vAlign w:val="bottom"/>
            <w:tcBorders>
              <w:bottom w:val="single" w:sz="8" w:color="CFF0FC"/>
            </w:tcBorders>
            <w:shd w:val="clear" w:color="auto" w:fill="CFF0FC"/>
          </w:tcPr>
          <w:p>
            <w:pPr>
              <w:spacing w:after="0"/>
              <w:rPr>
                <w:sz w:val="21"/>
                <w:szCs w:val="21"/>
                <w:color w:val="auto"/>
              </w:rPr>
            </w:pPr>
          </w:p>
        </w:tc>
        <w:tc>
          <w:tcPr>
            <w:tcW w:w="35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for each of the three months ended March 31, 2025 and 2024. In addition, for the three months ended March 31, 2025 and 2024, there was less than $0.1 million of depreciation related to sublet assets recorded as other expense.</w:t>
      </w:r>
    </w:p>
    <w:p>
      <w:pPr>
        <w:spacing w:after="0" w:line="18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8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2025, the Company’s Ninth Amended and Restated Certificate of Incorporation, as amended, authorized the Company to issue up to 115,000,000 shares of common stock, par value $0.001 per share, of which 64,027,892 shares were issued and outstanding, and up to 5,000,000 shares of undesignated preferred stock, par value $0.001 per share,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completed an underwritten public offering in which the Company issued and sold 19,736,842 shares of its common stock at a public offering price of $8.74 per share. The Company received net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approximately $161.8 million after deducting underwriting discounts, commissions and other offering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sales agreement (the "2022 ATM Agreement") with Guggenheim Securities, LLC in connection with the establishment of an “at-the-market” offering program under which the Company could sell up to an aggregate of $50.0 million of shares of common stock (the “ATM Shares”) from time to time.</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in connection with the underwritten public offering described above, the Company terminated the 2022 ATM Agreement. No ATM Shares were ever sold pursuant to the 2022 ATM Agreement.</w:t>
      </w:r>
    </w:p>
    <w:p>
      <w:pPr>
        <w:spacing w:after="0" w:line="5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"2024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the 2024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performance-based</w:t>
      </w:r>
    </w:p>
    <w:p>
      <w:pPr>
        <w:spacing w:after="0" w:line="255" w:lineRule="auto"/>
        <w:rPr>
          <w:sz w:val="20"/>
          <w:szCs w:val="20"/>
          <w:color w:val="auto"/>
        </w:rPr>
      </w:pPr>
      <w:r>
        <w:rPr>
          <w:rFonts w:ascii="Times New Roman" w:cs="Times New Roman" w:eastAsia="Times New Roman" w:hAnsi="Times New Roman"/>
          <w:sz w:val="18"/>
          <w:szCs w:val="18"/>
          <w:color w:val="auto"/>
        </w:rPr>
        <w:t>restricted stock units,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permitted by the 2020 Plan, the Company added 2,552,603 and 1,756,363 shares available for grant to the 2020 Plan on January 1, 2025 and January 1, 2024, respectively. As of March 31, 2025, 537,542 shares of common stock were available for grant under the 2020 Plan.</w:t>
      </w:r>
    </w:p>
    <w:p>
      <w:pPr>
        <w:spacing w:after="0" w:line="54"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2024, options to purchase 1,242 shares issued under the Prior Plans were cancelled and became available for grant under the 2020 Plan. No such options were cancelled in the three months ended March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 during the three months ended March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20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6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580" w:type="dxa"/>
            <w:vAlign w:val="bottom"/>
            <w:gridSpan w:val="2"/>
            <w:shd w:val="clear" w:color="auto" w:fill="CFF0FC"/>
          </w:tcPr>
          <w:p>
            <w:pPr>
              <w:jc w:val="center"/>
              <w:ind w:left="549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58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580" w:type="dxa"/>
            <w:vAlign w:val="bottom"/>
            <w:gridSpan w:val="2"/>
            <w:shd w:val="clear" w:color="auto" w:fill="CFF0FC"/>
          </w:tcPr>
          <w:p>
            <w:pPr>
              <w:jc w:val="center"/>
              <w:ind w:left="5490"/>
              <w:spacing w:after="0"/>
              <w:rPr>
                <w:sz w:val="20"/>
                <w:szCs w:val="20"/>
                <w:color w:val="auto"/>
              </w:rPr>
            </w:pPr>
            <w:r>
              <w:rPr>
                <w:rFonts w:ascii="Times New Roman" w:cs="Times New Roman" w:eastAsia="Times New Roman" w:hAnsi="Times New Roman"/>
                <w:sz w:val="18"/>
                <w:szCs w:val="18"/>
                <w:color w:val="auto"/>
                <w:w w:val="96"/>
              </w:rPr>
              <w:t>94%</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58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rPr>
              <w:t>0.00%</w:t>
            </w:r>
          </w:p>
        </w:tc>
      </w:tr>
      <w:tr>
        <w:trPr>
          <w:trHeight w:val="846"/>
        </w:trPr>
        <w:tc>
          <w:tcPr>
            <w:tcW w:w="3660" w:type="dxa"/>
            <w:vAlign w:val="bottom"/>
          </w:tcPr>
          <w:p>
            <w:pPr>
              <w:spacing w:after="0"/>
              <w:rPr>
                <w:sz w:val="24"/>
                <w:szCs w:val="24"/>
                <w:color w:val="auto"/>
              </w:rPr>
            </w:pPr>
          </w:p>
        </w:tc>
        <w:tc>
          <w:tcPr>
            <w:tcW w:w="558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17</w:t>
            </w:r>
          </w:p>
        </w:tc>
        <w:tc>
          <w:tcPr>
            <w:tcW w:w="200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2025 (amounts in millions, except for share, contractual term, and per share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(a)</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6,436,387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Options forfeited/expired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(25,335)</w:t>
            </w: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March 31, 2025</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8,541,489</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6.71</w:t>
            </w:r>
          </w:p>
        </w:tc>
        <w:tc>
          <w:tcPr>
            <w:tcW w:w="1420" w:type="dxa"/>
            <w:vAlign w:val="bottom"/>
            <w:tcBorders>
              <w:top w:val="single" w:sz="8" w:color="CFF0FC"/>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380" w:type="dxa"/>
            <w:vAlign w:val="bottom"/>
            <w:tcBorders>
              <w:top w:val="single" w:sz="8" w:color="CFF0FC"/>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gridSpan w:val="2"/>
          </w:tcPr>
          <w:p>
            <w:pPr>
              <w:ind w:left="8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Exercisable as of March 31,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3,708,423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9.54</w:t>
            </w:r>
          </w:p>
        </w:tc>
        <w:tc>
          <w:tcPr>
            <w:tcW w:w="1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3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gridSpan w:val="2"/>
            <w:shd w:val="clear" w:color="auto" w:fill="CFF0FC"/>
          </w:tcPr>
          <w:p>
            <w:pPr>
              <w:ind w:left="8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expected to vest as of March 31,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8,541,489</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6.71</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3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-513715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-496570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260" w:right="140" w:hanging="503"/>
        <w:spacing w:after="0" w:line="282"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March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options to purchase 2,130,437 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the 2020 Plan during the three months ended March 31, 2025 was $2.74.</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related to unvested stock options granted under the 2020 Plan was $15.0 million, which is expected to be recognized over a weighted average period of 2.91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 Grants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inducement awards granted in the three months ended March 31, 2025.</w:t>
      </w:r>
    </w:p>
    <w:p>
      <w:pPr>
        <w:spacing w:after="0" w:line="11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related to unvested inducement options granted was $0.6 million, which is expected to be recognized over a weighted average period of 2.04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2025, RSUs were granted under the 2020 Plan to certain of the Company's employees in order to maintain retention of key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an RSU award is based on the Company's stock price on the date of grant. The shares underlying the RSUs are not issued until the RSUs vest.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Activity with respect to the Company's RSUs and performance-based RSUs during the three months ended March 31, 2025 was as follows (in millions, except share, contractual term, and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(a)</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(212,827)</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(8,103)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March 31,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1,023,061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4.02</w:t>
            </w:r>
          </w:p>
        </w:tc>
        <w:tc>
          <w:tcPr>
            <w:tcW w:w="1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3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Unvested and expected to vest as of March 31,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1,023,061</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4.02</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3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Grants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344,988 shares of RSUs, which vest annually over four years to employees under the 2020 Plan. The RSUs have a weighted-average grant date fair value of $3.46 per unit.</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for RSUs was $3.2 million, which is expected to be recognized over a weighted-average period of 2.76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Grants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In January 2025, the Company granted performance-based RSUs (the "January 2025 PSU Awards") to each of the executive officers of the Company under the 2020 Plan. Each award was expressed as a target number of RSUs. With respect to the January 2025 PSU Awards, the Board established specified regulatory-related performance criteria and a corresponding performance period over which such performance criteria must be achieved, the satisfaction of which are conditions to earning the January 2025 PSU Awards and vesting of the underlying RSUs. As of March 31, 2025, January 2025 PSU Awards were outstanding covering 200,000 common stock underlying RSUs.</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performance-based RSUs was $3.46 per unit based on the grant date closing price per share. As of March 31, 2025, the underlying performance criteria of the January 2025 PSU Awards were determined to be not probable of achievement, and no stock-based compensation expense was recognized for the three months ended March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90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8"/>
                <w:szCs w:val="18"/>
                <w:color w:val="auto"/>
              </w:rPr>
            </w:pPr>
          </w:p>
        </w:tc>
      </w:tr>
      <w:tr>
        <w:trPr>
          <w:trHeight w:val="230"/>
        </w:trPr>
        <w:tc>
          <w:tcPr>
            <w:tcW w:w="486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FF0FC"/>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right="360" w:firstLine="509"/>
        <w:spacing w:after="0" w:line="289" w:lineRule="auto"/>
        <w:rPr>
          <w:sz w:val="20"/>
          <w:szCs w:val="20"/>
          <w:color w:val="auto"/>
        </w:rPr>
      </w:pPr>
      <w:r>
        <w:rPr>
          <w:rFonts w:ascii="Times New Roman" w:cs="Times New Roman" w:eastAsia="Times New Roman" w:hAnsi="Times New Roman"/>
          <w:sz w:val="17"/>
          <w:szCs w:val="17"/>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with respect to the development of nomlabofusp. Both agreements continue from their effective date through the last to date of expiration of the licensed patents, unless earlier terminated by either party in accordance with their terms.</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 October 2022, the Company initiated dosing of a Phase 2 study. Pursuant to the terms of both the WFUHS License and the IU License, the company recognized milestone expense of $0.3 million within research and development expenses.</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Both agreements continue from their effective date through the last date of expiration of the licensed patents, unless earlier terminated by either party in accordance with their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 Cynwyd Office Space</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68" w:lineRule="exact"/>
        <w:rPr>
          <w:sz w:val="20"/>
          <w:szCs w:val="20"/>
          <w:color w:val="auto"/>
        </w:rPr>
      </w:pPr>
    </w:p>
    <w:p>
      <w:pPr>
        <w:ind w:right="640" w:firstLine="509"/>
        <w:spacing w:after="0" w:line="312" w:lineRule="auto"/>
        <w:rPr>
          <w:sz w:val="20"/>
          <w:szCs w:val="20"/>
          <w:color w:val="auto"/>
        </w:rPr>
      </w:pPr>
      <w:r>
        <w:rPr>
          <w:rFonts w:ascii="Times New Roman" w:cs="Times New Roman" w:eastAsia="Times New Roman" w:hAnsi="Times New Roman"/>
          <w:sz w:val="17"/>
          <w:szCs w:val="17"/>
          <w:color w:val="auto"/>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spacing w:after="0" w:line="3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lease extension on the original 4,642 square footage commenced on September 1, 2023 and the Company recorded a right of use asset and lease liability of $0.5 million as of that date.</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new lease on 3,462 additional square footage commenced on October 1, 2023 and the Company recorded a right of use asset and lease liability of $0.3 million as of that date.</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right of use assets and lease liabilities with both of these leases are reflected in the financial statements for three months ended March 31, 2025 as are the right of use asset and lease liability of the Company's Boston office space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Boston Office Lease</w:t>
      </w:r>
    </w:p>
    <w:p>
      <w:pPr>
        <w:spacing w:after="0" w:line="119"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Company's 2020 merger with Zafgen, on May 28, 2020, the Company acquired a non-cancellable operating lease for approximately 17,705 square feet of office space (the “Premises”). The lease expires on October 30, 2029. As part of the agreement, the Company was initially required to maintain a letter of credit, of $1.3 million. In October of 2024, upon the agreement with the landlord that we had achieved certain clinical development milestones required in the lease, this letter of credit was reduced to $0.6 million. During both periods presented, this cash deposit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right-of-use asset is being amortized to other income/(expense) over the remaining lease term as a result of the sublease described below.</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 Space</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September 2023, the Company extended this lease for an additional year with the option to terminate with four months' notice. On March 28, 2024, the Company gave the requisite notice and vacated the property in May 2024.</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operating lease for alternate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Expense</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Expense arising from operating leases was $0.1 million during each of the three months ended March 31, 2025 and 2024. For operating leases, the weighted-average remaining lease term for leases at March 31, 2025 and December 31, 2024 was 4.2 and 4.5 years, respectively. For operating leases, the weighted average discount rate for leases at March 31, 2025 and December 31, 2024 was 11.0%. The Company has not entered into any financing leases.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March 31, 2025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5"/>
                <w:szCs w:val="15"/>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Nine months ending December 31, 2025</w:t>
            </w:r>
          </w:p>
        </w:tc>
        <w:tc>
          <w:tcPr>
            <w:tcW w:w="5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4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4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4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6,047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w:t>
            </w:r>
          </w:p>
        </w:tc>
      </w:tr>
      <w:tr>
        <w:trPr>
          <w:trHeight w:val="20"/>
        </w:trPr>
        <w:tc>
          <w:tcPr>
            <w:tcW w:w="42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4,866</w:t>
            </w:r>
          </w:p>
        </w:tc>
      </w:tr>
      <w:tr>
        <w:trPr>
          <w:trHeight w:val="845"/>
        </w:trPr>
        <w:tc>
          <w:tcPr>
            <w:tcW w:w="4240" w:type="dxa"/>
            <w:vAlign w:val="bottom"/>
            <w:tcBorders>
              <w:top w:val="single" w:sz="8" w:color="CFF0FC"/>
            </w:tcBorders>
          </w:tcPr>
          <w:p>
            <w:pPr>
              <w:spacing w:after="0"/>
              <w:rPr>
                <w:sz w:val="24"/>
                <w:szCs w:val="24"/>
                <w:color w:val="auto"/>
              </w:rPr>
            </w:pPr>
          </w:p>
        </w:tc>
        <w:tc>
          <w:tcPr>
            <w:tcW w:w="4980" w:type="dxa"/>
            <w:vAlign w:val="bottom"/>
            <w:tcBorders>
              <w:top w:val="single" w:sz="8" w:color="CFF0FC"/>
            </w:tcBorders>
          </w:tcPr>
          <w:p>
            <w:pPr>
              <w:jc w:val="right"/>
              <w:ind w:right="341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63"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135"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an agreement with the Friedreich’s Ataxia Research Alliance (FARA) to join the TRACK-FA Neuroimaging Consortium that includes pharmaceutical, biotechnology, academic and clinical partners. The consortium will conduct a natural history study designed to establish disease-specific neuroimaging biomarkers to track disease progression in the brain and spinal cord and provide a basis for utilizing these biomarkers in clinical trials. As an industry partner, the Company will help fund the study and contribute to the study design, research activities, and analysis. The Company will have access to all study data for use in its regulatory filings, as appropriate. During the twelve months ended December 31, 2024, the Company incurred $0.9 million of costs related to the Track-FA program and will fund future costs going forward. One of the Company’s Directors is also a director of FARA. During the three months ended March 31, 2025, the Company incurred less than $0.1 million of costs related to the Track-FA program.</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Additionally, during the twelve months ended December 31, 2024, the Company sponsored patient and caregiver awareness events held by FARA for a cumulative $0.1 million.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2024 included in our Annual Report on Form 10-K filed with the Securities and Exchange Commission (“SEC”) on March 24, 2025 (the "2024 Annual Report").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2024 Annual Report, in addition to the "Risk Factors" 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and the United States Adopted Name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7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two Phase 1 clinical trials and a Phase 2 dose exploration trial, and have an ongoing Phase 2 OLE trial in patients with FA and an ongoing run-in study in adolescent patients with FA.</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May 2021, we reported positive top-line data from our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2023, we reported preliminary unblinded top-line data from the 25 mg cohort of the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July 2023, the FDA cleared initiation of a second cohort (50 mg) of the four-week, placebo-controlled, Phase 2 dose exploration trial of nomlabofusp in patients with FA and the initiation of the OLE trial with daily dosing of 25 mg.</w:t>
      </w:r>
    </w:p>
    <w:p>
      <w:pPr>
        <w:spacing w:after="0" w:line="5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reported positive top-line data and successful completion of the Phase 2 dose exploration study. Nomlabofusp was generally well tolerated throughout the four-week treatment periods, had a predictable pharmacokinetic profile and led to dose dependent increases in FXN levels in all evaluated tissues (skin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buccal cells) after daily dosing of 14 days followed by every other day dosing until day 28 in the 25 mg and 50 mg cohorts. Participants in the 25 mg (n=13) and 50 mg (n=15) cohorts were randomized 2:1 to receive subcutaneous injections of nomlabofusp or placebo. Patients who completed treatment in the Phase 2 dose exploration study or who previously completed a prior clinical trial of nomlabofusp are eligible to screen and possibly participate in the OLE study.</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March 2024, we dosed the first patient in the OLE trial, evaluating daily subcutaneous injections of 25 mg of nomlabofusp self-administered or administered by a caregiver.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30, 2024, we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we received access to the Medicines and Healthcare Regulatory Agency ("MHRA”) Innovative Licensing and Access Pathway (“ILAP”) for the treatment of adults and children with FA. The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(the “EU”), and access to the PRIME scheme in the EU.</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December 2024, we reported positive initial data from the ongoing OLE study. This data included safety, FXN levels, clinical, pharmacokinetic data and dose escalation:</w:t>
      </w:r>
    </w:p>
    <w:p>
      <w:pPr>
        <w:spacing w:after="0" w:line="54" w:lineRule="exact"/>
        <w:rPr>
          <w:sz w:val="20"/>
          <w:szCs w:val="20"/>
          <w:color w:val="auto"/>
        </w:rPr>
      </w:pPr>
    </w:p>
    <w:p>
      <w:pPr>
        <w:ind w:left="900" w:right="10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withdrew from the study;</w:t>
      </w:r>
    </w:p>
    <w:p>
      <w:pPr>
        <w:spacing w:after="0" w:line="67" w:lineRule="exact"/>
        <w:rPr>
          <w:rFonts w:ascii="Times New Roman" w:cs="Times New Roman" w:eastAsia="Times New Roman" w:hAnsi="Times New Roman"/>
          <w:sz w:val="18"/>
          <w:szCs w:val="18"/>
          <w:color w:val="auto"/>
        </w:rPr>
      </w:pPr>
    </w:p>
    <w:p>
      <w:pPr>
        <w:jc w:val="both"/>
        <w:ind w:left="900" w:right="16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FXN levels appear to reach steady-state levels by Day 30 in buccal cells;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clinical data showed trends toward improvement across a number of clinical outcomes for long-term 25 mg daily nomlabofusp including:</w:t>
      </w:r>
    </w:p>
    <w:p>
      <w:pPr>
        <w:spacing w:after="0" w:line="38" w:lineRule="exact"/>
        <w:rPr>
          <w:rFonts w:ascii="Times New Roman" w:cs="Times New Roman" w:eastAsia="Times New Roman" w:hAnsi="Times New Roman"/>
          <w:sz w:val="17"/>
          <w:szCs w:val="17"/>
          <w:color w:val="auto"/>
        </w:rPr>
      </w:pPr>
    </w:p>
    <w:p>
      <w:pPr>
        <w:ind w:left="900"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decreased values indicating early trends towards improvement in the Modified Friedreich's Ataxia Rating Scale (mFARS) and the FARS-Activities of Daily Living ("ADL"), Modified Fatigue Impact Scale and 9 hole peg test at 90 days relative to baseline;</w:t>
      </w:r>
    </w:p>
    <w:p>
      <w:pPr>
        <w:spacing w:after="0" w:line="73" w:lineRule="exact"/>
        <w:rPr>
          <w:rFonts w:ascii="Times New Roman" w:cs="Times New Roman" w:eastAsia="Times New Roman" w:hAnsi="Times New Roman"/>
          <w:sz w:val="17"/>
          <w:szCs w:val="17"/>
          <w:color w:val="auto"/>
        </w:rPr>
      </w:pPr>
    </w:p>
    <w:p>
      <w:pPr>
        <w:ind w:left="900" w:right="1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Also in December 2024,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Active study participants are currently receiving the 50 mg dose of nomlabofusp. We plan to provide an update on OLE data on at least 30 to 40 study participants, some of whom have been receiving nomlabofusp for more than a year, in September 2025.</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initiated dosing of adolescents (12-17 years old) in a PK run-in study for pediatric patients with FA. Study participants in the PK run-in study were randomized 2:1 to receive either nomlabofusp at a weight-base dose expected to match the PK of adults receiving the 50 mg dose, or placebo, daily for seven days. Dosing of this adolescent PK run-in study was completed in March 2025. Following assessment of safety and PK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data, participants will be eligible to screen for the OLE study. The data from this cohort is expected to be presented in the nomlabofusp program update in September 2025.</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February 2025, FDA accepted the data supporting the comparability of the lyophilized drug product to the frozen solution and agreed with our plans to introduce the lyophilized product into our clinical development program in mid-2025. The frozen solution is the dosage form currently being used in the OLE. The lyophilized drug product is the formulation that we intend to commercialize.</w:t>
      </w:r>
    </w:p>
    <w:p>
      <w:pPr>
        <w:spacing w:after="0" w:line="6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March 2025, we announced that FDA stated as part of a START pilot program that it is open to considering the use of FXN concentration as a reasonably likely surrogate endpoint (“RLSE”) and the acceptability of FXN concentration as an RLSE to support will be a matter of review in a future marketing application. FDA recommended focusing on assessments of skin FXN concentrations rather than buccal FXN concentrations due to more consistent sampling and less variability. FDA acknowledged that data we recently submitted appear to support a relationship between increased FXN concentrations in skin cells and relevant tissues such as the heart, dorsal root ganglion and skeletal muscle. FDA also acknowledged that the nonclinical studies we submitted were performed at relevant human doses. FDA also suggested that we consider exploring the relationship between increases in FXN in skin and changes in pharmacodynamic (PD) markers such as lipid profiles and/or clinical measures to provide additional support for the use of FXN as an RLSE. We continue to interact with the FDA under the START pilot program, including seeking on the adequacy of the safety data set for a BLA submission seeking accelerated approval targeted for the end of 2025.</w:t>
      </w:r>
    </w:p>
    <w:p>
      <w:pPr>
        <w:spacing w:after="0" w:line="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Additionally, we have obtained feedback from both FDA and EMA on the global Phase 3 study protocol and we are on track to initiate the study by mid-2025 with potential sites in the U.S., E.U., U.K, Canada, and Australia.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 including Recent Material Financings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at a public offering price of $8.74 per share. We received net proceeds of approximately $161.8 million after deducting underwriting discounts, commissions and other offering expenses.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Sales Agreement (the "2024 ATM Agreement") with Guggenheim Securities, LLC in connection with the establishment of an “at-the-market” offering program providing for the sale of up to an aggregate of $100 million of shares of our common stock from time to time. To date, we have made no sales under the 2024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continue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1600"/>
        <w:spacing w:after="0" w:line="375" w:lineRule="auto"/>
        <w:rPr>
          <w:sz w:val="20"/>
          <w:szCs w:val="20"/>
          <w:color w:val="auto"/>
        </w:rPr>
      </w:pPr>
      <w:r>
        <w:rPr>
          <w:rFonts w:ascii="Times New Roman" w:cs="Times New Roman" w:eastAsia="Times New Roman" w:hAnsi="Times New Roman"/>
          <w:sz w:val="18"/>
          <w:szCs w:val="18"/>
          <w:color w:val="auto"/>
        </w:rPr>
        <w:t xml:space="preserve">increase in the foreseeable future as we pursue clinical development of nomlabofusp and/or any other product candidates we develop. </w:t>
      </w:r>
      <w:r>
        <w:rPr>
          <w:rFonts w:ascii="Times New Roman" w:cs="Times New Roman" w:eastAsia="Times New Roman" w:hAnsi="Times New Roman"/>
          <w:sz w:val="18"/>
          <w:szCs w:val="18"/>
          <w:i w:val="1"/>
          <w:iCs w:val="1"/>
          <w:color w:val="auto"/>
        </w:rPr>
        <w:t>Stock Compensation Expense</w:t>
      </w:r>
    </w:p>
    <w:p>
      <w:pPr>
        <w:spacing w:after="0" w:line="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 characteristics including enterprise value, risk profiles and position within the industry. Beginning on January 1, 2023, the Company began blending its historical data starting in June 2020 (following its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January, 2025, our Board of Directors ("Board") approved the issuance of an aggregate of 200,000 performance-based restricted stock units ("RSUs") to certain of our executive officers (the "January 2025 PSU Awards"). The Board established specified performance criteria and a corresponding performance period over which such performance criteria must be achieved, the satisfaction of which are conditions to earning the January 2025 Awards and vesting of the underlying RSUs. As of March 31, 2025, the underlying performance criteria of the January 2025 PSU Awards were determined to be not probable of achievement, and no stock-based compensation expense was recognized for the three months ended March 31, 2025.</w:t>
      </w:r>
    </w:p>
    <w:p>
      <w:pPr>
        <w:spacing w:after="0" w:line="75"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72"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 or other regulatory authorities on our clinical trial design and timing;</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11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26,552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12,939</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13,613</w:t>
            </w: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(31,188)</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(16,734)</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(14,454)</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(14,654)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-454025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-454025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2025 increased $13.6 million compared to the three months ended March 31, 2024. The increase was primarily driven by an increase of $7.1 million in nomlabofusp manufacturing costs, an increase of $2.8 million in clinical costs primarily associated with the ongoing pediatric study which started and completed patient enrollment in the quarter ended March 31, 2025 and the start of our planned global Phase 3 study in the first quarter of 2025, an increase of $1.6 million in personnel expense due to increased headcount, and an increase of $1.2 million in consulting fees.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2025 increased $0.8 million compared to the three months ended March 31, 2024. The increase in general and administrative expenses was primarily driven by an increase of $0.7 million in personnel expense, an increase of $0.5 million in consulting fees primarily associated with commercial activities, partially offset by a decrease of $0.3 million in stock compensation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was $1.9 million income in the three months ended March 31, 2025 compared to $2.1 million income in the three months ended March 31, 2024. Other income consists primarily of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74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60" w:type="dxa"/>
            <w:vAlign w:val="bottom"/>
            <w:gridSpan w:val="2"/>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w w:val="97"/>
              </w:rPr>
              <w:t>(26,540)</w:t>
            </w: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14,448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162,151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0" w:type="dxa"/>
            <w:vAlign w:val="bottom"/>
          </w:tcPr>
          <w:p>
            <w:pPr>
              <w:spacing w:after="0"/>
              <w:rPr>
                <w:sz w:val="18"/>
                <w:szCs w:val="18"/>
                <w:color w:val="auto"/>
              </w:rPr>
            </w:pP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(12,092)</w:t>
            </w: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-1216660</wp:posOffset>
            </wp:positionV>
            <wp:extent cx="59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-1216660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$26.5 million of cash, resulting from our net loss of $29.3 million, adjusted for noncash expenses of $1.1 million and changes in our operating assets and liabilities resulting in a source of cash of $1.6 million. Our net loss was primarily attributed to research and development activities related to our nomlabofusp program and our general and administrative expenses as described above. Noncash expenses are primarily stock-based compensation expenses. The change in operating assets and liabilities was primarily due to an increase in accounts payable and decrease in both prepaid expense and accrued expenses.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$10.4 million of cash, resulting from our net loss of $14.7 million, adjusted for noncash expenses of $1.6 million and changes in our operating assets and liabilities resulting in a source of cash of $2.7 million. Our net loss was primarily attributed to research and development activities related to our nomlabofusp program and our general and administrative expenses as described above. Noncash expenses are primarily stock-based compensation expenses. The change in operating assets and liabilities was primarily due to an increase in accounts payable and accrued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investing activities provided $14.4 million primarily from $67.0 million of cash provided by maturities of marketable securities, partially offset by the purchase of $52.3 million in marketable securities.</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investing activities used $68.4 million of cash to purchase $84.9 million of marketable securities, partially offset by $16.5 million of cash provided by maturities of marketable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2025, there were no financing activities.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financing activities provided approximately $162.2 million of cash flows primarily from an offering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 and do not expect to generate revenue from the commercial sale of any products for several years,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w:t>
      </w:r>
    </w:p>
    <w:p>
      <w:pPr>
        <w:spacing w:after="0" w:line="9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$29.3 million and $14.7 million for the three months ended March 31, 2025 and 2024, respectively. As of March 31, 2025, we had an accumulated deficit of $298.4 million and cash, cash equivalents and marketable securities of $157.5 million, excluding restricted cash of $0.6 million.</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spacing w:after="0" w:line="68"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nomlabofusp through additional clinical trials, including related manufacturing costs;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nomlabofusp and other potential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900" w:right="96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anticipate that our current cash, cash equivalents and marketable securities will fund operations into the second quarter of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including regional conflicts around the world, adverse macroeconomic events, including those due to inflationary pressures, rising interest rates, banking instability, monetary policy changes, changes in trade policies, including tariffs (including tariffs and trade protection measures that have been or may in the future be imposed by the U.S. or other countries),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 which may reduce our ability to access capital, which could negatively affect our liquidity and ability to continue as a going concern.</w:t>
      </w:r>
    </w:p>
    <w:p>
      <w:pPr>
        <w:spacing w:after="0" w:line="8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of Item 1 of this Quarterly Report on Form 10-Q for a description of recent accounting pronouncements applicable to our business, if 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(the "Exchange Act")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With respect to the quarter ended March 31, 2025,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fiscal quarter ended March 31, 2025 which have materially affected, or are reasonably likely to materially affect, our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business. To our knowledge, during the three months ended March 31, 2025,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described in our 2024 Annual Report under the caption “Item 1A. Risk Factors.” The risks described in our 2024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jc w:val="both"/>
        <w:ind w:right="120" w:firstLine="509"/>
        <w:spacing w:after="0" w:line="312" w:lineRule="auto"/>
        <w:rPr>
          <w:sz w:val="20"/>
          <w:szCs w:val="20"/>
          <w:color w:val="auto"/>
        </w:rPr>
      </w:pPr>
      <w:r>
        <w:rPr>
          <w:rFonts w:ascii="Times New Roman" w:cs="Times New Roman" w:eastAsia="Times New Roman" w:hAnsi="Times New Roman"/>
          <w:sz w:val="17"/>
          <w:szCs w:val="17"/>
          <w:color w:val="auto"/>
        </w:rPr>
        <w:t>During the quarter ended March 31, 2025, none of our directors or officers (as defined in Rule 16a-1(f) under the Exchange Act) adopted, modified or terminated a “Rule 10b5-1 trading arrangement” or “non-Rule 10b5-1 trading arrangement” (as each term is defined in Item 408(a) of Regulation S-K).</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60" w:type="dxa"/>
            <w:vAlign w:val="bottom"/>
            <w:gridSpan w:val="5"/>
          </w:tcPr>
          <w:p>
            <w:pPr>
              <w:ind w:left="3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10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w:t>
            </w:r>
          </w:p>
        </w:tc>
        <w:tc>
          <w:tcPr>
            <w:tcW w:w="10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EE"/>
            </w:tcBorders>
            <w:shd w:val="clear" w:color="auto" w:fill="0000FF"/>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 re</w:t>
            </w:r>
          </w:p>
        </w:tc>
      </w:t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03" w:lineRule="exact"/>
        <w:rPr>
          <w:sz w:val="20"/>
          <w:szCs w:val="20"/>
          <w:color w:val="auto"/>
        </w:rPr>
      </w:pPr>
    </w:p>
    <w:p>
      <w:pPr>
        <w:ind w:left="1420" w:hanging="1243"/>
        <w:spacing w:after="0"/>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3" w:right="4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LARIMAR THERAPEUTICS, INC.</w:t>
            </w:r>
          </w:p>
        </w:tc>
      </w:tr>
      <w:tr>
        <w:trPr>
          <w:trHeight w:val="432"/>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30, 2025</w:t>
            </w:r>
          </w:p>
        </w:tc>
        <w:tc>
          <w:tcPr>
            <w:tcW w:w="25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3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30, 2025</w:t>
            </w:r>
          </w:p>
        </w:tc>
        <w:tc>
          <w:tcPr>
            <w:tcW w:w="25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89"/>
        </w:trPr>
        <w:tc>
          <w:tcPr>
            <w:tcW w:w="3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864"/>
        </w:trPr>
        <w:tc>
          <w:tcPr>
            <w:tcW w:w="3460" w:type="dxa"/>
            <w:vAlign w:val="bottom"/>
          </w:tcPr>
          <w:p>
            <w:pPr>
              <w:spacing w:after="0"/>
              <w:rPr>
                <w:sz w:val="24"/>
                <w:szCs w:val="24"/>
                <w:color w:val="auto"/>
              </w:rPr>
            </w:pPr>
          </w:p>
        </w:tc>
        <w:tc>
          <w:tcPr>
            <w:tcW w:w="2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528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Michael Celano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1" w:lineRule="exact"/>
        <w:rPr>
          <w:sz w:val="20"/>
          <w:szCs w:val="20"/>
          <w:color w:val="auto"/>
        </w:rPr>
      </w:pPr>
    </w:p>
    <w:p>
      <w:pPr>
        <w:ind w:left="1500" w:right="380" w:hanging="743"/>
        <w:spacing w:after="0" w:line="282"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2025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80" w:hanging="743"/>
        <w:spacing w:after="0" w:line="282"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78"/>
        </w:trPr>
        <w:tc>
          <w:tcPr>
            <w:tcW w:w="6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3"/>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5"/>
    </w:lvl>
  </w:abstractNum>
  <w:abstractNum w:abstractNumId="11">
    <w:nsid w:val="3F2DBA31"/>
    <w:multiLevelType w:val="hybridMultilevel"/>
    <w:lvl w:ilvl="0">
      <w:lvlJc w:val="left"/>
      <w:lvlText w:val="%1."/>
      <w:numFmt w:val="decimal"/>
      <w:start w:val="6"/>
    </w:lvl>
  </w:abstractNum>
  <w:abstractNum w:abstractNumId="12">
    <w:nsid w:val="7C83E458"/>
    <w:multiLevelType w:val="hybridMultilevel"/>
    <w:lvl w:ilvl="0">
      <w:lvlJc w:val="left"/>
      <w:lvlText w:val="%1."/>
      <w:numFmt w:val="decimal"/>
      <w:start w:val="7"/>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decimal"/>
      <w:start w:val="8"/>
    </w:lvl>
  </w:abstractNum>
  <w:abstractNum w:abstractNumId="15">
    <w:nsid w:val="436C6125"/>
    <w:multiLevelType w:val="hybridMultilevel"/>
    <w:lvl w:ilvl="0">
      <w:lvlJc w:val="left"/>
      <w:lvlText w:val="%1."/>
      <w:numFmt w:val="decimal"/>
      <w:start w:val="9"/>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lvl w:ilvl="1">
      <w:lvlJc w:val="left"/>
      <w:lvlText w:val="%2"/>
      <w:numFmt w:val="decimal"/>
      <w:start w:val="104"/>
    </w:lvl>
  </w:abstractNum>
  <w:abstractNum w:abstractNumId="21">
    <w:nsid w:val="6763845E"/>
    <w:multiLevelType w:val="hybridMultilevel"/>
    <w:lvl w:ilvl="0">
      <w:lvlJc w:val="left"/>
      <w:lvlText w:val="**"/>
      <w:numFmt w:val="bullet"/>
      <w:start w:val="1"/>
    </w:lvl>
    <w:lvl w:ilvl="1">
      <w:lvlJc w:val="left"/>
      <w:lvlText w:val="%2"/>
      <w:numFmt w:val="decimal"/>
      <w:start w:val="1"/>
    </w:lvl>
  </w:abstractNum>
  <w:abstractNum w:abstractNumId="22">
    <w:nsid w:val="75A2A8D4"/>
    <w:multiLevelType w:val="hybridMultilevel"/>
    <w:lvl w:ilvl="0">
      <w:lvlJc w:val="left"/>
      <w:lvlText w:val="%1."/>
      <w:numFmt w:val="decimal"/>
      <w:start w:val="1"/>
    </w:lvl>
    <w:lvl w:ilvl="1">
      <w:lvlJc w:val="left"/>
      <w:lvlText w:val="%2."/>
      <w:numFmt w:val="decimal"/>
      <w:start w:val="1"/>
    </w:lvl>
  </w:abstractNum>
  <w:abstractNum w:abstractNumId="23">
    <w:nsid w:val="8EDBDAB"/>
    <w:multiLevelType w:val="hybridMultilevel"/>
    <w:lvl w:ilvl="0">
      <w:lvlJc w:val="left"/>
      <w:lvlText w:val="%1."/>
      <w:numFmt w:val="decimal"/>
      <w:start w:val="1"/>
    </w:lvl>
    <w:lvl w:ilvl="1">
      <w:lvlJc w:val="left"/>
      <w:lvlText w:val="%2."/>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2025-04-30T16:14:26Z</dcterms:created>
  <dcterms:modified xsi:type="dcterms:W3CDTF">2025-04-30T16:14:26Z</dcterms:modified>
</cp:coreProperties>
</file>