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Zafgen,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ind w:left="4260"/>
        <w:spacing w:after="0"/>
        <w:rPr>
          <w:sz w:val="20"/>
          <w:szCs w:val="20"/>
          <w:color w:val="auto"/>
        </w:rPr>
      </w:pPr>
      <w:r>
        <w:rPr>
          <w:rFonts w:ascii="Arial" w:cs="Arial" w:eastAsia="Arial" w:hAnsi="Arial"/>
          <w:sz w:val="22"/>
          <w:szCs w:val="22"/>
          <w:u w:val="single" w:color="auto"/>
          <w:color w:val="auto"/>
        </w:rPr>
        <w:t>Common Stock, $0.001 par value</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98885E103</w:t>
      </w:r>
    </w:p>
    <w:p>
      <w:pPr>
        <w:spacing w:after="0" w:line="22"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February 7, 2020</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 xml:space="preserve">Securities Exchange Act </w:t>
      </w:r>
      <w:r>
        <w:rPr>
          <w:rFonts w:ascii="Arial" w:cs="Arial" w:eastAsia="Arial" w:hAnsi="Arial"/>
          <w:sz w:val="22"/>
          <w:szCs w:val="22"/>
          <w:color w:val="auto"/>
        </w:rPr>
        <w:t>of 1934 (“Act”) or otherwise subject to the liabilities of that section of the Act but shall be subject to all</w:t>
      </w:r>
      <w:r>
        <w:rPr>
          <w:rFonts w:ascii="Arial" w:cs="Arial" w:eastAsia="Arial" w:hAnsi="Arial"/>
          <w:sz w:val="22"/>
          <w:szCs w:val="22"/>
          <w:i w:val="1"/>
          <w:iCs w:val="1"/>
          <w:color w:val="auto"/>
        </w:rPr>
        <w:t xml:space="preserve"> </w:t>
      </w:r>
      <w:r>
        <w:rPr>
          <w:rFonts w:ascii="Arial" w:cs="Arial" w:eastAsia="Arial" w:hAnsi="Arial"/>
          <w:sz w:val="22"/>
          <w:szCs w:val="22"/>
          <w:color w:val="auto"/>
        </w:rPr>
        <w:t>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20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98885E103</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368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Moshe Arkin</w:t>
            </w: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8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80" w:type="dxa"/>
            <w:vAlign w:val="bottom"/>
            <w:tcBorders>
              <w:right w:val="single" w:sz="8" w:color="AAAAAA"/>
            </w:tcBorders>
            <w:shd w:val="clear" w:color="auto" w:fill="AAAAAA"/>
          </w:tcPr>
          <w:p>
            <w:pPr>
              <w:spacing w:after="0"/>
              <w:rPr>
                <w:sz w:val="21"/>
                <w:szCs w:val="21"/>
                <w:color w:val="auto"/>
              </w:rPr>
            </w:pPr>
          </w:p>
        </w:tc>
        <w:tc>
          <w:tcPr>
            <w:tcW w:w="3680" w:type="dxa"/>
            <w:vAlign w:val="bottom"/>
            <w:tcBorders>
              <w:right w:val="single" w:sz="8" w:color="AAAAAA"/>
            </w:tcBorders>
            <w:shd w:val="clear" w:color="auto" w:fill="AAAAAA"/>
          </w:tcPr>
          <w:p>
            <w:pPr>
              <w:spacing w:after="0"/>
              <w:rPr>
                <w:sz w:val="21"/>
                <w:szCs w:val="21"/>
                <w:color w:val="auto"/>
              </w:rPr>
            </w:pPr>
          </w:p>
        </w:tc>
        <w:tc>
          <w:tcPr>
            <w:tcW w:w="2340" w:type="dxa"/>
            <w:vAlign w:val="bottom"/>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506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2340" w:type="dxa"/>
            <w:vAlign w:val="bottom"/>
            <w:tcBorders>
              <w:bottom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8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900" w:type="dxa"/>
            <w:vAlign w:val="bottom"/>
            <w:gridSpan w:val="3"/>
          </w:tcPr>
          <w:p>
            <w:pPr>
              <w:ind w:left="720"/>
              <w:spacing w:after="0"/>
              <w:rPr>
                <w:sz w:val="20"/>
                <w:szCs w:val="20"/>
                <w:color w:val="auto"/>
              </w:rPr>
            </w:pPr>
            <w:r>
              <w:rPr>
                <w:rFonts w:ascii="Arial" w:cs="Arial" w:eastAsia="Arial" w:hAnsi="Arial"/>
                <w:sz w:val="18"/>
                <w:szCs w:val="18"/>
                <w:color w:val="auto"/>
              </w:rPr>
              <w:t>2,836,367 (*)</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82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5763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ind w:left="1620" w:right="4860" w:hanging="900"/>
        <w:spacing w:after="0" w:line="420" w:lineRule="auto"/>
        <w:tabs>
          <w:tab w:leader="none" w:pos="162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7.59% (*) (**)</w:t>
      </w:r>
    </w:p>
    <w:p>
      <w:pPr>
        <w:spacing w:after="0" w:line="4" w:lineRule="exact"/>
        <w:rPr>
          <w:rFonts w:ascii="Arial" w:cs="Arial" w:eastAsia="Arial" w:hAnsi="Arial"/>
          <w:sz w:val="18"/>
          <w:szCs w:val="18"/>
          <w:b w:val="1"/>
          <w:bCs w:val="1"/>
          <w:color w:val="auto"/>
        </w:rPr>
      </w:pPr>
    </w:p>
    <w:p>
      <w:pPr>
        <w:ind w:left="1620" w:hanging="905"/>
        <w:spacing w:after="0"/>
        <w:tabs>
          <w:tab w:leader="none" w:pos="1620"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339" w:lineRule="exact"/>
        <w:rPr>
          <w:rFonts w:ascii="Arial" w:cs="Arial" w:eastAsia="Arial" w:hAnsi="Arial"/>
          <w:sz w:val="18"/>
          <w:szCs w:val="18"/>
          <w:b w:val="1"/>
          <w:bCs w:val="1"/>
          <w:color w:val="auto"/>
        </w:rPr>
      </w:pPr>
    </w:p>
    <w:p>
      <w:pPr>
        <w:ind w:right="140" w:firstLine="8"/>
        <w:spacing w:after="0" w:line="276"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400" w:firstLine="8"/>
        <w:spacing w:after="0" w:line="276" w:lineRule="auto"/>
        <w:tabs>
          <w:tab w:leader="none" w:pos="414"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37,374,118 shares of Common Stock outstanding as of December 16, 2019 (as provided in the Issuer's Exhibit to Form 8-K filed with the Securities and Exchange Commission on December 18,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20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98885E103</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368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1"/>
              </w:rPr>
              <w:t>Sphera Funds Management Ltd.</w:t>
            </w: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8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color w:val="auto"/>
              </w:rPr>
              <w:t>SEC USE ONLY</w:t>
            </w:r>
          </w:p>
        </w:tc>
        <w:tc>
          <w:tcPr>
            <w:tcW w:w="1380" w:type="dxa"/>
            <w:vAlign w:val="bottom"/>
            <w:tcBorders>
              <w:right w:val="single" w:sz="8" w:color="BFBFBF"/>
            </w:tcBorders>
            <w:shd w:val="clear" w:color="auto" w:fill="BFBFBF"/>
          </w:tcPr>
          <w:p>
            <w:pPr>
              <w:spacing w:after="0"/>
              <w:rPr>
                <w:sz w:val="21"/>
                <w:szCs w:val="21"/>
                <w:color w:val="auto"/>
              </w:rPr>
            </w:pPr>
          </w:p>
        </w:tc>
        <w:tc>
          <w:tcPr>
            <w:tcW w:w="3680" w:type="dxa"/>
            <w:vAlign w:val="bottom"/>
            <w:tcBorders>
              <w:right w:val="single" w:sz="8" w:color="BFBFBF"/>
            </w:tcBorders>
            <w:shd w:val="clear" w:color="auto" w:fill="BFBFBF"/>
          </w:tcPr>
          <w:p>
            <w:pPr>
              <w:spacing w:after="0"/>
              <w:rPr>
                <w:sz w:val="21"/>
                <w:szCs w:val="21"/>
                <w:color w:val="auto"/>
              </w:rPr>
            </w:pPr>
          </w:p>
        </w:tc>
        <w:tc>
          <w:tcPr>
            <w:tcW w:w="2340" w:type="dxa"/>
            <w:vAlign w:val="bottom"/>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1220" w:type="dxa"/>
            <w:vAlign w:val="bottom"/>
            <w:tcBorders>
              <w:bottom w:val="single" w:sz="8" w:color="auto"/>
              <w:right w:val="single" w:sz="8" w:color="BFBFBF"/>
            </w:tcBorders>
            <w:shd w:val="clear" w:color="auto" w:fill="BFBFBF"/>
          </w:tcPr>
          <w:p>
            <w:pPr>
              <w:spacing w:after="0"/>
              <w:rPr>
                <w:sz w:val="24"/>
                <w:szCs w:val="24"/>
                <w:color w:val="auto"/>
              </w:rPr>
            </w:pPr>
          </w:p>
        </w:tc>
        <w:tc>
          <w:tcPr>
            <w:tcW w:w="50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2340" w:type="dxa"/>
            <w:vAlign w:val="bottom"/>
            <w:tcBorders>
              <w:bottom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8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900" w:type="dxa"/>
            <w:vAlign w:val="bottom"/>
            <w:gridSpan w:val="3"/>
          </w:tcPr>
          <w:p>
            <w:pPr>
              <w:ind w:left="720"/>
              <w:spacing w:after="0"/>
              <w:rPr>
                <w:sz w:val="20"/>
                <w:szCs w:val="20"/>
                <w:color w:val="auto"/>
              </w:rPr>
            </w:pPr>
            <w:r>
              <w:rPr>
                <w:rFonts w:ascii="Arial" w:cs="Arial" w:eastAsia="Arial" w:hAnsi="Arial"/>
                <w:sz w:val="18"/>
                <w:szCs w:val="18"/>
                <w:color w:val="auto"/>
              </w:rPr>
              <w:t>2,836,367 (*)</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82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763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ind w:left="1620" w:right="4860" w:hanging="900"/>
        <w:spacing w:after="0" w:line="420" w:lineRule="auto"/>
        <w:tabs>
          <w:tab w:leader="none" w:pos="162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7.59% (*) (**)</w:t>
      </w:r>
    </w:p>
    <w:p>
      <w:pPr>
        <w:spacing w:after="0" w:line="4" w:lineRule="exact"/>
        <w:rPr>
          <w:rFonts w:ascii="Arial" w:cs="Arial" w:eastAsia="Arial" w:hAnsi="Arial"/>
          <w:sz w:val="18"/>
          <w:szCs w:val="18"/>
          <w:b w:val="1"/>
          <w:bCs w:val="1"/>
          <w:color w:val="auto"/>
        </w:rPr>
      </w:pPr>
    </w:p>
    <w:p>
      <w:pPr>
        <w:ind w:left="1620" w:hanging="905"/>
        <w:spacing w:after="0"/>
        <w:tabs>
          <w:tab w:leader="none" w:pos="162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39" w:lineRule="exact"/>
        <w:rPr>
          <w:rFonts w:ascii="Arial" w:cs="Arial" w:eastAsia="Arial" w:hAnsi="Arial"/>
          <w:sz w:val="18"/>
          <w:szCs w:val="18"/>
          <w:b w:val="1"/>
          <w:bCs w:val="1"/>
          <w:color w:val="auto"/>
        </w:rPr>
      </w:pPr>
    </w:p>
    <w:p>
      <w:pPr>
        <w:ind w:right="140" w:firstLine="8"/>
        <w:spacing w:after="0" w:line="276"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400" w:firstLine="8"/>
        <w:spacing w:after="0" w:line="276" w:lineRule="auto"/>
        <w:tabs>
          <w:tab w:leader="none" w:pos="414"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37,374,118 shares of Common Stock outstanding as of December 16, 2019 (as provided in the Issuer's Exhibit to Form 8-K filed with the Securities and Exchange Commission on December 18,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20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98885E103</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368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8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color w:val="auto"/>
              </w:rPr>
              <w:t>SEC USE ONLY</w:t>
            </w:r>
          </w:p>
        </w:tc>
        <w:tc>
          <w:tcPr>
            <w:tcW w:w="1380" w:type="dxa"/>
            <w:vAlign w:val="bottom"/>
            <w:tcBorders>
              <w:right w:val="single" w:sz="8" w:color="BFBFBF"/>
            </w:tcBorders>
            <w:shd w:val="clear" w:color="auto" w:fill="BFBFBF"/>
          </w:tcPr>
          <w:p>
            <w:pPr>
              <w:spacing w:after="0"/>
              <w:rPr>
                <w:sz w:val="21"/>
                <w:szCs w:val="21"/>
                <w:color w:val="auto"/>
              </w:rPr>
            </w:pPr>
          </w:p>
        </w:tc>
        <w:tc>
          <w:tcPr>
            <w:tcW w:w="3680" w:type="dxa"/>
            <w:vAlign w:val="bottom"/>
            <w:tcBorders>
              <w:right w:val="single" w:sz="8" w:color="BFBFBF"/>
            </w:tcBorders>
            <w:shd w:val="clear" w:color="auto" w:fill="BFBFBF"/>
          </w:tcPr>
          <w:p>
            <w:pPr>
              <w:spacing w:after="0"/>
              <w:rPr>
                <w:sz w:val="21"/>
                <w:szCs w:val="21"/>
                <w:color w:val="auto"/>
              </w:rPr>
            </w:pPr>
          </w:p>
        </w:tc>
        <w:tc>
          <w:tcPr>
            <w:tcW w:w="2340" w:type="dxa"/>
            <w:vAlign w:val="bottom"/>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1220" w:type="dxa"/>
            <w:vAlign w:val="bottom"/>
            <w:tcBorders>
              <w:bottom w:val="single" w:sz="8" w:color="auto"/>
              <w:right w:val="single" w:sz="8" w:color="BFBFBF"/>
            </w:tcBorders>
            <w:shd w:val="clear" w:color="auto" w:fill="BFBFBF"/>
          </w:tcPr>
          <w:p>
            <w:pPr>
              <w:spacing w:after="0"/>
              <w:rPr>
                <w:sz w:val="24"/>
                <w:szCs w:val="24"/>
                <w:color w:val="auto"/>
              </w:rPr>
            </w:pPr>
          </w:p>
        </w:tc>
        <w:tc>
          <w:tcPr>
            <w:tcW w:w="50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2340" w:type="dxa"/>
            <w:vAlign w:val="bottom"/>
            <w:tcBorders>
              <w:bottom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8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900" w:type="dxa"/>
            <w:vAlign w:val="bottom"/>
            <w:gridSpan w:val="3"/>
          </w:tcPr>
          <w:p>
            <w:pPr>
              <w:ind w:left="720"/>
              <w:spacing w:after="0"/>
              <w:rPr>
                <w:sz w:val="20"/>
                <w:szCs w:val="20"/>
                <w:color w:val="auto"/>
              </w:rPr>
            </w:pPr>
            <w:r>
              <w:rPr>
                <w:rFonts w:ascii="Arial" w:cs="Arial" w:eastAsia="Arial" w:hAnsi="Arial"/>
                <w:sz w:val="18"/>
                <w:szCs w:val="18"/>
                <w:color w:val="auto"/>
              </w:rPr>
              <w:t>2,836,367 (*)</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82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763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ind w:left="1620" w:right="4860" w:hanging="900"/>
        <w:spacing w:after="0" w:line="420" w:lineRule="auto"/>
        <w:tabs>
          <w:tab w:leader="none" w:pos="16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7.59% (*) (**)</w:t>
      </w:r>
    </w:p>
    <w:p>
      <w:pPr>
        <w:spacing w:after="0" w:line="4" w:lineRule="exact"/>
        <w:rPr>
          <w:rFonts w:ascii="Arial" w:cs="Arial" w:eastAsia="Arial" w:hAnsi="Arial"/>
          <w:sz w:val="18"/>
          <w:szCs w:val="18"/>
          <w:b w:val="1"/>
          <w:bCs w:val="1"/>
          <w:color w:val="auto"/>
        </w:rPr>
      </w:pPr>
    </w:p>
    <w:p>
      <w:pPr>
        <w:ind w:left="1620" w:hanging="905"/>
        <w:spacing w:after="0"/>
        <w:tabs>
          <w:tab w:leader="none" w:pos="162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39" w:lineRule="exact"/>
        <w:rPr>
          <w:rFonts w:ascii="Arial" w:cs="Arial" w:eastAsia="Arial" w:hAnsi="Arial"/>
          <w:sz w:val="18"/>
          <w:szCs w:val="18"/>
          <w:b w:val="1"/>
          <w:bCs w:val="1"/>
          <w:color w:val="auto"/>
        </w:rPr>
      </w:pPr>
    </w:p>
    <w:p>
      <w:pPr>
        <w:ind w:right="140" w:firstLine="8"/>
        <w:spacing w:after="0" w:line="276" w:lineRule="auto"/>
        <w:tabs>
          <w:tab w:leader="none" w:pos="306"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400" w:firstLine="8"/>
        <w:spacing w:after="0" w:line="276" w:lineRule="auto"/>
        <w:tabs>
          <w:tab w:leader="none" w:pos="414"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37,374,118 shares of Common Stock outstanding as of December 16, 2019 (as provided in the Issuer's Exhibit to Form 8-K filed with the Securities and Exchange Commission on December 18,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0"/>
        </w:trPr>
        <w:tc>
          <w:tcPr>
            <w:tcW w:w="20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98885E103</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80" w:type="dxa"/>
            <w:vAlign w:val="bottom"/>
            <w:tcBorders>
              <w:top w:val="single" w:sz="8" w:color="auto"/>
              <w:right w:val="single" w:sz="8" w:color="auto"/>
            </w:tcBorders>
          </w:tcPr>
          <w:p>
            <w:pPr>
              <w:spacing w:after="0"/>
              <w:rPr>
                <w:sz w:val="23"/>
                <w:szCs w:val="23"/>
                <w:color w:val="auto"/>
              </w:rPr>
            </w:pPr>
          </w:p>
        </w:tc>
        <w:tc>
          <w:tcPr>
            <w:tcW w:w="368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8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color w:val="auto"/>
              </w:rPr>
              <w:t>SEC USE ONLY</w:t>
            </w:r>
          </w:p>
        </w:tc>
        <w:tc>
          <w:tcPr>
            <w:tcW w:w="1380" w:type="dxa"/>
            <w:vAlign w:val="bottom"/>
            <w:tcBorders>
              <w:right w:val="single" w:sz="8" w:color="BFBFBF"/>
            </w:tcBorders>
            <w:shd w:val="clear" w:color="auto" w:fill="BFBFBF"/>
          </w:tcPr>
          <w:p>
            <w:pPr>
              <w:spacing w:after="0"/>
              <w:rPr>
                <w:sz w:val="21"/>
                <w:szCs w:val="21"/>
                <w:color w:val="auto"/>
              </w:rPr>
            </w:pPr>
          </w:p>
        </w:tc>
        <w:tc>
          <w:tcPr>
            <w:tcW w:w="3680" w:type="dxa"/>
            <w:vAlign w:val="bottom"/>
            <w:tcBorders>
              <w:right w:val="single" w:sz="8" w:color="BFBFBF"/>
            </w:tcBorders>
            <w:shd w:val="clear" w:color="auto" w:fill="BFBFBF"/>
          </w:tcPr>
          <w:p>
            <w:pPr>
              <w:spacing w:after="0"/>
              <w:rPr>
                <w:sz w:val="21"/>
                <w:szCs w:val="21"/>
                <w:color w:val="auto"/>
              </w:rPr>
            </w:pPr>
          </w:p>
        </w:tc>
        <w:tc>
          <w:tcPr>
            <w:tcW w:w="2340" w:type="dxa"/>
            <w:vAlign w:val="bottom"/>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1220" w:type="dxa"/>
            <w:vAlign w:val="bottom"/>
            <w:tcBorders>
              <w:bottom w:val="single" w:sz="8" w:color="auto"/>
              <w:right w:val="single" w:sz="8" w:color="BFBFBF"/>
            </w:tcBorders>
            <w:shd w:val="clear" w:color="auto" w:fill="BFBFBF"/>
          </w:tcPr>
          <w:p>
            <w:pPr>
              <w:spacing w:after="0"/>
              <w:rPr>
                <w:sz w:val="24"/>
                <w:szCs w:val="24"/>
                <w:color w:val="auto"/>
              </w:rPr>
            </w:pPr>
          </w:p>
        </w:tc>
        <w:tc>
          <w:tcPr>
            <w:tcW w:w="5060" w:type="dxa"/>
            <w:vAlign w:val="bottom"/>
            <w:tcBorders>
              <w:bottom w:val="single" w:sz="8" w:color="auto"/>
              <w:right w:val="single" w:sz="8" w:color="BFBFBF"/>
            </w:tcBorders>
            <w:gridSpan w:val="2"/>
            <w:shd w:val="clear" w:color="auto" w:fill="BFBFBF"/>
          </w:tcPr>
          <w:p>
            <w:pPr>
              <w:spacing w:after="0"/>
              <w:rPr>
                <w:sz w:val="24"/>
                <w:szCs w:val="24"/>
                <w:color w:val="auto"/>
              </w:rPr>
            </w:pPr>
          </w:p>
        </w:tc>
        <w:tc>
          <w:tcPr>
            <w:tcW w:w="2340" w:type="dxa"/>
            <w:vAlign w:val="bottom"/>
            <w:tcBorders>
              <w:bottom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8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6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80" w:type="dxa"/>
            <w:vAlign w:val="bottom"/>
            <w:vMerge w:val="continue"/>
          </w:tcPr>
          <w:p>
            <w:pPr>
              <w:spacing w:after="0"/>
              <w:rPr>
                <w:sz w:val="14"/>
                <w:szCs w:val="14"/>
                <w:color w:val="auto"/>
              </w:rPr>
            </w:pPr>
          </w:p>
        </w:tc>
        <w:tc>
          <w:tcPr>
            <w:tcW w:w="3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2,836,367 (*)</w:t>
            </w: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tcBorders>
            <w:gridSpan w:val="2"/>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Pr>
          <w:p>
            <w:pPr>
              <w:spacing w:after="0"/>
              <w:rPr>
                <w:sz w:val="21"/>
                <w:szCs w:val="21"/>
                <w:color w:val="auto"/>
              </w:rPr>
            </w:pPr>
          </w:p>
        </w:tc>
        <w:tc>
          <w:tcPr>
            <w:tcW w:w="74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1900" w:type="dxa"/>
            <w:vAlign w:val="bottom"/>
            <w:gridSpan w:val="3"/>
          </w:tcPr>
          <w:p>
            <w:pPr>
              <w:ind w:left="720"/>
              <w:spacing w:after="0"/>
              <w:rPr>
                <w:sz w:val="20"/>
                <w:szCs w:val="20"/>
                <w:color w:val="auto"/>
              </w:rPr>
            </w:pPr>
            <w:r>
              <w:rPr>
                <w:rFonts w:ascii="Arial" w:cs="Arial" w:eastAsia="Arial" w:hAnsi="Arial"/>
                <w:sz w:val="18"/>
                <w:szCs w:val="18"/>
                <w:color w:val="auto"/>
              </w:rPr>
              <w:t>2,836,367 (*)</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2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Pr>
          <w:p>
            <w:pPr>
              <w:spacing w:after="0"/>
              <w:rPr>
                <w:sz w:val="21"/>
                <w:szCs w:val="21"/>
                <w:color w:val="auto"/>
              </w:rPr>
            </w:pPr>
          </w:p>
        </w:tc>
        <w:tc>
          <w:tcPr>
            <w:tcW w:w="9820" w:type="dxa"/>
            <w:vAlign w:val="bottom"/>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5763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ind w:left="1620" w:right="4860" w:hanging="900"/>
        <w:spacing w:after="0" w:line="420" w:lineRule="auto"/>
        <w:tabs>
          <w:tab w:leader="none" w:pos="16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7.59% (*) (**)</w:t>
      </w:r>
    </w:p>
    <w:p>
      <w:pPr>
        <w:spacing w:after="0" w:line="4" w:lineRule="exact"/>
        <w:rPr>
          <w:rFonts w:ascii="Arial" w:cs="Arial" w:eastAsia="Arial" w:hAnsi="Arial"/>
          <w:sz w:val="18"/>
          <w:szCs w:val="18"/>
          <w:b w:val="1"/>
          <w:bCs w:val="1"/>
          <w:color w:val="auto"/>
        </w:rPr>
      </w:pPr>
    </w:p>
    <w:p>
      <w:pPr>
        <w:ind w:left="1620" w:hanging="905"/>
        <w:spacing w:after="0"/>
        <w:tabs>
          <w:tab w:leader="none" w:pos="162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b w:val="1"/>
          <w:bCs w:val="1"/>
          <w:color w:val="auto"/>
        </w:rPr>
      </w:pPr>
    </w:p>
    <w:p>
      <w:pPr>
        <w:ind w:left="162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339" w:lineRule="exact"/>
        <w:rPr>
          <w:rFonts w:ascii="Arial" w:cs="Arial" w:eastAsia="Arial" w:hAnsi="Arial"/>
          <w:sz w:val="18"/>
          <w:szCs w:val="18"/>
          <w:b w:val="1"/>
          <w:bCs w:val="1"/>
          <w:color w:val="auto"/>
        </w:rPr>
      </w:pPr>
    </w:p>
    <w:p>
      <w:pPr>
        <w:ind w:right="140" w:firstLine="8"/>
        <w:spacing w:after="0" w:line="276" w:lineRule="auto"/>
        <w:tabs>
          <w:tab w:leader="none" w:pos="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400" w:firstLine="8"/>
        <w:spacing w:after="0" w:line="276" w:lineRule="auto"/>
        <w:tabs>
          <w:tab w:leader="none" w:pos="414" w:val="left"/>
        </w:tabs>
        <w:numPr>
          <w:ilvl w:val="0"/>
          <w:numId w:val="11"/>
        </w:numPr>
        <w:rPr>
          <w:rFonts w:ascii="Arial" w:cs="Arial" w:eastAsia="Arial" w:hAnsi="Arial"/>
          <w:sz w:val="22"/>
          <w:szCs w:val="22"/>
          <w:color w:val="auto"/>
        </w:rPr>
      </w:pPr>
      <w:r>
        <w:rPr>
          <w:rFonts w:ascii="Arial" w:cs="Arial" w:eastAsia="Arial" w:hAnsi="Arial"/>
          <w:sz w:val="22"/>
          <w:szCs w:val="22"/>
          <w:color w:val="auto"/>
        </w:rPr>
        <w:t>Based on 37,374,118 shares of Common Stock outstanding as of December 16, 2019 (as provided in the Issuer's Exhibit to Form 8-K filed with the Securities and Exchange Commission on December 18, 2019).</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5" w:name="page6"/>
    <w:bookmarkEnd w:id="5"/>
    <w:p>
      <w:pPr>
        <w:spacing w:after="0"/>
        <w:tabs>
          <w:tab w:leader="none" w:pos="88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Zafgen, Inc.</w:t>
      </w:r>
    </w:p>
    <w:p>
      <w:pPr>
        <w:spacing w:after="0" w:line="281" w:lineRule="exact"/>
        <w:rPr>
          <w:sz w:val="20"/>
          <w:szCs w:val="20"/>
          <w:color w:val="auto"/>
        </w:rPr>
      </w:pPr>
    </w:p>
    <w:p>
      <w:pPr>
        <w:ind w:left="1420" w:hanging="512"/>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3 Center Plaza, Suite 610, Boston, MA 02118</w:t>
      </w:r>
    </w:p>
    <w:p>
      <w:pPr>
        <w:spacing w:after="0" w:line="277" w:lineRule="exact"/>
        <w:rPr>
          <w:sz w:val="20"/>
          <w:szCs w:val="20"/>
          <w:color w:val="auto"/>
        </w:rPr>
      </w:pPr>
    </w:p>
    <w:p>
      <w:pPr>
        <w:spacing w:after="0"/>
        <w:tabs>
          <w:tab w:leader="none" w:pos="88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w:t>
      </w:r>
    </w:p>
    <w:p>
      <w:pPr>
        <w:spacing w:after="0" w:line="281" w:lineRule="exact"/>
        <w:rPr>
          <w:sz w:val="20"/>
          <w:szCs w:val="20"/>
          <w:color w:val="auto"/>
        </w:rPr>
      </w:pPr>
    </w:p>
    <w:p>
      <w:pPr>
        <w:ind w:left="1400" w:hanging="568"/>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6 Hachoshlim St., Herzelia,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21 Ha'arba'ah Street, Tel Aviv 64739,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Sphera Global Healthcare GP Ltd. – 21 Ha'arba'ah Street, Tel Aviv 64739, Israel</w:t>
      </w:r>
    </w:p>
    <w:p>
      <w:pPr>
        <w:spacing w:after="0" w:line="299"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Sphera Global Healthcare Management LP – 21 Ha'arba'ah Street, Tel Aviv 64739, Israel</w:t>
      </w:r>
    </w:p>
    <w:p>
      <w:pPr>
        <w:spacing w:after="0" w:line="315" w:lineRule="exact"/>
        <w:rPr>
          <w:sz w:val="20"/>
          <w:szCs w:val="20"/>
          <w:color w:val="auto"/>
        </w:rPr>
      </w:pPr>
    </w:p>
    <w:p>
      <w:pPr>
        <w:ind w:left="1400" w:hanging="568"/>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 – Israel</w:t>
      </w:r>
    </w:p>
    <w:p>
      <w:pPr>
        <w:spacing w:after="0" w:line="281" w:lineRule="exact"/>
        <w:rPr>
          <w:sz w:val="20"/>
          <w:szCs w:val="20"/>
          <w:color w:val="auto"/>
        </w:rPr>
      </w:pPr>
    </w:p>
    <w:p>
      <w:pPr>
        <w:ind w:left="1400" w:hanging="56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Common Stock, $0.001 par value</w:t>
      </w:r>
    </w:p>
    <w:p>
      <w:pPr>
        <w:spacing w:after="0" w:line="281" w:lineRule="exact"/>
        <w:rPr>
          <w:sz w:val="20"/>
          <w:szCs w:val="20"/>
          <w:color w:val="auto"/>
        </w:rPr>
      </w:pPr>
    </w:p>
    <w:p>
      <w:pPr>
        <w:ind w:left="1420" w:hanging="588"/>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98885E103</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200" w:lineRule="exact"/>
        <w:rPr>
          <w:sz w:val="20"/>
          <w:szCs w:val="20"/>
          <w:color w:val="auto"/>
        </w:rPr>
      </w:pPr>
    </w:p>
    <w:p>
      <w:pPr>
        <w:spacing w:after="0" w:line="26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6" w:name="page7"/>
    <w:bookmarkEnd w:id="6"/>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83" w:lineRule="exact"/>
        <w:rPr>
          <w:sz w:val="20"/>
          <w:szCs w:val="20"/>
          <w:color w:val="auto"/>
        </w:rPr>
      </w:pPr>
    </w:p>
    <w:p>
      <w:pPr>
        <w:ind w:left="1400" w:hanging="591"/>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9 of cover page of each reporting person.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The securities reported herein are beneficially owned as follows:</w:t>
      </w:r>
    </w:p>
    <w:p>
      <w:pPr>
        <w:spacing w:after="0" w:line="281" w:lineRule="exact"/>
        <w:rPr>
          <w:sz w:val="20"/>
          <w:szCs w:val="20"/>
          <w:color w:val="auto"/>
        </w:rPr>
      </w:pPr>
    </w:p>
    <w:p>
      <w:pPr>
        <w:jc w:val="both"/>
        <w:ind w:left="1780" w:hanging="381"/>
        <w:spacing w:after="0" w:line="264"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1,500,000 shares of Common Stock representing 4.01% of the total shares of Common Stock outstanding, are held directly by Sphera Global Healthcare Master Fund, which has delegated its investment management authority to Sphera Global Healthcare Management Ltd. (the "Management Company").</w:t>
      </w:r>
    </w:p>
    <w:p>
      <w:pPr>
        <w:spacing w:after="0" w:line="235" w:lineRule="exact"/>
        <w:rPr>
          <w:rFonts w:ascii="Arial" w:cs="Arial" w:eastAsia="Arial" w:hAnsi="Arial"/>
          <w:sz w:val="18"/>
          <w:szCs w:val="18"/>
          <w:color w:val="auto"/>
        </w:rPr>
      </w:pPr>
    </w:p>
    <w:p>
      <w:pPr>
        <w:ind w:left="1800" w:hanging="387"/>
        <w:spacing w:after="0" w:line="308" w:lineRule="auto"/>
        <w:tabs>
          <w:tab w:leader="none" w:pos="1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1,336,367 shares of Common Stock representing 3.58% of the total shares of Common Stock outstanding, are held directly by Sphera Biotech Master Fund, L.P., which has delegated its investment management authority to the Management Company.</w:t>
      </w:r>
    </w:p>
    <w:p>
      <w:pPr>
        <w:spacing w:after="0" w:line="207" w:lineRule="exact"/>
        <w:rPr>
          <w:sz w:val="20"/>
          <w:szCs w:val="20"/>
          <w:color w:val="auto"/>
        </w:rPr>
      </w:pPr>
    </w:p>
    <w:p>
      <w:pPr>
        <w:jc w:val="both"/>
        <w:ind w:left="1420" w:right="20"/>
        <w:spacing w:after="0" w:line="301" w:lineRule="auto"/>
        <w:rPr>
          <w:sz w:val="20"/>
          <w:szCs w:val="20"/>
          <w:color w:val="auto"/>
        </w:rPr>
      </w:pPr>
      <w:r>
        <w:rPr>
          <w:rFonts w:ascii="Arial" w:cs="Arial" w:eastAsia="Arial" w:hAnsi="Arial"/>
          <w:sz w:val="21"/>
          <w:szCs w:val="21"/>
          <w:color w:val="auto"/>
        </w:rPr>
        <w:t>The Management Company is managed, controlled, and operated by its general partner, Sphera Global Healthcare GP Ltd., which is controlled jointly by Sphera Funds Management Ltd. and Moshe Arkin.</w:t>
      </w:r>
    </w:p>
    <w:p>
      <w:pPr>
        <w:spacing w:after="0" w:line="205" w:lineRule="exact"/>
        <w:rPr>
          <w:sz w:val="20"/>
          <w:szCs w:val="20"/>
          <w:color w:val="auto"/>
        </w:rPr>
      </w:pPr>
    </w:p>
    <w:p>
      <w:pPr>
        <w:jc w:val="both"/>
        <w:ind w:left="1420"/>
        <w:spacing w:after="0" w:line="259" w:lineRule="auto"/>
        <w:rPr>
          <w:sz w:val="20"/>
          <w:szCs w:val="20"/>
          <w:color w:val="auto"/>
        </w:rPr>
      </w:pPr>
      <w:r>
        <w:rPr>
          <w:rFonts w:ascii="Arial" w:cs="Arial" w:eastAsia="Arial" w:hAnsi="Arial"/>
          <w:sz w:val="22"/>
          <w:szCs w:val="22"/>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241" w:lineRule="exact"/>
        <w:rPr>
          <w:sz w:val="20"/>
          <w:szCs w:val="20"/>
          <w:color w:val="auto"/>
        </w:rPr>
      </w:pPr>
    </w:p>
    <w:p>
      <w:pPr>
        <w:ind w:left="1400" w:hanging="591"/>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11 of cover page of each reporting person</w:t>
      </w:r>
    </w:p>
    <w:p>
      <w:pPr>
        <w:spacing w:after="0" w:line="281" w:lineRule="exact"/>
        <w:rPr>
          <w:sz w:val="20"/>
          <w:szCs w:val="20"/>
          <w:color w:val="auto"/>
        </w:rPr>
      </w:pPr>
    </w:p>
    <w:p>
      <w:pPr>
        <w:ind w:left="1400" w:hanging="591"/>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5 of cover page of each reporting person</w:t>
      </w:r>
    </w:p>
    <w:p>
      <w:pPr>
        <w:spacing w:after="0" w:line="281" w:lineRule="exact"/>
        <w:rPr>
          <w:sz w:val="20"/>
          <w:szCs w:val="20"/>
          <w:color w:val="auto"/>
        </w:rPr>
      </w:pPr>
    </w:p>
    <w:p>
      <w:pPr>
        <w:ind w:left="1920" w:hanging="521"/>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6 of cover page of each reporting person and note in Item 4(a) above</w:t>
      </w:r>
    </w:p>
    <w:p>
      <w:pPr>
        <w:spacing w:after="0" w:line="281" w:lineRule="exact"/>
        <w:rPr>
          <w:sz w:val="20"/>
          <w:szCs w:val="20"/>
          <w:color w:val="auto"/>
        </w:rPr>
      </w:pPr>
    </w:p>
    <w:p>
      <w:pPr>
        <w:ind w:left="1920" w:hanging="521"/>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7 of cover page of each reporting person</w:t>
      </w:r>
    </w:p>
    <w:p>
      <w:pPr>
        <w:spacing w:after="0" w:line="281" w:lineRule="exact"/>
        <w:rPr>
          <w:sz w:val="20"/>
          <w:szCs w:val="20"/>
          <w:color w:val="auto"/>
        </w:rPr>
      </w:pPr>
    </w:p>
    <w:p>
      <w:pPr>
        <w:ind w:left="1920" w:hanging="521"/>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8 of cover page of each reporting person and note in Item 4(a) above</w:t>
      </w:r>
    </w:p>
    <w:p>
      <w:pPr>
        <w:spacing w:after="0" w:line="19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7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391" w:right="539" w:bottom="1440" w:gutter="0" w:footer="0" w:header="0"/>
        </w:sectPr>
      </w:pPr>
    </w:p>
    <w:bookmarkStart w:id="8" w:name="page9"/>
    <w:bookmarkEnd w:id="8"/>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90"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3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Moshe Arkin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Doron Breen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Doron Breen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Partner</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1"/>
        </w:trPr>
        <w:tc>
          <w:tcPr>
            <w:tcW w:w="1380" w:type="dxa"/>
            <w:vAlign w:val="bottom"/>
          </w:tcPr>
          <w:p>
            <w:pPr>
              <w:spacing w:after="0"/>
              <w:rPr>
                <w:sz w:val="20"/>
                <w:szCs w:val="20"/>
                <w:color w:val="auto"/>
              </w:rPr>
            </w:pPr>
            <w:r>
              <w:rPr>
                <w:rFonts w:ascii="Arial" w:cs="Arial" w:eastAsia="Arial" w:hAnsi="Arial"/>
                <w:sz w:val="22"/>
                <w:szCs w:val="22"/>
                <w:b w:val="1"/>
                <w:bCs w:val="1"/>
                <w:color w:val="auto"/>
              </w:rPr>
              <w:t>EXHIBIT NO.</w:t>
            </w:r>
          </w:p>
        </w:tc>
        <w:tc>
          <w:tcPr>
            <w:tcW w:w="10040" w:type="dxa"/>
            <w:vAlign w:val="bottom"/>
          </w:tcPr>
          <w:p>
            <w:pPr>
              <w:jc w:val="right"/>
              <w:ind w:right="7918"/>
              <w:spacing w:after="0"/>
              <w:rPr>
                <w:sz w:val="20"/>
                <w:szCs w:val="20"/>
                <w:color w:val="auto"/>
              </w:rPr>
            </w:pPr>
            <w:r>
              <w:rPr>
                <w:rFonts w:ascii="Arial" w:cs="Arial" w:eastAsia="Arial" w:hAnsi="Arial"/>
                <w:sz w:val="22"/>
                <w:szCs w:val="22"/>
                <w:b w:val="1"/>
                <w:bCs w:val="1"/>
                <w:color w:val="auto"/>
              </w:rPr>
              <w:t>DESCRIPTION</w:t>
            </w:r>
          </w:p>
        </w:tc>
      </w:tr>
      <w:tr>
        <w:trPr>
          <w:trHeight w:val="490"/>
        </w:trPr>
        <w:tc>
          <w:tcPr>
            <w:tcW w:w="1380" w:type="dxa"/>
            <w:vAlign w:val="bottom"/>
          </w:tcPr>
          <w:p>
            <w:pPr>
              <w:spacing w:after="0"/>
              <w:rPr>
                <w:sz w:val="20"/>
                <w:szCs w:val="20"/>
                <w:color w:val="auto"/>
              </w:rPr>
            </w:pPr>
            <w:r>
              <w:rPr>
                <w:rFonts w:ascii="Arial" w:cs="Arial" w:eastAsia="Arial" w:hAnsi="Arial"/>
                <w:sz w:val="18"/>
                <w:szCs w:val="18"/>
                <w:color w:val="auto"/>
              </w:rPr>
              <w:t>Exhibit 1</w:t>
            </w:r>
          </w:p>
        </w:tc>
        <w:tc>
          <w:tcPr>
            <w:tcW w:w="10040" w:type="dxa"/>
            <w:vAlign w:val="bottom"/>
          </w:tcPr>
          <w:p>
            <w:pPr>
              <w:jc w:val="right"/>
              <w:ind w:right="3258"/>
              <w:spacing w:after="0"/>
              <w:rPr>
                <w:sz w:val="20"/>
                <w:szCs w:val="20"/>
                <w:color w:val="auto"/>
              </w:rPr>
            </w:pPr>
            <w:r>
              <w:rPr>
                <w:rFonts w:ascii="Arial" w:cs="Arial" w:eastAsia="Arial" w:hAnsi="Arial"/>
                <w:sz w:val="18"/>
                <w:szCs w:val="18"/>
                <w:color w:val="auto"/>
                <w:w w:val="90"/>
              </w:rPr>
              <w:t>Joint Filing Agreement by and among the Reporting Persons, dated as of February 11, 2020.</w:t>
            </w:r>
          </w:p>
        </w:tc>
      </w:tr>
      <w:tr>
        <w:trPr>
          <w:trHeight w:val="793"/>
        </w:trPr>
        <w:tc>
          <w:tcPr>
            <w:tcW w:w="1380" w:type="dxa"/>
            <w:vAlign w:val="bottom"/>
          </w:tcPr>
          <w:p>
            <w:pPr>
              <w:spacing w:after="0"/>
              <w:rPr>
                <w:sz w:val="24"/>
                <w:szCs w:val="24"/>
                <w:color w:val="auto"/>
              </w:rPr>
            </w:pPr>
          </w:p>
        </w:tc>
        <w:tc>
          <w:tcPr>
            <w:tcW w:w="10040" w:type="dxa"/>
            <w:vAlign w:val="bottom"/>
          </w:tcPr>
          <w:p>
            <w:pPr>
              <w:jc w:val="right"/>
              <w:ind w:right="5498"/>
              <w:spacing w:after="0"/>
              <w:rPr>
                <w:sz w:val="20"/>
                <w:szCs w:val="20"/>
                <w:color w:val="auto"/>
              </w:rPr>
            </w:pPr>
            <w:r>
              <w:rPr>
                <w:rFonts w:ascii="Arial" w:cs="Arial" w:eastAsia="Arial" w:hAnsi="Arial"/>
                <w:sz w:val="22"/>
                <w:szCs w:val="22"/>
                <w:color w:val="auto"/>
              </w:rPr>
              <w:t>11</w:t>
            </w:r>
          </w:p>
        </w:tc>
      </w:tr>
      <w:tr>
        <w:trPr>
          <w:trHeight w:val="98"/>
        </w:trPr>
        <w:tc>
          <w:tcPr>
            <w:tcW w:w="1380" w:type="dxa"/>
            <w:vAlign w:val="bottom"/>
            <w:tcBorders>
              <w:bottom w:val="single" w:sz="8" w:color="auto"/>
            </w:tcBorders>
          </w:tcPr>
          <w:p>
            <w:pPr>
              <w:spacing w:after="0"/>
              <w:rPr>
                <w:sz w:val="8"/>
                <w:szCs w:val="8"/>
                <w:color w:val="auto"/>
              </w:rPr>
            </w:pPr>
          </w:p>
        </w:tc>
        <w:tc>
          <w:tcPr>
            <w:tcW w:w="10040" w:type="dxa"/>
            <w:vAlign w:val="bottom"/>
            <w:tcBorders>
              <w:bottom w:val="single" w:sz="8" w:color="auto"/>
            </w:tcBorders>
          </w:tcPr>
          <w:p>
            <w:pPr>
              <w:spacing w:after="0"/>
              <w:rPr>
                <w:sz w:val="8"/>
                <w:szCs w:val="8"/>
                <w:color w:val="auto"/>
              </w:rPr>
            </w:pPr>
          </w:p>
        </w:tc>
      </w:tr>
      <w:tr>
        <w:trPr>
          <w:trHeight w:val="163"/>
        </w:trPr>
        <w:tc>
          <w:tcPr>
            <w:tcW w:w="1380" w:type="dxa"/>
            <w:vAlign w:val="bottom"/>
            <w:tcBorders>
              <w:bottom w:val="single" w:sz="8" w:color="auto"/>
            </w:tcBorders>
          </w:tcPr>
          <w:p>
            <w:pPr>
              <w:spacing w:after="0"/>
              <w:rPr>
                <w:sz w:val="14"/>
                <w:szCs w:val="14"/>
                <w:color w:val="auto"/>
              </w:rPr>
            </w:pPr>
          </w:p>
        </w:tc>
        <w:tc>
          <w:tcPr>
            <w:tcW w:w="1004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Joint Filing Agreement</w:t>
      </w:r>
    </w:p>
    <w:p>
      <w:pPr>
        <w:spacing w:after="0" w:line="287" w:lineRule="exact"/>
        <w:rPr>
          <w:sz w:val="20"/>
          <w:szCs w:val="20"/>
          <w:color w:val="auto"/>
        </w:rPr>
      </w:pPr>
    </w:p>
    <w:p>
      <w:pPr>
        <w:ind w:right="80" w:firstLine="486"/>
        <w:spacing w:after="0" w:line="304" w:lineRule="auto"/>
        <w:rPr>
          <w:sz w:val="20"/>
          <w:szCs w:val="20"/>
          <w:color w:val="auto"/>
        </w:rPr>
      </w:pPr>
      <w:r>
        <w:rPr>
          <w:rFonts w:ascii="Arial" w:cs="Arial" w:eastAsia="Arial" w:hAnsi="Arial"/>
          <w:sz w:val="19"/>
          <w:szCs w:val="19"/>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shares of Zafgen, Inc.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In accordance with Rule 13d-1(k)(1),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agreement may be executed in any number of counterparts, each of which shall be deemed an original.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Moshe Arkin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 xml:space="preserve">/s/ </w:t>
      </w:r>
      <w:r>
        <w:rPr>
          <w:rFonts w:ascii="Arial" w:cs="Arial" w:eastAsia="Arial" w:hAnsi="Arial"/>
          <w:sz w:val="18"/>
          <w:szCs w:val="18"/>
          <w:i w:val="1"/>
          <w:iCs w:val="1"/>
          <w:u w:val="single" w:color="auto"/>
          <w:color w:val="auto"/>
        </w:rPr>
        <w:t>Doron Breen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Doron Breen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2"/>
      <w:numFmt w:val="decimal"/>
      <w:start w:val="1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lvl w:ilvl="1">
      <w:lvlJc w:val="left"/>
      <w:lvlText w:val="%2"/>
      <w:numFmt w:val="decimal"/>
      <w:start w:val="1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2"/>
      <w:numFmt w:val="decimal"/>
      <w:start w:val="1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2"/>
      <w:numFmt w:val="decimal"/>
      <w:start w:val="1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4"/>
    </w:lvl>
  </w:abstractNum>
  <w:abstractNum w:abstractNumId="15">
    <w:nsid w:val="257130A3"/>
    <w:multiLevelType w:val="hybridMultilevel"/>
    <w:lvl w:ilvl="0">
      <w:lvlJc w:val="left"/>
      <w:lvlText w:val="(%1)"/>
      <w:numFmt w:val="lowerLetter"/>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lvl w:ilvl="1">
      <w:lvlJc w:val="left"/>
      <w:lvlText w:val="•"/>
      <w:numFmt w:val="bullet"/>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3"/>
    </w:lvl>
    <w:lvl w:ilvl="1">
      <w:lvlJc w:val="left"/>
      <w:lvlText w:val="(%2)"/>
      <w:numFmt w:val="lowerLetter"/>
      <w:start w:val="9"/>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2020-02-11T11:21:28Z</dcterms:created>
  <dcterms:modified xsi:type="dcterms:W3CDTF">2020-02-11T11:21:28Z</dcterms:modified>
</cp:coreProperties>
</file>