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Hughes Thomas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10/09/2027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6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and becomes exercisable based on the Issuer's common stock price during the two years after the first anniversary of the date of grant as follows: 25% of shares subject to the option vest after the stock price is equal to or greater than $10.00 per share for 20 consecutive trading days; and an additional 6.25% of the shares subject to the option vest for every additional $2.50 in stock price above $10.00 per share for 20 consecutive trading days.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and Chief Scientific Officer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Laurie Burlingame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10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2019-12-04T01:25:50Z</dcterms:created>
  <dcterms:modified xsi:type="dcterms:W3CDTF">2019-12-04T01:25:50Z</dcterms:modified>
</cp:coreProperties>
</file>