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741518ds8.htm"/>
      <w:bookmarkStart w:id="1" w:name="ksd741518ds8"/>
      <w:bookmarkEnd w:id="0"/>
      <w:bookmarkEnd w:id="1"/>
      <w:r>
        <w:rPr>
          <w:rFonts w:ascii="Times New Roman" w:hAnsi="Times New Roman"/>
          <w:b/>
          <w:sz w:val="20"/>
        </w:rPr>
        <w:t xml:space="preserve">As filed with the United States Securities and Exchange Commission on March 14, 2024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LARIMAR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20-3857670</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Three Bala Plaza East, Suite 506</w:t>
            </w:r>
          </w:p>
          <w:p>
            <w:pPr>
              <w:pStyle w:val="TableContents"/>
              <w:bidi w:val="0"/>
              <w:spacing w:before="0" w:after="20"/>
              <w:jc w:val="center"/>
              <w:rPr>
                <w:rFonts w:ascii="Times New Roman" w:hAnsi="Times New Roman"/>
                <w:b/>
                <w:sz w:val="20"/>
              </w:rPr>
            </w:pPr>
            <w:r>
              <w:rPr>
                <w:rFonts w:ascii="Times New Roman" w:hAnsi="Times New Roman"/>
                <w:b/>
                <w:sz w:val="20"/>
              </w:rPr>
              <w:t>Bala Cynwyd, Pennsylvania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19004</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Non-Qualified Stock Option Inducement Awards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Carole S. Ben-Maimon, M.D.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Larimar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Three Bala Plaza East, Suite 506 </w:t>
      </w:r>
    </w:p>
    <w:p>
      <w:pPr>
        <w:pStyle w:val="TextBody"/>
        <w:bidi w:val="0"/>
        <w:spacing w:before="0" w:after="0"/>
        <w:jc w:val="center"/>
        <w:rPr>
          <w:rFonts w:ascii="Times New Roman" w:hAnsi="Times New Roman"/>
          <w:b/>
          <w:sz w:val="20"/>
        </w:rPr>
      </w:pPr>
      <w:r>
        <w:rPr>
          <w:rFonts w:ascii="Times New Roman" w:hAnsi="Times New Roman"/>
          <w:b/>
          <w:sz w:val="20"/>
        </w:rPr>
        <w:t xml:space="preserve">Bala Cynwyd, Pennsylvania 19004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(844) 511-9056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Rachael M. Bushey, Esq. </w:t>
      </w:r>
    </w:p>
    <w:p>
      <w:pPr>
        <w:pStyle w:val="TextBody"/>
        <w:bidi w:val="0"/>
        <w:spacing w:before="0" w:after="0"/>
        <w:jc w:val="center"/>
        <w:rPr>
          <w:rFonts w:ascii="Times New Roman" w:hAnsi="Times New Roman"/>
          <w:b/>
          <w:sz w:val="20"/>
        </w:rPr>
      </w:pPr>
      <w:r>
        <w:rPr>
          <w:rFonts w:ascii="Times New Roman" w:hAnsi="Times New Roman"/>
          <w:b/>
          <w:sz w:val="20"/>
        </w:rPr>
        <w:t xml:space="preserve">Jennifer L. Porter, Esq. </w:t>
      </w:r>
    </w:p>
    <w:p>
      <w:pPr>
        <w:pStyle w:val="TextBody"/>
        <w:bidi w:val="0"/>
        <w:spacing w:before="0" w:after="0"/>
        <w:jc w:val="center"/>
        <w:rPr>
          <w:rFonts w:ascii="Times New Roman" w:hAnsi="Times New Roman"/>
          <w:b/>
          <w:sz w:val="20"/>
        </w:rPr>
      </w:pPr>
      <w:r>
        <w:rPr>
          <w:rFonts w:ascii="Times New Roman" w:hAnsi="Times New Roman"/>
          <w:b/>
          <w:sz w:val="20"/>
        </w:rPr>
        <w:t xml:space="preserve">Goodwin Procter LLP </w:t>
      </w:r>
    </w:p>
    <w:p>
      <w:pPr>
        <w:pStyle w:val="TextBody"/>
        <w:bidi w:val="0"/>
        <w:spacing w:before="0" w:after="0"/>
        <w:jc w:val="center"/>
        <w:rPr>
          <w:rFonts w:ascii="Times New Roman" w:hAnsi="Times New Roman"/>
          <w:b/>
          <w:sz w:val="20"/>
        </w:rPr>
      </w:pPr>
      <w:r>
        <w:rPr>
          <w:rFonts w:ascii="Times New Roman" w:hAnsi="Times New Roman"/>
          <w:b/>
          <w:sz w:val="20"/>
        </w:rPr>
        <w:t xml:space="preserve">One Commerce Square </w:t>
      </w:r>
    </w:p>
    <w:p>
      <w:pPr>
        <w:pStyle w:val="TextBody"/>
        <w:bidi w:val="0"/>
        <w:spacing w:before="0" w:after="0"/>
        <w:jc w:val="center"/>
        <w:rPr>
          <w:rFonts w:ascii="Times New Roman" w:hAnsi="Times New Roman"/>
          <w:b/>
          <w:sz w:val="20"/>
        </w:rPr>
      </w:pPr>
      <w:r>
        <w:rPr>
          <w:rFonts w:ascii="Times New Roman" w:hAnsi="Times New Roman"/>
          <w:b/>
          <w:sz w:val="20"/>
        </w:rPr>
        <w:t xml:space="preserve">2005 Market St., 32nd Floor </w:t>
      </w:r>
    </w:p>
    <w:p>
      <w:pPr>
        <w:pStyle w:val="TextBody"/>
        <w:bidi w:val="0"/>
        <w:spacing w:before="0" w:after="0"/>
        <w:jc w:val="center"/>
        <w:rPr>
          <w:rFonts w:ascii="Times New Roman" w:hAnsi="Times New Roman"/>
          <w:b/>
          <w:sz w:val="20"/>
        </w:rPr>
      </w:pPr>
      <w:r>
        <w:rPr>
          <w:rFonts w:ascii="Times New Roman" w:hAnsi="Times New Roman"/>
          <w:b/>
          <w:sz w:val="20"/>
        </w:rPr>
        <w:t xml:space="preserve">Philadelphia, PA 19103 </w:t>
      </w:r>
    </w:p>
    <w:p>
      <w:pPr>
        <w:pStyle w:val="TextBody"/>
        <w:bidi w:val="0"/>
        <w:spacing w:before="0" w:after="0"/>
        <w:jc w:val="center"/>
        <w:rPr>
          <w:rFonts w:ascii="Times New Roman" w:hAnsi="Times New Roman"/>
          <w:b/>
          <w:sz w:val="20"/>
        </w:rPr>
      </w:pPr>
      <w:r>
        <w:rPr>
          <w:rFonts w:ascii="Times New Roman" w:hAnsi="Times New Roman"/>
          <w:b/>
          <w:sz w:val="20"/>
        </w:rPr>
        <w:t xml:space="preserve">(445) 207-7805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This Registration Statement on Form S-8 registers shares of common stock, par value $0.001 per share (the </w:t>
      </w:r>
      <w:r>
        <w:rPr>
          <w:rFonts w:ascii="Times New Roman" w:hAnsi="Times New Roman"/>
          <w:sz w:val="20"/>
          <w:u w:val="single"/>
        </w:rPr>
        <w:t>Common Stock</w:t>
      </w:r>
      <w:r>
        <w:rPr>
          <w:rFonts w:ascii="Times New Roman" w:hAnsi="Times New Roman"/>
          <w:sz w:val="20"/>
        </w:rPr>
        <w:t>), of Larimar Therapeutics, Inc. (the </w:t>
      </w:r>
      <w:r>
        <w:rPr>
          <w:rFonts w:ascii="Times New Roman" w:hAnsi="Times New Roman"/>
          <w:sz w:val="20"/>
          <w:u w:val="single"/>
        </w:rPr>
        <w:t>Registrant</w:t>
      </w:r>
      <w:r>
        <w:rPr>
          <w:rFonts w:ascii="Times New Roman" w:hAnsi="Times New Roman"/>
          <w:sz w:val="20"/>
        </w:rPr>
        <w:t>) issuable pursuant to the inducement award, as described below. To induce the individual listed below to accept employment with the Registrant, the Registrant granted the following equity award to such individual (the </w:t>
      </w:r>
      <w:r>
        <w:rPr>
          <w:rFonts w:ascii="Times New Roman" w:hAnsi="Times New Roman"/>
          <w:sz w:val="20"/>
          <w:u w:val="single"/>
        </w:rPr>
        <w:t>Inducement Award</w:t>
      </w:r>
      <w:r>
        <w:rPr>
          <w:rFonts w:ascii="Times New Roman" w:hAnsi="Times New Roman"/>
          <w:sz w:val="20"/>
        </w:rPr>
        <w:t xml:space="preserve">) on the date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options to purchase 180,000 shares of Common Stock granted to one newly-hired employee on July 17,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Inducement Award was approved by the Registrants Compensation Committee of the Board of Directors in compliance with and in reliance on Nasdaq Listing Rule 5635(c)(4). The Inducement Award was granted outside of the Registrants 2020 Equity Incentive Plan and its predecessor plans.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The information specified in Part I of Form S-8 is omitted from this filing in accordance with the provisions of Rule 428 under the Securities Act of 1933, as amended (the </w:t>
      </w:r>
      <w:r>
        <w:rPr>
          <w:rFonts w:ascii="Times New Roman" w:hAnsi="Times New Roman"/>
          <w:sz w:val="20"/>
          <w:u w:val="single"/>
        </w:rPr>
        <w:t>Securities Act</w:t>
      </w:r>
      <w:r>
        <w:rPr>
          <w:rFonts w:ascii="Times New Roman" w:hAnsi="Times New Roman"/>
          <w:sz w:val="20"/>
        </w:rPr>
        <w:t xml:space="preserve">) and the introductory note to Part I of the Form S-8 instructions. The documents containing the information specified in Part I will be delivered to the person to whom the Inducement Award has been granted as required by Rule 428(b)(1) under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of the Registrant filed with the Commission are incorporated by reference in this Registration Statement as of their respective dates: </w:t>
      </w:r>
    </w:p>
    <w:p>
      <w:pPr>
        <w:pStyle w:val="TextBody"/>
        <w:bidi w:val="0"/>
        <w:spacing w:before="120" w:after="0"/>
        <w:jc w:val="left"/>
        <w:rPr/>
      </w:pPr>
      <w:r>
        <w:rPr>
          <w:rFonts w:ascii="Times New Roman" w:hAnsi="Times New Roman"/>
          <w:sz w:val="20"/>
        </w:rPr>
        <w:t xml:space="preserve">(a) the Registrants Annual Report on Form 10-K for the year ended December 31, 2023, filed with the Commission on </w:t>
      </w:r>
      <w:hyperlink r:id="rId2">
        <w:r>
          <w:rPr>
            <w:rStyle w:val="InternetLink"/>
            <w:rFonts w:ascii="Times New Roman" w:hAnsi="Times New Roman"/>
            <w:sz w:val="20"/>
          </w:rPr>
          <w:t>March 14, 2024</w:t>
        </w:r>
      </w:hyperlink>
      <w:r>
        <w:rPr>
          <w:rFonts w:ascii="Times New Roman" w:hAnsi="Times New Roman"/>
          <w:sz w:val="20"/>
        </w:rPr>
        <w:t xml:space="preserve">; </w:t>
      </w:r>
    </w:p>
    <w:p>
      <w:pPr>
        <w:pStyle w:val="TextBody"/>
        <w:bidi w:val="0"/>
        <w:spacing w:before="240" w:after="0"/>
        <w:jc w:val="left"/>
        <w:rPr/>
      </w:pPr>
      <w:r>
        <w:rPr>
          <w:rFonts w:ascii="Times New Roman" w:hAnsi="Times New Roman"/>
          <w:sz w:val="20"/>
        </w:rPr>
        <w:t xml:space="preserve">(b) the Registrants Current Reports on Form 8-K (in each case other than portions thereof furnished under Item 2.02 or Item 7.01 of Form 8-K and exhibits accompanying such reports related to such items) filed with the Commission on </w:t>
      </w:r>
      <w:hyperlink r:id="rId3">
        <w:r>
          <w:rPr>
            <w:rStyle w:val="InternetLink"/>
            <w:rFonts w:ascii="Times New Roman" w:hAnsi="Times New Roman"/>
            <w:sz w:val="20"/>
          </w:rPr>
          <w:t>February 12, 2024</w:t>
        </w:r>
      </w:hyperlink>
      <w:r>
        <w:rPr>
          <w:rFonts w:ascii="Times New Roman" w:hAnsi="Times New Roman"/>
          <w:sz w:val="20"/>
        </w:rPr>
        <w:t xml:space="preserve">, </w:t>
      </w:r>
      <w:hyperlink r:id="rId4">
        <w:r>
          <w:rPr>
            <w:rStyle w:val="InternetLink"/>
            <w:rFonts w:ascii="Times New Roman" w:hAnsi="Times New Roman"/>
            <w:sz w:val="20"/>
          </w:rPr>
          <w:t>February  14, 2024</w:t>
        </w:r>
      </w:hyperlink>
      <w:r>
        <w:rPr>
          <w:rFonts w:ascii="Times New Roman" w:hAnsi="Times New Roman"/>
          <w:sz w:val="20"/>
        </w:rPr>
        <w:t xml:space="preserve">, </w:t>
      </w:r>
      <w:hyperlink r:id="rId5">
        <w:r>
          <w:rPr>
            <w:rStyle w:val="InternetLink"/>
            <w:rFonts w:ascii="Times New Roman" w:hAnsi="Times New Roman"/>
            <w:sz w:val="20"/>
          </w:rPr>
          <w:t>February  16, 2024</w:t>
        </w:r>
      </w:hyperlink>
      <w:r>
        <w:rPr>
          <w:rFonts w:ascii="Times New Roman" w:hAnsi="Times New Roman"/>
          <w:sz w:val="20"/>
        </w:rPr>
        <w:t xml:space="preserve"> and </w:t>
      </w:r>
      <w:hyperlink r:id="rId6">
        <w:r>
          <w:rPr>
            <w:rStyle w:val="InternetLink"/>
            <w:rFonts w:ascii="Times New Roman" w:hAnsi="Times New Roman"/>
            <w:sz w:val="20"/>
          </w:rPr>
          <w:t>March 11, 2024</w:t>
        </w:r>
      </w:hyperlink>
      <w:r>
        <w:rPr>
          <w:rFonts w:ascii="Times New Roman" w:hAnsi="Times New Roman"/>
          <w:sz w:val="20"/>
        </w:rPr>
        <w:t xml:space="preserve">; and </w:t>
      </w:r>
    </w:p>
    <w:p>
      <w:pPr>
        <w:pStyle w:val="TextBody"/>
        <w:bidi w:val="0"/>
        <w:spacing w:before="240" w:after="0"/>
        <w:jc w:val="left"/>
        <w:rPr/>
      </w:pPr>
      <w:r>
        <w:rPr>
          <w:rFonts w:ascii="Times New Roman" w:hAnsi="Times New Roman"/>
          <w:sz w:val="20"/>
        </w:rPr>
        <w:t xml:space="preserve">(c) the description of the Registrants Common Stock contained in the Registration Statement on </w:t>
      </w:r>
      <w:hyperlink r:id="rId7">
        <w:r>
          <w:rPr>
            <w:rStyle w:val="InternetLink"/>
            <w:rFonts w:ascii="Times New Roman" w:hAnsi="Times New Roman"/>
            <w:sz w:val="20"/>
          </w:rPr>
          <w:t>Form 8-A</w:t>
        </w:r>
      </w:hyperlink>
      <w:r>
        <w:rPr>
          <w:rFonts w:ascii="Times New Roman" w:hAnsi="Times New Roman"/>
          <w:sz w:val="20"/>
        </w:rPr>
        <w:t xml:space="preserve"> filed with the Commission on June 18, 2014 (File No. 001-36510), together with any amendment thereto filed with the Commission for the purpose of updating such description. </w:t>
      </w:r>
    </w:p>
    <w:p>
      <w:pPr>
        <w:pStyle w:val="TextBody"/>
        <w:bidi w:val="0"/>
        <w:spacing w:before="240" w:after="0"/>
        <w:jc w:val="left"/>
        <w:rPr>
          <w:rFonts w:ascii="Times New Roman" w:hAnsi="Times New Roman"/>
          <w:sz w:val="20"/>
        </w:rPr>
      </w:pPr>
      <w:r>
        <w:rPr>
          <w:rFonts w:ascii="Times New Roman" w:hAnsi="Times New Roman"/>
          <w:sz w:val="20"/>
        </w:rPr>
        <w:t>All documents subsequently filed by the Registrant with the Commission pursuant to Sections 13(a), 13(c), 14 and 15(d) of the Securities Exchange Act of 1934, as amended (the </w:t>
      </w:r>
      <w:r>
        <w:rPr>
          <w:rFonts w:ascii="Times New Roman" w:hAnsi="Times New Roman"/>
          <w:sz w:val="20"/>
          <w:u w:val="single"/>
        </w:rPr>
        <w:t>Exchange Act</w:t>
      </w:r>
      <w:r>
        <w:rPr>
          <w:rFonts w:ascii="Times New Roman" w:hAnsi="Times New Roman"/>
          <w:sz w:val="20"/>
        </w:rPr>
        <w:t xml:space="preserve">) (other than information furnished under Item 2.02 or 7.01 of Form 8-K and exhibits furnished on such form that relate to such items unless such form expressly provides to the contrary)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4.</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Interests of Named Experts and Counsel.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The Registrant is governed by the Delaware General Corporation Law (</w:t>
      </w:r>
      <w:r>
        <w:rPr>
          <w:rFonts w:ascii="Times New Roman" w:hAnsi="Times New Roman"/>
          <w:sz w:val="20"/>
          <w:u w:val="single"/>
        </w:rPr>
        <w:t>DGCL</w:t>
      </w:r>
      <w:r>
        <w:rPr>
          <w:rFonts w:ascii="Times New Roman" w:hAnsi="Times New Roman"/>
          <w:sz w:val="20"/>
        </w:rPr>
        <w:t xml:space="preserve">). Section 145 of the DGCL provides that a corporation may indemnify any person, including an officer or director, who was or is, or is threatened to be made, a party to any threatened, pending or completed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actions or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 </w:t>
      </w:r>
    </w:p>
    <w:p>
      <w:pPr>
        <w:pStyle w:val="TextBody"/>
        <w:bidi w:val="0"/>
        <w:spacing w:before="240" w:after="0"/>
        <w:jc w:val="left"/>
        <w:rPr>
          <w:rFonts w:ascii="Times New Roman" w:hAnsi="Times New Roman"/>
          <w:sz w:val="20"/>
        </w:rPr>
      </w:pPr>
      <w:r>
        <w:rPr>
          <w:rFonts w:ascii="Times New Roman" w:hAnsi="Times New Roman"/>
          <w:sz w:val="20"/>
        </w:rPr>
        <w:t>The Registrants Ninth Amended and Restated Certificate of Incorporation, as amended, (</w:t>
      </w:r>
      <w:r>
        <w:rPr>
          <w:rFonts w:ascii="Times New Roman" w:hAnsi="Times New Roman"/>
          <w:sz w:val="20"/>
          <w:u w:val="single"/>
        </w:rPr>
        <w:t>Charter</w:t>
      </w:r>
      <w:r>
        <w:rPr>
          <w:rFonts w:ascii="Times New Roman" w:hAnsi="Times New Roman"/>
          <w:sz w:val="20"/>
        </w:rPr>
        <w:t xml:space="preserve">), provides for the indemnification of directors to the fullest extent permissible under Delaware law. Accordingly, the Registrants directors will not be personally liable for monetary damages for breach of their fiduciary duty as directors, except for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breach of the directors duty of loyalty to the Registrant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acts or omissions not in good faith or which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unlawful payments of dividends or unlawful stock purchases or redemptions, as provided under Section 174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The Registrants Amended and Restated Bylaws (</w:t>
      </w:r>
      <w:r>
        <w:rPr>
          <w:rFonts w:ascii="Times New Roman" w:hAnsi="Times New Roman"/>
          <w:sz w:val="20"/>
          <w:u w:val="single"/>
        </w:rPr>
        <w:t>Bylaws</w:t>
      </w:r>
      <w:r>
        <w:rPr>
          <w:rFonts w:ascii="Times New Roman" w:hAnsi="Times New Roman"/>
          <w:sz w:val="20"/>
        </w:rPr>
        <w:t xml:space="preserve">) provide for the indemnification of officers and directors acting on the Registrants behalf if such persons act in good faith and in a manner reasonably believed to be in or not opposed to the Registrants best interest, and, with respect to any criminal proceeding, such indemnified party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into indemnification agreements with each of the Registrants directors. These agreements provide that the Registrant will indemnify each of its directors to the fullest extent permitted by law. The Registrant intends to enter into indemnification agreements with any new directors in the future.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Registrant also maintains a general liability insurance policy which covers certain liabilities of directors and officers of the Registrant arising out of claims based on acts or omissions in their capacities as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believes that the limitation of liability provision in the Charter and the indemnification agreements facilitate its ability to continue to attract and retain qualified individuals to serve as directors. The limitation of liability and indemnification provisions in the Charter and Bylaws may discourage stockholders from bringing a lawsuit against directors for breach of their fiduciary duties. They may also reduce the likelihood of derivative litigation against directors, even though an action, if successful, might benefit the Registrant and its stockholders. A stockholders investment may be harmed to the extent the Registrant pays the costs of settlement and damage awards against directors pursuant to these indemnification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7.</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Exemption from Registration Claimed.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8.</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are filed as exhibits to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2"/>
        <w:gridCol w:w="398"/>
        <w:gridCol w:w="8925"/>
      </w:tblGrid>
      <w:tr>
        <w:trPr/>
        <w:tc>
          <w:tcPr>
            <w:tcW w:w="882"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8925" w:type="dxa"/>
            <w:tcBorders/>
            <w:vAlign w:val="center"/>
          </w:tcPr>
          <w:p>
            <w:pPr>
              <w:pStyle w:val="TableContents"/>
              <w:bidi w:val="0"/>
              <w:spacing w:before="0" w:after="283"/>
              <w:jc w:val="left"/>
              <w:rPr>
                <w:sz w:val="4"/>
                <w:szCs w:val="4"/>
              </w:rPr>
            </w:pPr>
            <w:r>
              <w:rPr>
                <w:sz w:val="4"/>
                <w:szCs w:val="4"/>
              </w:rPr>
            </w:r>
          </w:p>
        </w:tc>
      </w:tr>
      <w:tr>
        <w:trPr/>
        <w:tc>
          <w:tcPr>
            <w:tcW w:w="882"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398" w:type="dxa"/>
            <w:tcBorders/>
            <w:vAlign w:val="bottom"/>
          </w:tcPr>
          <w:p>
            <w:pPr>
              <w:pStyle w:val="TableContents"/>
              <w:bidi w:val="0"/>
              <w:spacing w:before="0" w:after="283"/>
              <w:jc w:val="left"/>
              <w:rPr/>
            </w:pPr>
            <w:r>
              <w:rPr/>
              <w:t>  </w:t>
            </w:r>
          </w:p>
        </w:tc>
        <w:tc>
          <w:tcPr>
            <w:tcW w:w="89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4.1</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r:id="rId8">
              <w:r>
                <w:rPr>
                  <w:rStyle w:val="InternetLink"/>
                </w:rPr>
                <w:t xml:space="preserve">Ninth Amended and Restated Certificate of Incorporation of Larimar Therapeutics, Inc. (incorporated herein by reference to Exhibit 3.1 to the Companys Current Report on Form 8-K (File No. 001-36510) filed on June 24, 2014)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4.2</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r:id="rId9">
              <w:r>
                <w:rPr>
                  <w:rStyle w:val="InternetLink"/>
                </w:rPr>
                <w:t xml:space="preserve">Certificate of Amendment of Ninth Amended and Restated Certificate of Incorporation of Zafgen, Inc. related to the Reverse Stock Split, dated May 28, 2020 (incorporated herein by reference to Exhibit 3.1 to the Companys Current Report on Form 8-K (File No. 001-36510) filed on June 2, 2020)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4.3</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r:id="rId10">
              <w:r>
                <w:rPr>
                  <w:rStyle w:val="InternetLink"/>
                </w:rPr>
                <w:t xml:space="preserve">Certificate of Amendment of Ninth Amended and Restated Certificate of Incorporation of Zafgen, Inc. related to the Name Change, dated May 28, 2020 (incorporated herein by reference to Exhibit 3.2 to the Companys Current Report on Form 8-K (File No. 001-36510) filed on June 2, 2020)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4.4</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r:id="rId11">
              <w:r>
                <w:rPr>
                  <w:rStyle w:val="InternetLink"/>
                </w:rPr>
                <w:t xml:space="preserve">Amended and Restated Bylaws of Larimar Therapeutics, Inc. (incorporated herein by reference to Exhibit 3.2 to the Companys Current Report on Form 8-K (File No. 001-36510) filed on June 24, 2014)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5.1*</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w:anchor="d741518dex51.htm">
              <w:r>
                <w:rPr>
                  <w:rStyle w:val="InternetLink"/>
                </w:rPr>
                <w:t xml:space="preserve">Opinion of Goodwin Procter LLP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23.1*</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w:anchor="d741518dex231.htm">
              <w:r>
                <w:rPr>
                  <w:rStyle w:val="InternetLink"/>
                </w:rPr>
                <w:t xml:space="preserve">Consent of PricewaterhouseCoopers LLP, independent registered public accounting firm for Larimar Therapeutics, Inc.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23.2*</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w:anchor="d741518dex51.htm">
              <w:r>
                <w:rPr>
                  <w:rStyle w:val="InternetLink"/>
                </w:rPr>
                <w:t xml:space="preserve">Consent of Goodwin Procter LLP (contained in Exhibit 5.1)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24.1*</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w:anchor="sig">
              <w:r>
                <w:rPr>
                  <w:rStyle w:val="InternetLink"/>
                </w:rPr>
                <w:t xml:space="preserve">Power of Attorney (included on the signature page of this Registration Statement)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99.1</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r:id="rId12">
              <w:r>
                <w:rPr>
                  <w:rStyle w:val="InternetLink"/>
                </w:rPr>
                <w:t xml:space="preserve">Form of Non-Qualified Stock Option Grant Notice and Award Agreement Non-Plan Inducement Award (incorporated herein by reference to Exhibit 10.4 to the Companys Annual Report on Form 10-K (File No. 001-36510) filed on March 14, 2023)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107*</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w:anchor="d741518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9.</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pStyle w:val="TextBody"/>
        <w:bidi w:val="0"/>
        <w:spacing w:before="120" w:after="0"/>
        <w:jc w:val="left"/>
        <w:rPr>
          <w:rFonts w:ascii="Times New Roman" w:hAnsi="Times New Roman"/>
          <w:sz w:val="20"/>
        </w:rPr>
      </w:pPr>
      <w:r>
        <w:rPr>
          <w:rFonts w:ascii="Times New Roman" w:hAnsi="Times New Roman"/>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Bala Cynwyd, Commonwealth of Pennsylvania, on March 14,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LARIMAR THERAPEUTICS, INC.</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3" w:type="dxa"/>
            <w:tcBorders>
              <w:bottom w:val="single" w:sz="2" w:space="0" w:color="000000"/>
            </w:tcBorders>
            <w:tcMar>
              <w:bottom w:w="28" w:type="dxa"/>
            </w:tcMar>
          </w:tcPr>
          <w:p>
            <w:pPr>
              <w:pStyle w:val="TableContents"/>
              <w:bidi w:val="0"/>
              <w:spacing w:before="0" w:after="283"/>
              <w:jc w:val="left"/>
              <w:rPr/>
            </w:pPr>
            <w:r>
              <w:rPr/>
              <w:t>/s/ Carole S. Ben-Maimon, M.D.</w:t>
            </w:r>
          </w:p>
        </w:tc>
      </w:tr>
      <w:tr>
        <w:trPr/>
        <w:tc>
          <w:tcPr>
            <w:tcW w:w="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vAlign w:val="bottom"/>
          </w:tcPr>
          <w:p>
            <w:pPr>
              <w:pStyle w:val="TableContents"/>
              <w:bidi w:val="0"/>
              <w:spacing w:before="0" w:after="283"/>
              <w:jc w:val="left"/>
              <w:rPr/>
            </w:pPr>
            <w:r>
              <w:rPr/>
              <w:t>Carole S. Ben-Maimon, M.D.</w:t>
            </w:r>
          </w:p>
        </w:tc>
      </w:tr>
      <w:tr>
        <w:trPr/>
        <w:tc>
          <w:tcPr>
            <w:tcW w:w="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vAlign w:val="bottom"/>
          </w:tcPr>
          <w:p>
            <w:pPr>
              <w:pStyle w:val="TableContents"/>
              <w:bidi w:val="0"/>
              <w:spacing w:before="0" w:after="283"/>
              <w:jc w:val="left"/>
              <w:rPr>
                <w:i/>
              </w:rPr>
            </w:pPr>
            <w:r>
              <w:rPr>
                <w:i/>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i/>
          <w:sz w:val="20"/>
        </w:rPr>
        <w:t>KNOW ALL PERSONS BY THESE PRESENTS</w:t>
      </w:r>
      <w:r>
        <w:rPr>
          <w:rFonts w:ascii="Times New Roman" w:hAnsi="Times New Roman"/>
          <w:sz w:val="20"/>
        </w:rPr>
        <w:t xml:space="preserve">, that each person whose signature appears below hereby constitutes and appoints each of Carole S. Ben-Maimon, M.D. and Michael Celano as his or her true and lawful attorney-in-fact and agent with full power of substitution, for him or her in any and all capacities, to sign any and all amendments to this Registration Statement (including post-effective amendments thereto),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02"/>
        <w:gridCol w:w="120"/>
        <w:gridCol w:w="4332"/>
        <w:gridCol w:w="106"/>
        <w:gridCol w:w="1845"/>
      </w:tblGrid>
      <w:tr>
        <w:trPr/>
        <w:tc>
          <w:tcPr>
            <w:tcW w:w="38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3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38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8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802" w:type="dxa"/>
            <w:tcBorders/>
            <w:vAlign w:val="center"/>
          </w:tcPr>
          <w:p>
            <w:pPr>
              <w:pStyle w:val="TableContents"/>
              <w:bidi w:val="0"/>
              <w:spacing w:before="0" w:after="283"/>
              <w:jc w:val="left"/>
              <w:rPr>
                <w:sz w:val="4"/>
                <w:szCs w:val="4"/>
              </w:rPr>
            </w:pPr>
            <w:r>
              <w:rPr>
                <w:sz w:val="4"/>
                <w:szCs w:val="4"/>
              </w:rPr>
            </w:r>
          </w:p>
        </w:tc>
        <w:tc>
          <w:tcPr>
            <w:tcW w:w="4452"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r>
      <w:tr>
        <w:trPr/>
        <w:tc>
          <w:tcPr>
            <w:tcW w:w="380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Carole S. Ben-Maimon, M.D.</w:t>
            </w:r>
          </w:p>
          <w:p>
            <w:pPr>
              <w:pStyle w:val="TableContents"/>
              <w:bidi w:val="0"/>
              <w:spacing w:before="0" w:after="20"/>
              <w:jc w:val="center"/>
              <w:rPr>
                <w:rFonts w:ascii="Times New Roman" w:hAnsi="Times New Roman"/>
                <w:sz w:val="20"/>
              </w:rPr>
            </w:pPr>
            <w:r>
              <w:rPr>
                <w:rFonts w:ascii="Times New Roman" w:hAnsi="Times New Roman"/>
                <w:sz w:val="20"/>
              </w:rPr>
              <w:t>Carole S. Ben-Maimon, M.D.</w:t>
            </w:r>
          </w:p>
        </w:tc>
        <w:tc>
          <w:tcPr>
            <w:tcW w:w="120" w:type="dxa"/>
            <w:tcBorders/>
            <w:vAlign w:val="bottom"/>
          </w:tcPr>
          <w:p>
            <w:pPr>
              <w:pStyle w:val="TableContents"/>
              <w:bidi w:val="0"/>
              <w:spacing w:before="0" w:after="283"/>
              <w:jc w:val="left"/>
              <w:rPr/>
            </w:pPr>
            <w:r>
              <w:rPr/>
              <w:t>  </w:t>
            </w:r>
          </w:p>
        </w:tc>
        <w:tc>
          <w:tcPr>
            <w:tcW w:w="4332"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06" w:type="dxa"/>
            <w:tcBorders/>
            <w:vAlign w:val="bottom"/>
          </w:tcPr>
          <w:p>
            <w:pPr>
              <w:pStyle w:val="TableContents"/>
              <w:bidi w:val="0"/>
              <w:spacing w:before="0" w:after="283"/>
              <w:jc w:val="left"/>
              <w:rPr/>
            </w:pPr>
            <w:r>
              <w:rPr/>
              <w:t> </w:t>
            </w:r>
          </w:p>
        </w:tc>
        <w:tc>
          <w:tcPr>
            <w:tcW w:w="1845" w:type="dxa"/>
            <w:tcBorders/>
          </w:tcPr>
          <w:p>
            <w:pPr>
              <w:pStyle w:val="TableContents"/>
              <w:bidi w:val="0"/>
              <w:spacing w:before="0" w:after="283"/>
              <w:jc w:val="center"/>
              <w:rPr/>
            </w:pPr>
            <w:r>
              <w:rPr/>
              <w:t>March 14, 2024</w:t>
            </w:r>
          </w:p>
        </w:tc>
      </w:tr>
      <w:tr>
        <w:trPr>
          <w:trHeight w:val="240" w:hRule="atLeast"/>
        </w:trPr>
        <w:tc>
          <w:tcPr>
            <w:tcW w:w="3802" w:type="dxa"/>
            <w:tcBorders/>
            <w:vAlign w:val="center"/>
          </w:tcPr>
          <w:p>
            <w:pPr>
              <w:pStyle w:val="TableContents"/>
              <w:bidi w:val="0"/>
              <w:spacing w:before="0" w:after="283"/>
              <w:jc w:val="left"/>
              <w:rPr>
                <w:sz w:val="4"/>
                <w:szCs w:val="4"/>
              </w:rPr>
            </w:pPr>
            <w:r>
              <w:rPr>
                <w:sz w:val="4"/>
                <w:szCs w:val="4"/>
              </w:rPr>
            </w:r>
          </w:p>
        </w:tc>
        <w:tc>
          <w:tcPr>
            <w:tcW w:w="4452"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r>
      <w:tr>
        <w:trPr/>
        <w:tc>
          <w:tcPr>
            <w:tcW w:w="380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Celano</w:t>
            </w:r>
          </w:p>
          <w:p>
            <w:pPr>
              <w:pStyle w:val="TableContents"/>
              <w:bidi w:val="0"/>
              <w:spacing w:before="0" w:after="20"/>
              <w:jc w:val="center"/>
              <w:rPr>
                <w:rFonts w:ascii="Times New Roman" w:hAnsi="Times New Roman"/>
                <w:sz w:val="20"/>
              </w:rPr>
            </w:pPr>
            <w:r>
              <w:rPr>
                <w:rFonts w:ascii="Times New Roman" w:hAnsi="Times New Roman"/>
                <w:sz w:val="20"/>
              </w:rPr>
              <w:t>Michael Celano</w:t>
            </w:r>
          </w:p>
        </w:tc>
        <w:tc>
          <w:tcPr>
            <w:tcW w:w="120" w:type="dxa"/>
            <w:tcBorders/>
            <w:vAlign w:val="bottom"/>
          </w:tcPr>
          <w:p>
            <w:pPr>
              <w:pStyle w:val="TableContents"/>
              <w:bidi w:val="0"/>
              <w:spacing w:before="0" w:after="283"/>
              <w:jc w:val="left"/>
              <w:rPr/>
            </w:pPr>
            <w:r>
              <w:rPr/>
              <w:t>  </w:t>
            </w:r>
          </w:p>
        </w:tc>
        <w:tc>
          <w:tcPr>
            <w:tcW w:w="4332"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c>
          <w:tcPr>
            <w:tcW w:w="106" w:type="dxa"/>
            <w:tcBorders/>
            <w:vAlign w:val="bottom"/>
          </w:tcPr>
          <w:p>
            <w:pPr>
              <w:pStyle w:val="TableContents"/>
              <w:bidi w:val="0"/>
              <w:spacing w:before="0" w:after="283"/>
              <w:jc w:val="left"/>
              <w:rPr/>
            </w:pPr>
            <w:r>
              <w:rPr/>
              <w:t> </w:t>
            </w:r>
          </w:p>
        </w:tc>
        <w:tc>
          <w:tcPr>
            <w:tcW w:w="1845" w:type="dxa"/>
            <w:tcBorders/>
          </w:tcPr>
          <w:p>
            <w:pPr>
              <w:pStyle w:val="TableContents"/>
              <w:bidi w:val="0"/>
              <w:spacing w:before="0" w:after="283"/>
              <w:jc w:val="center"/>
              <w:rPr/>
            </w:pPr>
            <w:r>
              <w:rPr/>
              <w:t>March 14, 2024</w:t>
            </w:r>
          </w:p>
        </w:tc>
      </w:tr>
      <w:tr>
        <w:trPr>
          <w:trHeight w:val="240" w:hRule="atLeast"/>
        </w:trPr>
        <w:tc>
          <w:tcPr>
            <w:tcW w:w="3802" w:type="dxa"/>
            <w:tcBorders/>
            <w:vAlign w:val="center"/>
          </w:tcPr>
          <w:p>
            <w:pPr>
              <w:pStyle w:val="TableContents"/>
              <w:bidi w:val="0"/>
              <w:spacing w:before="0" w:after="283"/>
              <w:jc w:val="left"/>
              <w:rPr>
                <w:sz w:val="4"/>
                <w:szCs w:val="4"/>
              </w:rPr>
            </w:pPr>
            <w:r>
              <w:rPr>
                <w:sz w:val="4"/>
                <w:szCs w:val="4"/>
              </w:rPr>
            </w:r>
          </w:p>
        </w:tc>
        <w:tc>
          <w:tcPr>
            <w:tcW w:w="4452"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r>
      <w:tr>
        <w:trPr/>
        <w:tc>
          <w:tcPr>
            <w:tcW w:w="380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Joseph Truitt</w:t>
            </w:r>
          </w:p>
          <w:p>
            <w:pPr>
              <w:pStyle w:val="TableContents"/>
              <w:bidi w:val="0"/>
              <w:spacing w:before="0" w:after="20"/>
              <w:jc w:val="center"/>
              <w:rPr>
                <w:rFonts w:ascii="Times New Roman" w:hAnsi="Times New Roman"/>
                <w:sz w:val="20"/>
              </w:rPr>
            </w:pPr>
            <w:r>
              <w:rPr>
                <w:rFonts w:ascii="Times New Roman" w:hAnsi="Times New Roman"/>
                <w:sz w:val="20"/>
              </w:rPr>
              <w:t>Joseph Truitt</w:t>
            </w:r>
          </w:p>
        </w:tc>
        <w:tc>
          <w:tcPr>
            <w:tcW w:w="120" w:type="dxa"/>
            <w:tcBorders/>
            <w:vAlign w:val="bottom"/>
          </w:tcPr>
          <w:p>
            <w:pPr>
              <w:pStyle w:val="TableContents"/>
              <w:bidi w:val="0"/>
              <w:spacing w:before="0" w:after="283"/>
              <w:jc w:val="left"/>
              <w:rPr/>
            </w:pPr>
            <w:r>
              <w:rPr/>
              <w:t>  </w:t>
            </w:r>
          </w:p>
        </w:tc>
        <w:tc>
          <w:tcPr>
            <w:tcW w:w="4332" w:type="dxa"/>
            <w:tcBorders/>
          </w:tcPr>
          <w:p>
            <w:pPr>
              <w:pStyle w:val="TableContents"/>
              <w:bidi w:val="0"/>
              <w:spacing w:before="0" w:after="283"/>
              <w:jc w:val="center"/>
              <w:rPr/>
            </w:pPr>
            <w:r>
              <w:rPr/>
              <w:t>Chairman, Board of Directors</w:t>
            </w:r>
          </w:p>
        </w:tc>
        <w:tc>
          <w:tcPr>
            <w:tcW w:w="106" w:type="dxa"/>
            <w:tcBorders/>
            <w:vAlign w:val="bottom"/>
          </w:tcPr>
          <w:p>
            <w:pPr>
              <w:pStyle w:val="TableContents"/>
              <w:bidi w:val="0"/>
              <w:spacing w:before="0" w:after="283"/>
              <w:jc w:val="left"/>
              <w:rPr/>
            </w:pPr>
            <w:r>
              <w:rPr/>
              <w:t> </w:t>
            </w:r>
          </w:p>
        </w:tc>
        <w:tc>
          <w:tcPr>
            <w:tcW w:w="1845" w:type="dxa"/>
            <w:tcBorders/>
          </w:tcPr>
          <w:p>
            <w:pPr>
              <w:pStyle w:val="TableContents"/>
              <w:bidi w:val="0"/>
              <w:spacing w:before="0" w:after="283"/>
              <w:jc w:val="center"/>
              <w:rPr/>
            </w:pPr>
            <w:r>
              <w:rPr/>
              <w:t>March 14, 2024</w:t>
            </w:r>
          </w:p>
        </w:tc>
      </w:tr>
      <w:tr>
        <w:trPr>
          <w:trHeight w:val="240" w:hRule="atLeast"/>
        </w:trPr>
        <w:tc>
          <w:tcPr>
            <w:tcW w:w="3802" w:type="dxa"/>
            <w:tcBorders/>
            <w:vAlign w:val="center"/>
          </w:tcPr>
          <w:p>
            <w:pPr>
              <w:pStyle w:val="TableContents"/>
              <w:bidi w:val="0"/>
              <w:spacing w:before="0" w:after="283"/>
              <w:jc w:val="left"/>
              <w:rPr>
                <w:sz w:val="4"/>
                <w:szCs w:val="4"/>
              </w:rPr>
            </w:pPr>
            <w:r>
              <w:rPr>
                <w:sz w:val="4"/>
                <w:szCs w:val="4"/>
              </w:rPr>
            </w:r>
          </w:p>
        </w:tc>
        <w:tc>
          <w:tcPr>
            <w:tcW w:w="4452"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r>
      <w:tr>
        <w:trPr/>
        <w:tc>
          <w:tcPr>
            <w:tcW w:w="380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Thomas E. Hamilton</w:t>
            </w:r>
          </w:p>
          <w:p>
            <w:pPr>
              <w:pStyle w:val="TableContents"/>
              <w:bidi w:val="0"/>
              <w:spacing w:before="0" w:after="20"/>
              <w:jc w:val="center"/>
              <w:rPr>
                <w:rFonts w:ascii="Times New Roman" w:hAnsi="Times New Roman"/>
                <w:sz w:val="20"/>
              </w:rPr>
            </w:pPr>
            <w:r>
              <w:rPr>
                <w:rFonts w:ascii="Times New Roman" w:hAnsi="Times New Roman"/>
                <w:sz w:val="20"/>
              </w:rPr>
              <w:t>Thomas E. Hamilton</w:t>
            </w:r>
          </w:p>
        </w:tc>
        <w:tc>
          <w:tcPr>
            <w:tcW w:w="120" w:type="dxa"/>
            <w:tcBorders/>
            <w:vAlign w:val="bottom"/>
          </w:tcPr>
          <w:p>
            <w:pPr>
              <w:pStyle w:val="TableContents"/>
              <w:bidi w:val="0"/>
              <w:spacing w:before="0" w:after="283"/>
              <w:jc w:val="left"/>
              <w:rPr/>
            </w:pPr>
            <w:r>
              <w:rPr/>
              <w:t>  </w:t>
            </w:r>
          </w:p>
        </w:tc>
        <w:tc>
          <w:tcPr>
            <w:tcW w:w="4332"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45" w:type="dxa"/>
            <w:tcBorders/>
          </w:tcPr>
          <w:p>
            <w:pPr>
              <w:pStyle w:val="TableContents"/>
              <w:bidi w:val="0"/>
              <w:spacing w:before="0" w:after="283"/>
              <w:jc w:val="center"/>
              <w:rPr/>
            </w:pPr>
            <w:r>
              <w:rPr/>
              <w:t>March 14, 2024</w:t>
            </w:r>
          </w:p>
        </w:tc>
      </w:tr>
      <w:tr>
        <w:trPr>
          <w:trHeight w:val="240" w:hRule="atLeast"/>
        </w:trPr>
        <w:tc>
          <w:tcPr>
            <w:tcW w:w="3802" w:type="dxa"/>
            <w:tcBorders/>
            <w:vAlign w:val="center"/>
          </w:tcPr>
          <w:p>
            <w:pPr>
              <w:pStyle w:val="TableContents"/>
              <w:bidi w:val="0"/>
              <w:spacing w:before="0" w:after="283"/>
              <w:jc w:val="left"/>
              <w:rPr>
                <w:sz w:val="4"/>
                <w:szCs w:val="4"/>
              </w:rPr>
            </w:pPr>
            <w:r>
              <w:rPr>
                <w:sz w:val="4"/>
                <w:szCs w:val="4"/>
              </w:rPr>
            </w:r>
          </w:p>
        </w:tc>
        <w:tc>
          <w:tcPr>
            <w:tcW w:w="4452"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r>
      <w:tr>
        <w:trPr/>
        <w:tc>
          <w:tcPr>
            <w:tcW w:w="380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Jonathan Leff</w:t>
            </w:r>
          </w:p>
          <w:p>
            <w:pPr>
              <w:pStyle w:val="TableContents"/>
              <w:bidi w:val="0"/>
              <w:spacing w:before="0" w:after="20"/>
              <w:jc w:val="center"/>
              <w:rPr>
                <w:rFonts w:ascii="Times New Roman" w:hAnsi="Times New Roman"/>
                <w:sz w:val="20"/>
              </w:rPr>
            </w:pPr>
            <w:r>
              <w:rPr>
                <w:rFonts w:ascii="Times New Roman" w:hAnsi="Times New Roman"/>
                <w:sz w:val="20"/>
              </w:rPr>
              <w:t>Jonathan Leff</w:t>
            </w:r>
          </w:p>
        </w:tc>
        <w:tc>
          <w:tcPr>
            <w:tcW w:w="120" w:type="dxa"/>
            <w:tcBorders/>
            <w:vAlign w:val="bottom"/>
          </w:tcPr>
          <w:p>
            <w:pPr>
              <w:pStyle w:val="TableContents"/>
              <w:bidi w:val="0"/>
              <w:spacing w:before="0" w:after="283"/>
              <w:jc w:val="left"/>
              <w:rPr/>
            </w:pPr>
            <w:r>
              <w:rPr/>
              <w:t>  </w:t>
            </w:r>
          </w:p>
        </w:tc>
        <w:tc>
          <w:tcPr>
            <w:tcW w:w="4332"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45" w:type="dxa"/>
            <w:tcBorders/>
          </w:tcPr>
          <w:p>
            <w:pPr>
              <w:pStyle w:val="TableContents"/>
              <w:bidi w:val="0"/>
              <w:spacing w:before="0" w:after="283"/>
              <w:jc w:val="center"/>
              <w:rPr/>
            </w:pPr>
            <w:r>
              <w:rPr/>
              <w:t>March 14, 2024</w:t>
            </w:r>
          </w:p>
        </w:tc>
      </w:tr>
      <w:tr>
        <w:trPr>
          <w:trHeight w:val="240" w:hRule="atLeast"/>
        </w:trPr>
        <w:tc>
          <w:tcPr>
            <w:tcW w:w="3802" w:type="dxa"/>
            <w:tcBorders/>
            <w:vAlign w:val="center"/>
          </w:tcPr>
          <w:p>
            <w:pPr>
              <w:pStyle w:val="TableContents"/>
              <w:bidi w:val="0"/>
              <w:spacing w:before="0" w:after="283"/>
              <w:jc w:val="left"/>
              <w:rPr>
                <w:sz w:val="4"/>
                <w:szCs w:val="4"/>
              </w:rPr>
            </w:pPr>
            <w:r>
              <w:rPr>
                <w:sz w:val="4"/>
                <w:szCs w:val="4"/>
              </w:rPr>
            </w:r>
          </w:p>
        </w:tc>
        <w:tc>
          <w:tcPr>
            <w:tcW w:w="4452"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r>
      <w:tr>
        <w:trPr/>
        <w:tc>
          <w:tcPr>
            <w:tcW w:w="380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Jeffrey W. Sherman, M.D., FACP</w:t>
            </w:r>
          </w:p>
          <w:p>
            <w:pPr>
              <w:pStyle w:val="TableContents"/>
              <w:bidi w:val="0"/>
              <w:spacing w:before="0" w:after="20"/>
              <w:jc w:val="center"/>
              <w:rPr>
                <w:rFonts w:ascii="Times New Roman" w:hAnsi="Times New Roman"/>
                <w:sz w:val="20"/>
              </w:rPr>
            </w:pPr>
            <w:r>
              <w:rPr>
                <w:rFonts w:ascii="Times New Roman" w:hAnsi="Times New Roman"/>
                <w:sz w:val="20"/>
              </w:rPr>
              <w:t>Jeffrey W. Sherman, M.D., FACP</w:t>
            </w:r>
          </w:p>
        </w:tc>
        <w:tc>
          <w:tcPr>
            <w:tcW w:w="120" w:type="dxa"/>
            <w:tcBorders/>
            <w:vAlign w:val="bottom"/>
          </w:tcPr>
          <w:p>
            <w:pPr>
              <w:pStyle w:val="TableContents"/>
              <w:bidi w:val="0"/>
              <w:spacing w:before="0" w:after="283"/>
              <w:jc w:val="left"/>
              <w:rPr/>
            </w:pPr>
            <w:r>
              <w:rPr/>
              <w:t>  </w:t>
            </w:r>
          </w:p>
        </w:tc>
        <w:tc>
          <w:tcPr>
            <w:tcW w:w="4332"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45" w:type="dxa"/>
            <w:tcBorders/>
          </w:tcPr>
          <w:p>
            <w:pPr>
              <w:pStyle w:val="TableContents"/>
              <w:bidi w:val="0"/>
              <w:spacing w:before="0" w:after="283"/>
              <w:jc w:val="center"/>
              <w:rPr/>
            </w:pPr>
            <w:r>
              <w:rPr/>
              <w:t>March 14, 2024</w:t>
            </w:r>
          </w:p>
        </w:tc>
      </w:tr>
      <w:tr>
        <w:trPr>
          <w:trHeight w:val="240" w:hRule="atLeast"/>
        </w:trPr>
        <w:tc>
          <w:tcPr>
            <w:tcW w:w="3802" w:type="dxa"/>
            <w:tcBorders/>
            <w:vAlign w:val="center"/>
          </w:tcPr>
          <w:p>
            <w:pPr>
              <w:pStyle w:val="TableContents"/>
              <w:bidi w:val="0"/>
              <w:spacing w:before="0" w:after="283"/>
              <w:jc w:val="left"/>
              <w:rPr>
                <w:sz w:val="4"/>
                <w:szCs w:val="4"/>
              </w:rPr>
            </w:pPr>
            <w:r>
              <w:rPr>
                <w:sz w:val="4"/>
                <w:szCs w:val="4"/>
              </w:rPr>
            </w:r>
          </w:p>
        </w:tc>
        <w:tc>
          <w:tcPr>
            <w:tcW w:w="4452"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r>
      <w:tr>
        <w:trPr/>
        <w:tc>
          <w:tcPr>
            <w:tcW w:w="380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Frank Thomas</w:t>
            </w:r>
          </w:p>
          <w:p>
            <w:pPr>
              <w:pStyle w:val="TableContents"/>
              <w:bidi w:val="0"/>
              <w:spacing w:before="0" w:after="20"/>
              <w:jc w:val="center"/>
              <w:rPr>
                <w:rFonts w:ascii="Times New Roman" w:hAnsi="Times New Roman"/>
                <w:sz w:val="20"/>
              </w:rPr>
            </w:pPr>
            <w:r>
              <w:rPr>
                <w:rFonts w:ascii="Times New Roman" w:hAnsi="Times New Roman"/>
                <w:sz w:val="20"/>
              </w:rPr>
              <w:t>Frank Thomas</w:t>
            </w:r>
          </w:p>
        </w:tc>
        <w:tc>
          <w:tcPr>
            <w:tcW w:w="120" w:type="dxa"/>
            <w:tcBorders/>
            <w:vAlign w:val="bottom"/>
          </w:tcPr>
          <w:p>
            <w:pPr>
              <w:pStyle w:val="TableContents"/>
              <w:bidi w:val="0"/>
              <w:spacing w:before="0" w:after="283"/>
              <w:jc w:val="left"/>
              <w:rPr/>
            </w:pPr>
            <w:r>
              <w:rPr/>
              <w:t>  </w:t>
            </w:r>
          </w:p>
        </w:tc>
        <w:tc>
          <w:tcPr>
            <w:tcW w:w="4332"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45" w:type="dxa"/>
            <w:tcBorders/>
          </w:tcPr>
          <w:p>
            <w:pPr>
              <w:pStyle w:val="TableContents"/>
              <w:bidi w:val="0"/>
              <w:spacing w:before="0" w:after="283"/>
              <w:jc w:val="center"/>
              <w:rPr/>
            </w:pPr>
            <w:r>
              <w:rPr/>
              <w:t>March 14, 2024</w:t>
            </w:r>
          </w:p>
        </w:tc>
      </w:tr>
    </w:tbl>
    <w:p>
      <w:pPr>
        <w:pStyle w:val="TextBody"/>
        <w:bidi w:val="0"/>
        <w:spacing w:before="0" w:after="0"/>
        <w:jc w:val="right"/>
        <w:rPr>
          <w:rFonts w:ascii="Times New Roman" w:hAnsi="Times New Roman"/>
          <w:b/>
          <w:sz w:val="20"/>
        </w:rPr>
      </w:pPr>
      <w:bookmarkStart w:id="3" w:name="d741518dex51.htm"/>
      <w:bookmarkStart w:id="4" w:name="ksd741518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46"/>
        <w:gridCol w:w="122"/>
        <w:gridCol w:w="2859"/>
        <w:gridCol w:w="122"/>
        <w:gridCol w:w="3156"/>
      </w:tblGrid>
      <w:tr>
        <w:trPr/>
        <w:tc>
          <w:tcPr>
            <w:tcW w:w="394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r>
      <w:tr>
        <w:trPr/>
        <w:tc>
          <w:tcPr>
            <w:tcW w:w="3946" w:type="dxa"/>
            <w:tcBorders/>
          </w:tcPr>
          <w:p>
            <w:pPr>
              <w:pStyle w:val="TableContents"/>
              <w:bidi w:val="0"/>
              <w:spacing w:before="0" w:after="283"/>
              <w:jc w:val="left"/>
              <w:rPr/>
            </w:pPr>
            <w:r>
              <w:rPr/>
              <w:drawing>
                <wp:inline distT="0" distB="0" distL="0" distR="0">
                  <wp:extent cx="19050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1905000" cy="4191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285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56"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One Commerce Square</w:t>
            </w:r>
          </w:p>
          <w:p>
            <w:pPr>
              <w:pStyle w:val="TableContents"/>
              <w:bidi w:val="0"/>
              <w:spacing w:before="0" w:after="0"/>
              <w:jc w:val="left"/>
              <w:rPr>
                <w:rFonts w:ascii="Times New Roman" w:hAnsi="Times New Roman"/>
                <w:sz w:val="20"/>
              </w:rPr>
            </w:pPr>
            <w:r>
              <w:rPr>
                <w:rFonts w:ascii="Times New Roman" w:hAnsi="Times New Roman"/>
                <w:sz w:val="20"/>
              </w:rPr>
              <w:t>2005 Market Square, 32nd Floor</w:t>
            </w:r>
          </w:p>
          <w:p>
            <w:pPr>
              <w:pStyle w:val="TableContents"/>
              <w:bidi w:val="0"/>
              <w:spacing w:before="0" w:after="0"/>
              <w:jc w:val="left"/>
              <w:rPr>
                <w:rFonts w:ascii="Times New Roman" w:hAnsi="Times New Roman"/>
                <w:sz w:val="20"/>
              </w:rPr>
            </w:pPr>
            <w:r>
              <w:rPr>
                <w:rFonts w:ascii="Times New Roman" w:hAnsi="Times New Roman"/>
                <w:sz w:val="20"/>
              </w:rPr>
              <w:t>Philadelphia, PA 19103</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goodwinlaw.com</w:t>
            </w:r>
          </w:p>
          <w:p>
            <w:pPr>
              <w:pStyle w:val="TableContents"/>
              <w:bidi w:val="0"/>
              <w:spacing w:before="0" w:after="20"/>
              <w:jc w:val="left"/>
              <w:rPr>
                <w:rFonts w:ascii="Times New Roman" w:hAnsi="Times New Roman"/>
                <w:sz w:val="20"/>
              </w:rPr>
            </w:pPr>
            <w:r>
              <w:rPr>
                <w:rFonts w:ascii="Times New Roman" w:hAnsi="Times New Roman"/>
                <w:sz w:val="20"/>
              </w:rPr>
              <w:t>+1 445 207 7800</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March 14, 2024 </w:t>
      </w:r>
    </w:p>
    <w:p>
      <w:pPr>
        <w:pStyle w:val="TextBody"/>
        <w:bidi w:val="0"/>
        <w:spacing w:before="240" w:after="0"/>
        <w:jc w:val="left"/>
        <w:rPr>
          <w:rFonts w:ascii="Times New Roman" w:hAnsi="Times New Roman"/>
          <w:sz w:val="20"/>
        </w:rPr>
      </w:pPr>
      <w:r>
        <w:rPr>
          <w:rFonts w:ascii="Times New Roman" w:hAnsi="Times New Roman"/>
          <w:sz w:val="20"/>
        </w:rPr>
        <w:t xml:space="preserve">Larimar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Three Bala Plaza East, Suite 506 </w:t>
      </w:r>
    </w:p>
    <w:p>
      <w:pPr>
        <w:pStyle w:val="TextBody"/>
        <w:bidi w:val="0"/>
        <w:spacing w:before="0" w:after="0"/>
        <w:jc w:val="left"/>
        <w:rPr>
          <w:rFonts w:ascii="Times New Roman" w:hAnsi="Times New Roman"/>
          <w:sz w:val="20"/>
        </w:rPr>
      </w:pPr>
      <w:r>
        <w:rPr>
          <w:rFonts w:ascii="Times New Roman" w:hAnsi="Times New Roman"/>
          <w:sz w:val="20"/>
        </w:rPr>
        <w:t xml:space="preserve">Bala Cynwyd, PA 19004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Being Registered under Registration Statement on Form S-8</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S-8 (the Registration Statement) pursuant to the Securities Act of 1933, as amended (the Securities Act), on or about the date hereof relating to an aggregate of 180,000 shares (the Shares) of Common Stock, $0.001 par value per share (Common Stock), of Larimar Therapeutics, Inc., a Delaware corporation (the Company), that may be issued pursuant to a non-qualified stock option grant agreement providing for an employee inducement grant between the Company and an employee, which was entered into in connection with the commencement of such employees employment with the Company pursuant to Nasdaq Listing Rule 5635(c)(4) (the Inducement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below, we have assumed that no event occurs that causes the number of authorized shares of Common Stock available for issuance by the Company to be less than the number of then unissued Shares.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upon issuance and delivery against payment therefor in accordance with the terms of the Inducement Award Agreement,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Larimar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March 14, 2024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w:t>
            </w:r>
            <w:r>
              <w:rPr>
                <w:sz w:val="20"/>
              </w:rPr>
              <w:t>OODWIN</w:t>
            </w:r>
            <w:r>
              <w:rPr/>
              <w:t xml:space="preserve"> P</w:t>
            </w:r>
            <w:r>
              <w:rPr>
                <w:sz w:val="20"/>
              </w:rPr>
              <w:t>ROCTER</w:t>
            </w:r>
            <w:r>
              <w:rPr/>
              <w:t xml:space="preserve"> </w:t>
            </w:r>
            <w:r>
              <w:rPr>
                <w:sz w:val="20"/>
              </w:rPr>
              <w:t>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GOODWIN PROCTER </w:t>
            </w:r>
            <w:r>
              <w:rPr>
                <w:sz w:val="20"/>
              </w:rPr>
              <w:t>LLP</w:t>
            </w:r>
          </w:p>
        </w:tc>
      </w:tr>
    </w:tbl>
    <w:p>
      <w:pPr>
        <w:pStyle w:val="TextBody"/>
        <w:bidi w:val="0"/>
        <w:spacing w:before="0" w:after="0"/>
        <w:jc w:val="right"/>
        <w:rPr>
          <w:rFonts w:ascii="Times New Roman" w:hAnsi="Times New Roman"/>
          <w:b/>
          <w:sz w:val="20"/>
        </w:rPr>
      </w:pPr>
      <w:bookmarkStart w:id="5" w:name="d741518dex231.htm"/>
      <w:bookmarkStart w:id="6" w:name="ksd741518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Larimar Therapeutics, Inc. of our report dated March 14, 2024 relating to the financial statements, which appears in Larimar Therapeutics, Inc.s Annual Report on Form 10-K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Philadelphia, Pennsylvania </w:t>
      </w:r>
    </w:p>
    <w:p>
      <w:pPr>
        <w:pStyle w:val="TextBody"/>
        <w:bidi w:val="0"/>
        <w:spacing w:before="0" w:after="0"/>
        <w:jc w:val="left"/>
        <w:rPr>
          <w:rFonts w:ascii="Times New Roman" w:hAnsi="Times New Roman"/>
          <w:sz w:val="20"/>
        </w:rPr>
      </w:pPr>
      <w:r>
        <w:rPr>
          <w:rFonts w:ascii="Times New Roman" w:hAnsi="Times New Roman"/>
          <w:sz w:val="20"/>
        </w:rPr>
        <w:t xml:space="preserve">March 14, 2024 </w:t>
      </w:r>
    </w:p>
    <w:p>
      <w:pPr>
        <w:pStyle w:val="TextBody"/>
        <w:bidi w:val="0"/>
        <w:spacing w:before="0" w:after="0"/>
        <w:jc w:val="right"/>
        <w:rPr>
          <w:rFonts w:ascii="Times New Roman" w:hAnsi="Times New Roman"/>
          <w:b/>
          <w:sz w:val="20"/>
        </w:rPr>
      </w:pPr>
      <w:bookmarkStart w:id="7" w:name="d741518dexfilingfees.htm"/>
      <w:bookmarkStart w:id="8" w:name="ksd741518dexfilingfees"/>
      <w:bookmarkEnd w:id="7"/>
      <w:bookmarkEnd w:id="8"/>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S-8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Larimar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Table 1: Newly Registered Securities </w:t>
      </w:r>
    </w:p>
    <w:p>
      <w:pPr>
        <w:pStyle w:val="TextBody"/>
        <w:bidi w:val="0"/>
        <w:spacing w:before="0" w:after="0"/>
        <w:jc w:val="left"/>
        <w:rPr/>
      </w:pPr>
      <w:r>
        <w:rPr/>
        <w:t> </w:t>
      </w:r>
    </w:p>
    <w:tbl>
      <w:tblPr>
        <w:tblW w:w="10135" w:type="dxa"/>
        <w:jc w:val="center"/>
        <w:tblInd w:w="0" w:type="dxa"/>
        <w:tblLayout w:type="fixed"/>
        <w:tblCellMar>
          <w:top w:w="0" w:type="dxa"/>
          <w:left w:w="0" w:type="dxa"/>
          <w:bottom w:w="0" w:type="dxa"/>
          <w:right w:w="0" w:type="dxa"/>
        </w:tblCellMar>
      </w:tblPr>
      <w:tblGrid>
        <w:gridCol w:w="860"/>
        <w:gridCol w:w="60"/>
        <w:gridCol w:w="1925"/>
        <w:gridCol w:w="60"/>
        <w:gridCol w:w="1190"/>
        <w:gridCol w:w="60"/>
        <w:gridCol w:w="1175"/>
        <w:gridCol w:w="60"/>
        <w:gridCol w:w="1070"/>
        <w:gridCol w:w="60"/>
        <w:gridCol w:w="1070"/>
        <w:gridCol w:w="60"/>
        <w:gridCol w:w="1160"/>
        <w:gridCol w:w="60"/>
        <w:gridCol w:w="1265"/>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6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60" w:type="dxa"/>
            <w:tcBorders>
              <w:left w:val="single" w:sz="2" w:space="0" w:color="000000"/>
            </w:tcBorders>
            <w:tcMar>
              <w:left w:w="160" w:type="dxa"/>
            </w:tcMar>
            <w:vAlign w:val="bottom"/>
          </w:tcPr>
          <w:p>
            <w:pPr>
              <w:pStyle w:val="TableContents"/>
              <w:bidi w:val="0"/>
              <w:spacing w:before="0" w:after="283"/>
              <w:jc w:val="center"/>
              <w:rPr>
                <w:b/>
              </w:rPr>
            </w:pPr>
            <w:r>
              <w:rPr>
                <w:b/>
              </w:rPr>
              <w:t>Security 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b/>
              </w:rPr>
            </w:pPr>
            <w:r>
              <w:rPr>
                <w:b/>
              </w:rPr>
              <w:t>Security</w:t>
              <w:br/>
              <w:t>Class</w:t>
              <w:b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b/>
              </w:rPr>
            </w:pPr>
            <w:r>
              <w:rPr>
                <w:b/>
              </w:rPr>
              <w:t>Fee</w:t>
              <w:br/>
              <w:t>Calculation</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b/>
              </w:rPr>
            </w:pPr>
            <w:r>
              <w:rPr>
                <w:b/>
              </w:rPr>
              <w:t>Amount</w:t>
              <w:b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 Per</w:t>
              <w:br/>
              <w:t>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Maximum</w:t>
              <w:br/>
              <w:t>Aggregate</w:t>
              <w:br/>
              <w:t>Offering</w:t>
              <w:b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b/>
              </w:rPr>
            </w:pPr>
            <w:r>
              <w:rPr>
                <w:b/>
              </w:rPr>
              <w:t>Fee</w:t>
              <w:b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b/>
              </w:rPr>
            </w:pPr>
            <w:r>
              <w:rPr>
                <w:b/>
              </w:rPr>
              <w:t>Amount of</w:t>
              <w:br/>
              <w:t>Registration</w:t>
              <w:br/>
              <w:t>Fee</w:t>
            </w:r>
          </w:p>
        </w:tc>
      </w:tr>
      <w:tr>
        <w:trPr>
          <w:trHeight w:val="15" w:hRule="atLeast"/>
        </w:trPr>
        <w:tc>
          <w:tcPr>
            <w:tcW w:w="86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6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Common Stock, par</w:t>
              <w:br/>
              <w:t>value $0.001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tcPr>
          <w:p>
            <w:pPr>
              <w:pStyle w:val="TableContents"/>
              <w:bidi w:val="0"/>
              <w:spacing w:before="0" w:after="283"/>
              <w:jc w:val="center"/>
              <w:rPr/>
            </w:pPr>
            <w:r>
              <w:rPr/>
              <w:t>457(h)</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180,000(2)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$3.22(3)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$579,600(3)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$85.55</w:t>
            </w:r>
          </w:p>
        </w:tc>
      </w:tr>
      <w:tr>
        <w:trPr>
          <w:trHeight w:val="15" w:hRule="atLeast"/>
        </w:trPr>
        <w:tc>
          <w:tcPr>
            <w:tcW w:w="533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330" w:type="dxa"/>
            <w:gridSpan w:val="7"/>
            <w:tcBorders>
              <w:left w:val="single" w:sz="2" w:space="0" w:color="000000"/>
            </w:tcBorders>
            <w:tcMar>
              <w:left w:w="160" w:type="dxa"/>
            </w:tcMar>
          </w:tcPr>
          <w:p>
            <w:pPr>
              <w:pStyle w:val="TableContents"/>
              <w:bidi w:val="0"/>
              <w:spacing w:before="0" w:after="283"/>
              <w:jc w:val="center"/>
              <w:rPr>
                <w:b/>
              </w:rPr>
            </w:pPr>
            <w:r>
              <w:rPr>
                <w:b/>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$579,600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$85.55</w:t>
            </w:r>
          </w:p>
        </w:tc>
      </w:tr>
      <w:tr>
        <w:trPr>
          <w:trHeight w:val="15" w:hRule="atLeast"/>
        </w:trPr>
        <w:tc>
          <w:tcPr>
            <w:tcW w:w="533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330" w:type="dxa"/>
            <w:gridSpan w:val="7"/>
            <w:tcBorders>
              <w:left w:val="single" w:sz="2" w:space="0" w:color="000000"/>
            </w:tcBorders>
            <w:tcMar>
              <w:left w:w="160" w:type="dxa"/>
            </w:tcMar>
          </w:tcPr>
          <w:p>
            <w:pPr>
              <w:pStyle w:val="TableContents"/>
              <w:bidi w:val="0"/>
              <w:spacing w:before="0" w:after="283"/>
              <w:jc w:val="center"/>
              <w:rPr>
                <w:b/>
              </w:rPr>
            </w:pPr>
            <w:r>
              <w:rPr>
                <w:b/>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0</w:t>
            </w:r>
          </w:p>
        </w:tc>
      </w:tr>
      <w:tr>
        <w:trPr>
          <w:trHeight w:val="15" w:hRule="atLeast"/>
        </w:trPr>
        <w:tc>
          <w:tcPr>
            <w:tcW w:w="533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330" w:type="dxa"/>
            <w:gridSpan w:val="7"/>
            <w:tcBorders>
              <w:left w:val="single" w:sz="2" w:space="0" w:color="000000"/>
              <w:bottom w:val="single" w:sz="2" w:space="0" w:color="000000"/>
            </w:tcBorders>
            <w:tcMar>
              <w:left w:w="160" w:type="dxa"/>
              <w:bottom w:w="28" w:type="dxa"/>
            </w:tcMar>
          </w:tcPr>
          <w:p>
            <w:pPr>
              <w:pStyle w:val="TableContents"/>
              <w:bidi w:val="0"/>
              <w:spacing w:before="0" w:after="283"/>
              <w:jc w:val="center"/>
              <w:rPr>
                <w:b/>
              </w:rPr>
            </w:pPr>
            <w:r>
              <w:rPr>
                <w:b/>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$85.55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Rule 416 of the Securities Act of 1933, as amended (the </w:t>
            </w:r>
            <w:r>
              <w:rPr>
                <w:rFonts w:ascii="Times New Roman" w:hAnsi="Times New Roman"/>
                <w:sz w:val="20"/>
                <w:u w:val="single"/>
              </w:rPr>
              <w:t>Securities Act</w:t>
            </w:r>
            <w:r>
              <w:rPr>
                <w:rFonts w:ascii="Times New Roman" w:hAnsi="Times New Roman"/>
                <w:sz w:val="20"/>
              </w:rPr>
              <w:t>), this Registration Statement on Form S-8 shall also cover an indeterminate number of additional shares of common stock, par value $0.001 per share (</w:t>
            </w:r>
            <w:r>
              <w:rPr>
                <w:rFonts w:ascii="Times New Roman" w:hAnsi="Times New Roman"/>
                <w:sz w:val="20"/>
                <w:u w:val="single"/>
              </w:rPr>
              <w:t>Common Stock</w:t>
            </w:r>
            <w:r>
              <w:rPr>
                <w:rFonts w:ascii="Times New Roman" w:hAnsi="Times New Roman"/>
                <w:sz w:val="20"/>
              </w:rPr>
              <w:t>), of Larimar Therapeutics, Inc. (the </w:t>
            </w:r>
            <w:r>
              <w:rPr>
                <w:rFonts w:ascii="Times New Roman" w:hAnsi="Times New Roman"/>
                <w:sz w:val="20"/>
                <w:u w:val="single"/>
              </w:rPr>
              <w:t>Registrant</w:t>
            </w:r>
            <w:r>
              <w:rPr>
                <w:rFonts w:ascii="Times New Roman" w:hAnsi="Times New Roman"/>
                <w:sz w:val="20"/>
              </w:rPr>
              <w:t xml:space="preserve">) issuable by reason of any future stock dividend, stock split, recapitalization or other similar transaction effected without the receipt of consideration by the Registrant, which results in an increase in the number of outstanding shares of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Common Stock that are issuable upon the exercise of a stock option award granted on July 17, 2023 to a newly-hired employee of the Registrant as an inducement material to such employees acceptance of employment with the Registrant.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pursuant to Rule 457(h) of the Securities Act solely for the purpose of calculating the registration fee. The proposed maximum offering price per share and proposed maximum aggregate offering price are calculated on the basis of the exercise price of the inducement stock option award.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374690/000095017024031529/lrmr-20231231.htm" TargetMode="External"/><Relationship Id="rId3" Type="http://schemas.openxmlformats.org/officeDocument/2006/relationships/hyperlink" Target="http://www.sec.gov/Archives/edgar/data/../../../ix?doc=/Archives/edgar/data/1374690/000095017024013563/lrmr-20240212.htm" TargetMode="External"/><Relationship Id="rId4" Type="http://schemas.openxmlformats.org/officeDocument/2006/relationships/hyperlink" Target="http://www.sec.gov/Archives/edgar/data/../../../ix?doc=/Archives/edgar/data/1374690/000095017024014919/lrmr-20240213.htm" TargetMode="External"/><Relationship Id="rId5" Type="http://schemas.openxmlformats.org/officeDocument/2006/relationships/hyperlink" Target="http://www.sec.gov/Archives/edgar/data/../../../ix?doc=/Archives/edgar/data/1374690/000119312524038473/d780024d8k.htm" TargetMode="External"/><Relationship Id="rId6" Type="http://schemas.openxmlformats.org/officeDocument/2006/relationships/hyperlink" Target="http://www.sec.gov/Archives/edgar/data/../../../ix?doc=/Archives/edgar/data/1374690/000095017024029236/lrmr-20240311.htm" TargetMode="External"/><Relationship Id="rId7" Type="http://schemas.openxmlformats.org/officeDocument/2006/relationships/hyperlink" Target="http://www.sec.gov/Archives/edgar/data/1374690/000119312514240257/d745277d8a12b.htm" TargetMode="External"/><Relationship Id="rId8" Type="http://schemas.openxmlformats.org/officeDocument/2006/relationships/hyperlink" Target="http://www.sec.gov/Archives/edgar/data/1374690/000119312514247362/d747935dex31.htm" TargetMode="External"/><Relationship Id="rId9" Type="http://schemas.openxmlformats.org/officeDocument/2006/relationships/hyperlink" Target="http://www.sec.gov/Archives/edgar/data/1374690/000119312520157924/d936040dex31.htm" TargetMode="External"/><Relationship Id="rId10" Type="http://schemas.openxmlformats.org/officeDocument/2006/relationships/hyperlink" Target="http://www.sec.gov/Archives/edgar/data/1374690/000119312520157924/d936040dex32.htm" TargetMode="External"/><Relationship Id="rId11" Type="http://schemas.openxmlformats.org/officeDocument/2006/relationships/hyperlink" Target="http://www.sec.gov/Archives/edgar/data/1374690/000119312514247362/d747935dex32.htm" TargetMode="External"/><Relationship Id="rId12" Type="http://schemas.openxmlformats.org/officeDocument/2006/relationships/hyperlink" Target="http://www.sec.gov/Archives/edgar/data/1374690/000095017023007855/lrmr-ex10_4.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3661</Words>
  <Characters>19320</Characters>
  <CharactersWithSpaces>22943</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