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3660" w:right="1560" w:hanging="3643"/>
        <w:spacing w:after="0" w:line="305" w:lineRule="auto"/>
        <w:tabs>
          <w:tab w:leader="none" w:pos="53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4000" w:right="1560" w:hanging="3983"/>
        <w:spacing w:after="0" w:line="344" w:lineRule="auto"/>
        <w:tabs>
          <w:tab w:leader="none" w:pos="52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____</w:t>
      </w:r>
    </w:p>
    <w:p>
      <w:pPr>
        <w:ind w:left="4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001-36510</w:t>
      </w:r>
    </w:p>
    <w:p>
      <w:pPr>
        <w:spacing w:after="0" w:line="202"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LARIMAR THERAPEUTICS, INC.</w:t>
      </w:r>
    </w:p>
    <w:p>
      <w:pPr>
        <w:spacing w:after="0" w:line="5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060" w:type="dxa"/>
            <w:vAlign w:val="bottom"/>
          </w:tcPr>
          <w:p>
            <w:pPr>
              <w:jc w:val="center"/>
              <w:ind w:left="1504"/>
              <w:spacing w:after="0"/>
              <w:rPr>
                <w:sz w:val="20"/>
                <w:szCs w:val="20"/>
                <w:color w:val="auto"/>
              </w:rPr>
            </w:pPr>
            <w:r>
              <w:rPr>
                <w:rFonts w:ascii="Arial" w:cs="Arial" w:eastAsia="Arial" w:hAnsi="Arial"/>
                <w:sz w:val="18"/>
                <w:szCs w:val="18"/>
                <w:b w:val="1"/>
                <w:bCs w:val="1"/>
                <w:color w:val="auto"/>
                <w:w w:val="91"/>
              </w:rPr>
              <w:t>Delaware</w:t>
            </w: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jc w:val="right"/>
              <w:ind w:right="2305"/>
              <w:spacing w:after="0"/>
              <w:rPr>
                <w:sz w:val="20"/>
                <w:szCs w:val="20"/>
                <w:color w:val="auto"/>
              </w:rPr>
            </w:pPr>
            <w:r>
              <w:rPr>
                <w:rFonts w:ascii="Arial" w:cs="Arial" w:eastAsia="Arial" w:hAnsi="Arial"/>
                <w:sz w:val="18"/>
                <w:szCs w:val="18"/>
                <w:b w:val="1"/>
                <w:bCs w:val="1"/>
                <w:color w:val="auto"/>
              </w:rPr>
              <w:t>20-3857670</w:t>
            </w:r>
          </w:p>
        </w:tc>
      </w:tr>
      <w:tr>
        <w:trPr>
          <w:trHeight w:val="148"/>
        </w:trPr>
        <w:tc>
          <w:tcPr>
            <w:tcW w:w="4060" w:type="dxa"/>
            <w:vAlign w:val="bottom"/>
          </w:tcPr>
          <w:p>
            <w:pPr>
              <w:jc w:val="center"/>
              <w:ind w:left="150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60" w:type="dxa"/>
            <w:vAlign w:val="bottom"/>
          </w:tcPr>
          <w:p>
            <w:pPr>
              <w:jc w:val="center"/>
              <w:ind w:right="176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left="1504"/>
              <w:spacing w:after="0"/>
              <w:rPr>
                <w:sz w:val="20"/>
                <w:szCs w:val="20"/>
                <w:color w:val="auto"/>
              </w:rPr>
            </w:pPr>
            <w:r>
              <w:rPr>
                <w:rFonts w:ascii="Arial" w:cs="Arial" w:eastAsia="Arial" w:hAnsi="Arial"/>
                <w:sz w:val="14"/>
                <w:szCs w:val="14"/>
                <w:b w:val="1"/>
                <w:bCs w:val="1"/>
                <w:color w:val="auto"/>
                <w:w w:val="94"/>
              </w:rPr>
              <w:t>incorporation or organization)</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jc w:val="center"/>
              <w:ind w:right="1785"/>
              <w:spacing w:after="0"/>
              <w:rPr>
                <w:sz w:val="20"/>
                <w:szCs w:val="20"/>
                <w:color w:val="auto"/>
              </w:rPr>
            </w:pPr>
            <w:r>
              <w:rPr>
                <w:rFonts w:ascii="Arial" w:cs="Arial" w:eastAsia="Arial" w:hAnsi="Arial"/>
                <w:sz w:val="14"/>
                <w:szCs w:val="14"/>
                <w:b w:val="1"/>
                <w:bCs w:val="1"/>
                <w:color w:val="auto"/>
                <w:w w:val="96"/>
              </w:rPr>
              <w:t>Identification No.)</w:t>
            </w:r>
          </w:p>
        </w:tc>
      </w:tr>
      <w:tr>
        <w:trPr>
          <w:trHeight w:val="340"/>
        </w:trPr>
        <w:tc>
          <w:tcPr>
            <w:tcW w:w="4060" w:type="dxa"/>
            <w:vAlign w:val="bottom"/>
          </w:tcPr>
          <w:p>
            <w:pPr>
              <w:jc w:val="center"/>
              <w:ind w:left="1484"/>
              <w:spacing w:after="0"/>
              <w:rPr>
                <w:sz w:val="20"/>
                <w:szCs w:val="20"/>
                <w:color w:val="auto"/>
              </w:rPr>
            </w:pPr>
            <w:r>
              <w:rPr>
                <w:rFonts w:ascii="Arial" w:cs="Arial" w:eastAsia="Arial" w:hAnsi="Arial"/>
                <w:sz w:val="18"/>
                <w:szCs w:val="18"/>
                <w:b w:val="1"/>
                <w:bCs w:val="1"/>
                <w:color w:val="auto"/>
                <w:w w:val="90"/>
              </w:rPr>
              <w:t>Three Bala Plaza East, Suite 506</w:t>
            </w: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60" w:type="dxa"/>
            <w:vAlign w:val="bottom"/>
          </w:tcPr>
          <w:p>
            <w:pPr>
              <w:jc w:val="right"/>
              <w:ind w:right="2505"/>
              <w:spacing w:after="0"/>
              <w:rPr>
                <w:sz w:val="20"/>
                <w:szCs w:val="20"/>
                <w:color w:val="auto"/>
              </w:rPr>
            </w:pPr>
            <w:r>
              <w:rPr>
                <w:rFonts w:ascii="Arial" w:cs="Arial" w:eastAsia="Arial" w:hAnsi="Arial"/>
                <w:sz w:val="18"/>
                <w:szCs w:val="18"/>
                <w:b w:val="1"/>
                <w:bCs w:val="1"/>
                <w:color w:val="auto"/>
              </w:rPr>
              <w:t>19004</w:t>
            </w:r>
          </w:p>
        </w:tc>
      </w:tr>
      <w:tr>
        <w:trPr>
          <w:trHeight w:val="216"/>
        </w:trPr>
        <w:tc>
          <w:tcPr>
            <w:tcW w:w="4060" w:type="dxa"/>
            <w:vAlign w:val="bottom"/>
          </w:tcPr>
          <w:p>
            <w:pPr>
              <w:ind w:left="2120"/>
              <w:spacing w:after="0"/>
              <w:rPr>
                <w:sz w:val="20"/>
                <w:szCs w:val="20"/>
                <w:color w:val="auto"/>
              </w:rPr>
            </w:pPr>
            <w:r>
              <w:rPr>
                <w:rFonts w:ascii="Arial" w:cs="Arial" w:eastAsia="Arial" w:hAnsi="Arial"/>
                <w:sz w:val="18"/>
                <w:szCs w:val="18"/>
                <w:b w:val="1"/>
                <w:bCs w:val="1"/>
                <w:color w:val="auto"/>
              </w:rPr>
              <w:t>Bala Cynwyd, PA</w:t>
            </w: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jc w:val="center"/>
              <w:ind w:right="1785"/>
              <w:spacing w:after="0"/>
              <w:rPr>
                <w:sz w:val="20"/>
                <w:szCs w:val="20"/>
                <w:color w:val="auto"/>
              </w:rPr>
            </w:pPr>
            <w:r>
              <w:rPr>
                <w:rFonts w:ascii="Arial" w:cs="Arial" w:eastAsia="Arial" w:hAnsi="Arial"/>
                <w:sz w:val="14"/>
                <w:szCs w:val="14"/>
                <w:b w:val="1"/>
                <w:bCs w:val="1"/>
                <w:color w:val="auto"/>
                <w:w w:val="95"/>
              </w:rPr>
              <w:t>(Zip Code)</w:t>
            </w:r>
          </w:p>
        </w:tc>
      </w:tr>
      <w:tr>
        <w:trPr>
          <w:trHeight w:val="186"/>
        </w:trPr>
        <w:tc>
          <w:tcPr>
            <w:tcW w:w="4060" w:type="dxa"/>
            <w:vAlign w:val="bottom"/>
          </w:tcPr>
          <w:p>
            <w:pPr>
              <w:jc w:val="center"/>
              <w:ind w:left="148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300"/>
        </w:trPr>
        <w:tc>
          <w:tcPr>
            <w:tcW w:w="4060" w:type="dxa"/>
            <w:vAlign w:val="bottom"/>
          </w:tcPr>
          <w:p>
            <w:pPr>
              <w:spacing w:after="0"/>
              <w:rPr>
                <w:sz w:val="24"/>
                <w:szCs w:val="24"/>
                <w:color w:val="auto"/>
              </w:rPr>
            </w:pPr>
          </w:p>
        </w:tc>
        <w:tc>
          <w:tcPr>
            <w:tcW w:w="2700" w:type="dxa"/>
            <w:vAlign w:val="bottom"/>
            <w:gridSpan w:val="2"/>
          </w:tcPr>
          <w:p>
            <w:pPr>
              <w:jc w:val="center"/>
              <w:ind w:left="304"/>
              <w:spacing w:after="0"/>
              <w:rPr>
                <w:sz w:val="20"/>
                <w:szCs w:val="20"/>
                <w:color w:val="auto"/>
              </w:rPr>
            </w:pPr>
            <w:r>
              <w:rPr>
                <w:rFonts w:ascii="Arial" w:cs="Arial" w:eastAsia="Arial" w:hAnsi="Arial"/>
                <w:sz w:val="18"/>
                <w:szCs w:val="18"/>
                <w:b w:val="1"/>
                <w:bCs w:val="1"/>
                <w:color w:val="auto"/>
                <w:w w:val="90"/>
              </w:rPr>
              <w:t>(844) 511-9056</w:t>
            </w:r>
          </w:p>
        </w:tc>
        <w:tc>
          <w:tcPr>
            <w:tcW w:w="7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86"/>
        </w:trPr>
        <w:tc>
          <w:tcPr>
            <w:tcW w:w="7480" w:type="dxa"/>
            <w:vAlign w:val="bottom"/>
            <w:gridSpan w:val="4"/>
          </w:tcPr>
          <w:p>
            <w:pPr>
              <w:jc w:val="center"/>
              <w:ind w:left="368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60" w:type="dxa"/>
            <w:vAlign w:val="bottom"/>
          </w:tcPr>
          <w:p>
            <w:pPr>
              <w:spacing w:after="0"/>
              <w:rPr>
                <w:sz w:val="16"/>
                <w:szCs w:val="16"/>
                <w:color w:val="auto"/>
              </w:rPr>
            </w:pPr>
          </w:p>
        </w:tc>
      </w:tr>
      <w:tr>
        <w:trPr>
          <w:trHeight w:val="253"/>
        </w:trPr>
        <w:tc>
          <w:tcPr>
            <w:tcW w:w="4060" w:type="dxa"/>
            <w:vAlign w:val="bottom"/>
          </w:tcPr>
          <w:p>
            <w:pPr>
              <w:spacing w:after="0"/>
              <w:rPr>
                <w:sz w:val="21"/>
                <w:szCs w:val="21"/>
                <w:color w:val="auto"/>
              </w:rPr>
            </w:pPr>
          </w:p>
        </w:tc>
        <w:tc>
          <w:tcPr>
            <w:tcW w:w="342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c>
          <w:tcPr>
            <w:tcW w:w="3760" w:type="dxa"/>
            <w:vAlign w:val="bottom"/>
          </w:tcPr>
          <w:p>
            <w:pPr>
              <w:spacing w:after="0"/>
              <w:rPr>
                <w:sz w:val="21"/>
                <w:szCs w:val="21"/>
                <w:color w:val="auto"/>
              </w:rPr>
            </w:pPr>
          </w:p>
        </w:tc>
      </w:tr>
      <w:tr>
        <w:trPr>
          <w:trHeight w:val="147"/>
        </w:trPr>
        <w:tc>
          <w:tcPr>
            <w:tcW w:w="40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r>
      <w:tr>
        <w:trPr>
          <w:trHeight w:val="122"/>
        </w:trPr>
        <w:tc>
          <w:tcPr>
            <w:tcW w:w="4060" w:type="dxa"/>
            <w:vAlign w:val="bottom"/>
            <w:tcBorders>
              <w:left w:val="single" w:sz="8" w:color="auto"/>
              <w:bottom w:val="single" w:sz="8" w:color="auto"/>
            </w:tcBorders>
          </w:tcPr>
          <w:p>
            <w:pPr>
              <w:jc w:val="center"/>
              <w:ind w:left="384"/>
              <w:spacing w:after="0" w:line="102" w:lineRule="exact"/>
              <w:rPr>
                <w:sz w:val="20"/>
                <w:szCs w:val="20"/>
                <w:color w:val="auto"/>
              </w:rPr>
            </w:pPr>
            <w:r>
              <w:rPr>
                <w:rFonts w:ascii="Arial" w:cs="Arial" w:eastAsia="Arial" w:hAnsi="Arial"/>
                <w:sz w:val="11"/>
                <w:szCs w:val="11"/>
                <w:color w:val="auto"/>
              </w:rPr>
              <w:t>Title of each class</w:t>
            </w:r>
          </w:p>
        </w:tc>
        <w:tc>
          <w:tcPr>
            <w:tcW w:w="44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jc w:val="center"/>
              <w:spacing w:after="0" w:line="102" w:lineRule="exact"/>
              <w:rPr>
                <w:sz w:val="20"/>
                <w:szCs w:val="20"/>
                <w:color w:val="auto"/>
              </w:rPr>
            </w:pPr>
            <w:r>
              <w:rPr>
                <w:rFonts w:ascii="Arial" w:cs="Arial" w:eastAsia="Arial" w:hAnsi="Arial"/>
                <w:sz w:val="11"/>
                <w:szCs w:val="11"/>
                <w:color w:val="auto"/>
              </w:rPr>
              <w:t>Trading Symbol(s)</w:t>
            </w:r>
          </w:p>
        </w:tc>
        <w:tc>
          <w:tcPr>
            <w:tcW w:w="720" w:type="dxa"/>
            <w:vAlign w:val="bottom"/>
            <w:tcBorders>
              <w:bottom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jc w:val="center"/>
              <w:ind w:right="665"/>
              <w:spacing w:after="0" w:line="102" w:lineRule="exact"/>
              <w:rPr>
                <w:sz w:val="20"/>
                <w:szCs w:val="20"/>
                <w:color w:val="auto"/>
              </w:rPr>
            </w:pPr>
            <w:r>
              <w:rPr>
                <w:rFonts w:ascii="Arial" w:cs="Arial" w:eastAsia="Arial" w:hAnsi="Arial"/>
                <w:sz w:val="11"/>
                <w:szCs w:val="11"/>
                <w:color w:val="auto"/>
              </w:rPr>
              <w:t>Name of each exchange on which registered</w:t>
            </w:r>
          </w:p>
        </w:tc>
      </w:tr>
      <w:tr>
        <w:trPr>
          <w:trHeight w:val="125"/>
        </w:trPr>
        <w:tc>
          <w:tcPr>
            <w:tcW w:w="4060" w:type="dxa"/>
            <w:vAlign w:val="bottom"/>
            <w:tcBorders>
              <w:left w:val="single" w:sz="8" w:color="auto"/>
              <w:bottom w:val="single" w:sz="8" w:color="auto"/>
            </w:tcBorders>
          </w:tcPr>
          <w:p>
            <w:pPr>
              <w:jc w:val="center"/>
              <w:ind w:left="364"/>
              <w:spacing w:after="0" w:line="125" w:lineRule="exact"/>
              <w:rPr>
                <w:sz w:val="20"/>
                <w:szCs w:val="20"/>
                <w:color w:val="auto"/>
              </w:rPr>
            </w:pPr>
            <w:r>
              <w:rPr>
                <w:rFonts w:ascii="Arial" w:cs="Arial" w:eastAsia="Arial" w:hAnsi="Arial"/>
                <w:sz w:val="14"/>
                <w:szCs w:val="14"/>
                <w:color w:val="auto"/>
                <w:w w:val="92"/>
              </w:rPr>
              <w:t>Common Stock, par value $0.001 per share</w:t>
            </w:r>
          </w:p>
        </w:tc>
        <w:tc>
          <w:tcPr>
            <w:tcW w:w="44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rPr>
              <w:t>LRMR</w:t>
            </w:r>
          </w:p>
        </w:tc>
        <w:tc>
          <w:tcPr>
            <w:tcW w:w="720" w:type="dxa"/>
            <w:vAlign w:val="bottom"/>
            <w:tcBorders>
              <w:bottom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jc w:val="center"/>
              <w:ind w:right="665"/>
              <w:spacing w:after="0" w:line="125" w:lineRule="exact"/>
              <w:rPr>
                <w:sz w:val="20"/>
                <w:szCs w:val="20"/>
                <w:color w:val="auto"/>
              </w:rPr>
            </w:pPr>
            <w:r>
              <w:rPr>
                <w:rFonts w:ascii="Arial" w:cs="Arial" w:eastAsia="Arial" w:hAnsi="Arial"/>
                <w:sz w:val="14"/>
                <w:szCs w:val="14"/>
                <w:color w:val="auto"/>
                <w:w w:val="94"/>
              </w:rPr>
              <w:t>The Nasdaq Global Market</w:t>
            </w:r>
          </w:p>
        </w:tc>
      </w:tr>
    </w:tbl>
    <w:p>
      <w:pPr>
        <w:spacing w:after="0" w:line="112" w:lineRule="exact"/>
        <w:rPr>
          <w:sz w:val="24"/>
          <w:szCs w:val="24"/>
          <w:color w:val="auto"/>
        </w:rPr>
      </w:pPr>
    </w:p>
    <w:p>
      <w:pPr>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8" w:lineRule="exact"/>
        <w:rPr>
          <w:sz w:val="24"/>
          <w:szCs w:val="24"/>
          <w:color w:val="auto"/>
        </w:rPr>
      </w:pPr>
    </w:p>
    <w:p>
      <w:pPr>
        <w:ind w:right="24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9" w:lineRule="exact"/>
        <w:rPr>
          <w:sz w:val="24"/>
          <w:szCs w:val="24"/>
          <w:color w:val="auto"/>
        </w:rPr>
      </w:pPr>
    </w:p>
    <w:p>
      <w:pPr>
        <w:ind w:right="1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4860" w:type="dxa"/>
            <w:vAlign w:val="bottom"/>
          </w:tcPr>
          <w:p>
            <w:pPr>
              <w:ind w:left="2560"/>
              <w:spacing w:after="0"/>
              <w:rPr>
                <w:sz w:val="20"/>
                <w:szCs w:val="20"/>
                <w:color w:val="auto"/>
              </w:rPr>
            </w:pPr>
            <w:r>
              <w:rPr>
                <w:rFonts w:ascii="Arial" w:cs="Arial" w:eastAsia="Arial" w:hAnsi="Arial"/>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2" w:lineRule="exact"/>
        <w:rPr>
          <w:sz w:val="24"/>
          <w:szCs w:val="24"/>
          <w:color w:val="auto"/>
        </w:rPr>
      </w:pPr>
    </w:p>
    <w:p>
      <w:pPr>
        <w:ind w:right="5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12, 2023, there were 43,905,903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Statements made in this Quarterly Report on Form 10-Q that are not statements of historical or current facts are “forward-looking statements” within the meaning of the Private Securities Litigation Reform Act of 1995.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w:t>
      </w:r>
    </w:p>
    <w:p>
      <w:pPr>
        <w:spacing w:after="0" w:line="73"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62" w:lineRule="exact"/>
        <w:rPr>
          <w:sz w:val="20"/>
          <w:szCs w:val="20"/>
          <w:color w:val="auto"/>
        </w:rPr>
      </w:pPr>
    </w:p>
    <w:p>
      <w:pPr>
        <w:ind w:left="1020" w:hanging="503"/>
        <w:spacing w:after="0" w:line="25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in obtaining successful non-clinical or clinical results that reliably and meaningfully demonstrate safety, tolerability and efficacy profiles that are satisfactory to the U.S. Food and Drug Administration (“FDA”), European Medicines Agency and other comparable regulatory authorities for marketing approval for nomlabofusp (nomlabofusp is now the new International Nonproprietary Name and the United States Adopted Name for CTI-1601) or any other product candidate that we may develop in the future and unexpected costs that may result therefrom;</w:t>
      </w:r>
    </w:p>
    <w:p>
      <w:pPr>
        <w:spacing w:after="0" w:line="79" w:lineRule="exact"/>
        <w:rPr>
          <w:rFonts w:ascii="Arial" w:cs="Arial" w:eastAsia="Arial" w:hAnsi="Arial"/>
          <w:sz w:val="18"/>
          <w:szCs w:val="18"/>
          <w:color w:val="auto"/>
        </w:rPr>
      </w:pPr>
    </w:p>
    <w:p>
      <w:pPr>
        <w:ind w:left="102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patient recruitment for our clinical trials (including as a result of the impact of FDA approval of competitive products for the treatment of Friedreich's ataxia ("FA"), and/or the impact of other clinical trials of competitive products), delays as a result of clinical and non-clinical results and/or FDA's request for additional information or studies (whether clinical or non-clinical), changes in clinical protocols, regulatory restrictions, including additional clinical holds, and milestones for nomlabofusp;</w:t>
      </w:r>
    </w:p>
    <w:p>
      <w:pPr>
        <w:spacing w:after="0" w:line="7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initiate our open label extension trial;</w:t>
      </w:r>
    </w:p>
    <w:p>
      <w:pPr>
        <w:spacing w:after="0" w:line="117" w:lineRule="exact"/>
        <w:rPr>
          <w:rFonts w:ascii="Arial" w:cs="Arial" w:eastAsia="Arial" w:hAnsi="Arial"/>
          <w:sz w:val="18"/>
          <w:szCs w:val="18"/>
          <w:color w:val="auto"/>
        </w:rPr>
      </w:pPr>
    </w:p>
    <w:p>
      <w:pPr>
        <w:ind w:left="1020" w:right="160" w:hanging="503"/>
        <w:spacing w:after="0" w:line="30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uncertainties associated with the clinical development and regulatory approval for nomlabofusp or any other product candidate that we may develop in the future, including potential delays in the commencement, enrollment and completion of clinical trials;</w:t>
      </w:r>
    </w:p>
    <w:p>
      <w:pPr>
        <w:spacing w:after="0" w:line="38" w:lineRule="exact"/>
        <w:rPr>
          <w:rFonts w:ascii="Arial" w:cs="Arial" w:eastAsia="Arial" w:hAnsi="Arial"/>
          <w:sz w:val="17"/>
          <w:szCs w:val="17"/>
          <w:color w:val="auto"/>
        </w:rPr>
      </w:pPr>
    </w:p>
    <w:p>
      <w:pPr>
        <w:ind w:left="1020" w:right="1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difficulties and expenses associated with obtaining and maintaining regulatory approval for nomlabofusp or any other product candidate we may develop in the future, and the indication and labeling under any such approval;</w:t>
      </w:r>
    </w:p>
    <w:p>
      <w:pPr>
        <w:spacing w:after="0" w:line="62" w:lineRule="exact"/>
        <w:rPr>
          <w:rFonts w:ascii="Arial" w:cs="Arial" w:eastAsia="Arial" w:hAnsi="Arial"/>
          <w:sz w:val="18"/>
          <w:szCs w:val="18"/>
          <w:color w:val="auto"/>
        </w:rPr>
      </w:pPr>
    </w:p>
    <w:p>
      <w:pPr>
        <w:ind w:left="1020" w:right="16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spacing w:after="0" w:line="75" w:lineRule="exact"/>
        <w:rPr>
          <w:rFonts w:ascii="Arial" w:cs="Arial" w:eastAsia="Arial" w:hAnsi="Arial"/>
          <w:sz w:val="18"/>
          <w:szCs w:val="18"/>
          <w:color w:val="auto"/>
        </w:rPr>
      </w:pPr>
    </w:p>
    <w:p>
      <w:pPr>
        <w:ind w:left="1020" w:right="6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ability of third-party manufacturers we engage, to optimize and scale nomlabofusp or any other product candidate’s manufacturing process and to manufacture sufficient quantities of clinical supplies, and, if approved, commercial supplies of nomlabofusp or any other product candidate that we may develop in the future and our ability to maintain our relationships, and contracts with our key vendors and to identify and contract with alternate or secondary key vendors;</w:t>
      </w:r>
    </w:p>
    <w:p>
      <w:pPr>
        <w:spacing w:after="0" w:line="78" w:lineRule="exact"/>
        <w:rPr>
          <w:rFonts w:ascii="Arial" w:cs="Arial" w:eastAsia="Arial" w:hAnsi="Arial"/>
          <w:sz w:val="18"/>
          <w:szCs w:val="18"/>
          <w:color w:val="auto"/>
        </w:rPr>
      </w:pPr>
    </w:p>
    <w:p>
      <w:pPr>
        <w:jc w:val="both"/>
        <w:ind w:left="1020" w:right="14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any value from nomlabofusp and/or any other product candidate we may develop in the future in light of inherent risks and difficulties involved in successfully bringing product candidates to market and the risk that the product candidates, if approved, will not achieve broad market acceptance;</w:t>
      </w:r>
    </w:p>
    <w:p>
      <w:pPr>
        <w:spacing w:after="0" w:line="75"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 applicable to our business and other regulatory developments in the United States and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both"/>
        <w:ind w:left="1020" w:right="10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of the potential markets for nomlabofusp, if approved, or any other product candidate that we may develop in the future, the rate and degree of market acceptance of nomlabofusp or any other product candidate, if approved, that we may develop in the future and our ability to serve those markets;</w:t>
      </w:r>
    </w:p>
    <w:p>
      <w:pPr>
        <w:spacing w:after="0" w:line="75" w:lineRule="exact"/>
        <w:rPr>
          <w:rFonts w:ascii="Arial" w:cs="Arial" w:eastAsia="Arial" w:hAnsi="Arial"/>
          <w:sz w:val="18"/>
          <w:szCs w:val="18"/>
          <w:color w:val="auto"/>
        </w:rPr>
      </w:pPr>
    </w:p>
    <w:p>
      <w:pPr>
        <w:ind w:left="1020" w:right="60" w:hanging="503"/>
        <w:spacing w:after="0" w:line="286"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given competing therapies and products for the treatment of FA, our ability to obtain and maintain designations or eligibility for expedited regulatory programs, and to commercialize current and future candidates, if approved, (including the impact of potential barriers to entry if a competitor is able to establish a strong market position before we are able to commercialize our products);</w:t>
      </w:r>
    </w:p>
    <w:p>
      <w:pPr>
        <w:spacing w:after="0" w:line="57" w:lineRule="exact"/>
        <w:rPr>
          <w:rFonts w:ascii="Arial" w:cs="Arial" w:eastAsia="Arial" w:hAnsi="Arial"/>
          <w:sz w:val="17"/>
          <w:szCs w:val="17"/>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defend our intellectual property rights against third-parties;</w:t>
      </w:r>
    </w:p>
    <w:p>
      <w:pPr>
        <w:spacing w:after="0" w:line="117" w:lineRule="exact"/>
        <w:rPr>
          <w:rFonts w:ascii="Arial" w:cs="Arial" w:eastAsia="Arial" w:hAnsi="Arial"/>
          <w:sz w:val="18"/>
          <w:szCs w:val="18"/>
          <w:color w:val="auto"/>
        </w:rPr>
      </w:pPr>
    </w:p>
    <w:p>
      <w:pPr>
        <w:ind w:left="1020" w:right="16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and compliance with the rules and regulations of the FDA (and all other regulatory authorities) of third parties upon which we depend, including third-party contract research organizations ("CROs"), consultants, and third-party suppliers, manufacturers, distributors, and logistics providers;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recruit and retain key scientific, technical, commercial, and management personnel and to retain our executive officers;</w:t>
      </w:r>
    </w:p>
    <w:p>
      <w:pPr>
        <w:spacing w:after="0" w:line="12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62" w:lineRule="exact"/>
        <w:rPr>
          <w:rFonts w:ascii="Arial" w:cs="Arial" w:eastAsia="Arial" w:hAnsi="Arial"/>
          <w:sz w:val="18"/>
          <w:szCs w:val="18"/>
          <w:color w:val="auto"/>
        </w:rPr>
      </w:pPr>
    </w:p>
    <w:p>
      <w:pPr>
        <w:ind w:left="1020" w:right="80" w:hanging="503"/>
        <w:spacing w:after="0" w:line="301"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extent to which geopolitical tensions including regional conflicts around the world, adverse macroeconomic events, including those due to inflationary pressures, rising interest rates, banking instability and the ability of the U.S. government to manage federal debt limits, health epidemics, unforeseen emergencies and other outbreaks of communicable diseases could disrupt our operations, the operations of third parties on which we rely or the operations of regulatory agencies we interact with in the development of nomlabofusp; and</w:t>
      </w:r>
    </w:p>
    <w:p>
      <w:pPr>
        <w:spacing w:after="0" w:line="49" w:lineRule="exact"/>
        <w:rPr>
          <w:rFonts w:ascii="Arial" w:cs="Arial" w:eastAsia="Arial" w:hAnsi="Arial"/>
          <w:sz w:val="16"/>
          <w:szCs w:val="16"/>
          <w:color w:val="auto"/>
        </w:rPr>
      </w:pPr>
    </w:p>
    <w:p>
      <w:pPr>
        <w:ind w:left="1020" w:right="46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healthcare reform in the United States, including the Inflation Reduction Act of 2022, and measures being taken worldwide designed to reduce healthcare costs and limit the overall level of government expenditures.</w:t>
      </w:r>
    </w:p>
    <w:p>
      <w:pPr>
        <w:spacing w:after="0" w:line="62"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These forward-looking statements are based on management’s current expectations, estimates, forecasts and projections about our business and the industry in which we operate.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The factors that could cause or contribute to such differences include, but are not limited to, those discussed in our Annual Report on Form 10-K filed on March 14, 2023 and our Quarterly Reports on Form 10-Q filed on May 15, 2023 and on August 10, 2023. All forward-looking statements are applicable only as of the date on which they were made and, except as required by law, we undertake no obligation to publicly update any forward-looking statements, whether as a result of new information, future events or otherwise after the date of this Quarterly Report on Form 10-Q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64"/>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520" w:type="dxa"/>
            <w:vAlign w:val="bottom"/>
            <w:gridSpan w:val="13"/>
          </w:tcPr>
          <w:p>
            <w:pPr>
              <w:jc w:val="center"/>
              <w:ind w:right="3400"/>
              <w:spacing w:after="0"/>
              <w:rPr>
                <w:sz w:val="20"/>
                <w:szCs w:val="20"/>
                <w:color w:val="auto"/>
              </w:rPr>
            </w:pPr>
            <w:r>
              <w:rPr>
                <w:rFonts w:ascii="Arial" w:cs="Arial" w:eastAsia="Arial" w:hAnsi="Arial"/>
                <w:sz w:val="18"/>
                <w:szCs w:val="18"/>
                <w:b w:val="1"/>
                <w:bCs w:val="1"/>
                <w:color w:val="0000FF"/>
              </w:rPr>
              <w:t>PART I - FINANCIAL INFORMATION</w:t>
            </w:r>
          </w:p>
        </w:tc>
        <w:tc>
          <w:tcPr>
            <w:tcW w:w="660" w:type="dxa"/>
            <w:vAlign w:val="bottom"/>
          </w:tcPr>
          <w:p>
            <w:pPr>
              <w:spacing w:after="0"/>
              <w:rPr>
                <w:sz w:val="22"/>
                <w:szCs w:val="22"/>
                <w:color w:val="auto"/>
              </w:rPr>
            </w:pPr>
          </w:p>
        </w:tc>
      </w:tr>
      <w:tr>
        <w:trPr>
          <w:trHeight w:val="290"/>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920" w:type="dxa"/>
            <w:vAlign w:val="bottom"/>
            <w:gridSpan w:val="9"/>
          </w:tcPr>
          <w:p>
            <w:pPr>
              <w:spacing w:after="0"/>
              <w:rPr>
                <w:sz w:val="20"/>
                <w:szCs w:val="20"/>
                <w:color w:val="auto"/>
              </w:rPr>
            </w:pPr>
            <w:r>
              <w:rPr>
                <w:rFonts w:ascii="Arial" w:cs="Arial" w:eastAsia="Arial" w:hAnsi="Arial"/>
                <w:sz w:val="18"/>
                <w:szCs w:val="18"/>
                <w:color w:val="0000FF"/>
              </w:rPr>
              <w:t>Financial Statements (unaudited)</w:t>
            </w:r>
          </w:p>
        </w:tc>
        <w:tc>
          <w:tcPr>
            <w:tcW w:w="3120" w:type="dxa"/>
            <w:vAlign w:val="bottom"/>
            <w:tcBorders>
              <w:top w:val="single" w:sz="8" w:color="0000FF"/>
            </w:tcBorders>
            <w:gridSpan w:val="7"/>
          </w:tcPr>
          <w:p>
            <w:pPr>
              <w:spacing w:after="0"/>
              <w:rPr>
                <w:sz w:val="24"/>
                <w:szCs w:val="24"/>
                <w:color w:val="auto"/>
              </w:rPr>
            </w:pPr>
          </w:p>
        </w:tc>
        <w:tc>
          <w:tcPr>
            <w:tcW w:w="340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40" w:type="dxa"/>
            <w:vAlign w:val="bottom"/>
            <w:gridSpan w:val="22"/>
          </w:tcPr>
          <w:p>
            <w:pPr>
              <w:spacing w:after="0"/>
              <w:rPr>
                <w:sz w:val="20"/>
                <w:szCs w:val="20"/>
                <w:color w:val="auto"/>
              </w:rPr>
            </w:pPr>
            <w:r>
              <w:rPr>
                <w:rFonts w:ascii="Arial" w:cs="Arial" w:eastAsia="Arial" w:hAnsi="Arial"/>
                <w:sz w:val="18"/>
                <w:szCs w:val="18"/>
                <w:color w:val="0000FF"/>
              </w:rPr>
              <w:t>Condensed Consolidated Balance Sheets as of September 30, 2023 and December 31, 2022</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89"/>
              </w:rPr>
              <w:t>Condensed Consolidated Statements of Operations and Comprehensive Loss for the three and nine months ended September 30,</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88"/>
              </w:rPr>
              <w:t>2023 and 2022</w:t>
            </w:r>
          </w:p>
        </w:tc>
        <w:tc>
          <w:tcPr>
            <w:tcW w:w="836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r>
      <w:tr>
        <w:trPr>
          <w:trHeight w:val="29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89"/>
              </w:rPr>
              <w:t>Condensed Consolidated Statements of Changes in Stockholders' Equity for the three and nine months ended September 30,</w:t>
            </w:r>
          </w:p>
        </w:tc>
        <w:tc>
          <w:tcPr>
            <w:tcW w:w="46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88"/>
              </w:rPr>
              <w:t>2023 and 2022</w:t>
            </w:r>
          </w:p>
        </w:tc>
        <w:tc>
          <w:tcPr>
            <w:tcW w:w="836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r>
      <w:tr>
        <w:trPr>
          <w:trHeight w:val="291"/>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4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Cash Flows for the nine months ended September 30, 2023 and 2022</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3840" w:type="dxa"/>
            <w:vAlign w:val="bottom"/>
            <w:tcBorders>
              <w:top w:val="single" w:sz="8" w:color="0000FF"/>
            </w:tcBorders>
            <w:gridSpan w:val="8"/>
          </w:tcPr>
          <w:p>
            <w:pPr>
              <w:spacing w:after="0"/>
              <w:rPr>
                <w:sz w:val="24"/>
                <w:szCs w:val="24"/>
                <w:color w:val="auto"/>
              </w:rPr>
            </w:pPr>
          </w:p>
        </w:tc>
        <w:tc>
          <w:tcPr>
            <w:tcW w:w="160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1"/>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4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1"/>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4"/>
          </w:tcPr>
          <w:p>
            <w:pPr>
              <w:spacing w:after="0"/>
              <w:rPr>
                <w:sz w:val="24"/>
                <w:szCs w:val="24"/>
                <w:color w:val="auto"/>
              </w:rPr>
            </w:pPr>
          </w:p>
        </w:tc>
        <w:tc>
          <w:tcPr>
            <w:tcW w:w="298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90"/>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40" w:type="dxa"/>
            <w:vAlign w:val="bottom"/>
            <w:gridSpan w:val="22"/>
          </w:tcPr>
          <w:p>
            <w:pPr>
              <w:spacing w:after="0"/>
              <w:rPr>
                <w:sz w:val="20"/>
                <w:szCs w:val="20"/>
                <w:color w:val="auto"/>
              </w:rPr>
            </w:pPr>
            <w:r>
              <w:rPr>
                <w:rFonts w:ascii="Arial" w:cs="Arial" w:eastAsia="Arial" w:hAnsi="Arial"/>
                <w:sz w:val="18"/>
                <w:szCs w:val="18"/>
                <w:color w:val="0000FF"/>
              </w:rPr>
              <w:t>Controls and Procedures</w:t>
            </w: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91"/>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bottom w:val="single" w:sz="8" w:color="0000EE"/>
            </w:tcBorders>
            <w:gridSpan w:val="5"/>
          </w:tcPr>
          <w:p>
            <w:pPr>
              <w:jc w:val="center"/>
              <w:ind w:right="40"/>
              <w:spacing w:after="0"/>
              <w:rPr>
                <w:sz w:val="20"/>
                <w:szCs w:val="20"/>
                <w:color w:val="auto"/>
              </w:rPr>
            </w:pPr>
            <w:r>
              <w:rPr>
                <w:rFonts w:ascii="Arial" w:cs="Arial" w:eastAsia="Arial" w:hAnsi="Arial"/>
                <w:sz w:val="18"/>
                <w:szCs w:val="18"/>
                <w:b w:val="1"/>
                <w:bCs w:val="1"/>
                <w:color w:val="0000FF"/>
              </w:rPr>
              <w:t>PART II - OTHER INFORMATION</w:t>
            </w:r>
          </w:p>
        </w:tc>
        <w:tc>
          <w:tcPr>
            <w:tcW w:w="352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8100" w:type="dxa"/>
            <w:vAlign w:val="bottom"/>
            <w:gridSpan w:val="1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1"/>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bottom w:val="single" w:sz="8" w:color="0000EE"/>
            </w:tcBorders>
          </w:tcPr>
          <w:p>
            <w:pPr>
              <w:spacing w:after="0"/>
              <w:rPr>
                <w:sz w:val="24"/>
                <w:szCs w:val="24"/>
                <w:color w:val="auto"/>
              </w:rPr>
            </w:pPr>
          </w:p>
        </w:tc>
        <w:tc>
          <w:tcPr>
            <w:tcW w:w="8500" w:type="dxa"/>
            <w:vAlign w:val="bottom"/>
            <w:gridSpan w:val="19"/>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0"/>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08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1"/>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440" w:type="dxa"/>
            <w:vAlign w:val="bottom"/>
            <w:gridSpan w:val="22"/>
          </w:tcPr>
          <w:p>
            <w:pPr>
              <w:spacing w:after="0"/>
              <w:rPr>
                <w:sz w:val="20"/>
                <w:szCs w:val="20"/>
                <w:color w:val="auto"/>
              </w:rPr>
            </w:pPr>
            <w:r>
              <w:rPr>
                <w:rFonts w:ascii="Arial" w:cs="Arial" w:eastAsia="Arial" w:hAnsi="Arial"/>
                <w:sz w:val="18"/>
                <w:szCs w:val="18"/>
                <w:color w:val="0000FF"/>
              </w:rPr>
              <w:t>Defaults Upon Senior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0"/>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1"/>
              </w:rPr>
              <w:t>Mine Safety Disclosures</w:t>
            </w:r>
          </w:p>
        </w:tc>
        <w:tc>
          <w:tcPr>
            <w:tcW w:w="620" w:type="dxa"/>
            <w:vAlign w:val="bottom"/>
            <w:tcBorders>
              <w:top w:val="single" w:sz="8" w:color="0000FF"/>
            </w:tcBorders>
          </w:tcPr>
          <w:p>
            <w:pPr>
              <w:spacing w:after="0"/>
              <w:rPr>
                <w:sz w:val="24"/>
                <w:szCs w:val="24"/>
                <w:color w:val="auto"/>
              </w:rPr>
            </w:pPr>
          </w:p>
        </w:tc>
        <w:tc>
          <w:tcPr>
            <w:tcW w:w="7040" w:type="dxa"/>
            <w:vAlign w:val="bottom"/>
            <w:gridSpan w:val="1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0"/>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8120" w:type="dxa"/>
            <w:vAlign w:val="bottom"/>
            <w:gridSpan w:val="1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0"/>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440" w:type="dxa"/>
            <w:vAlign w:val="bottom"/>
            <w:gridSpan w:val="22"/>
          </w:tcPr>
          <w:p>
            <w:pPr>
              <w:spacing w:after="0"/>
              <w:rPr>
                <w:sz w:val="20"/>
                <w:szCs w:val="20"/>
                <w:color w:val="auto"/>
              </w:rPr>
            </w:pPr>
            <w:r>
              <w:rPr>
                <w:rFonts w:ascii="Arial" w:cs="Arial" w:eastAsia="Arial" w:hAnsi="Arial"/>
                <w:sz w:val="18"/>
                <w:szCs w:val="18"/>
                <w:color w:val="0000FF"/>
              </w:rPr>
              <w:t>Exhibits</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91"/>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0000FF"/>
              </w:rPr>
              <w:t>Signatures</w:t>
            </w:r>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668"/>
        </w:trPr>
        <w:tc>
          <w:tcPr>
            <w:tcW w:w="2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5880" w:type="dxa"/>
            <w:vAlign w:val="bottom"/>
            <w:gridSpan w:val="14"/>
          </w:tcPr>
          <w:p>
            <w:pPr>
              <w:jc w:val="center"/>
              <w:ind w:left="2990"/>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38,721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26,825</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56,869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91,603</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2,890</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98,480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120,739</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2,898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2,858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103,952</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126,405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756</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8,408</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Operating lease liabilities, current</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10,705</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Pr>
          <w:p>
            <w:pPr>
              <w:spacing w:after="0"/>
              <w:rPr>
                <w:sz w:val="20"/>
                <w:szCs w:val="20"/>
                <w:color w:val="auto"/>
              </w:rPr>
            </w:pPr>
          </w:p>
        </w:tc>
      </w:tr>
      <w:tr>
        <w:trPr>
          <w:trHeight w:val="237"/>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11,240</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Commitments and contingencies (See Note 8)</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740" w:type="dxa"/>
            <w:vAlign w:val="bottom"/>
          </w:tcPr>
          <w:p>
            <w:pPr>
              <w:ind w:left="200"/>
              <w:spacing w:after="0"/>
              <w:rPr>
                <w:sz w:val="20"/>
                <w:szCs w:val="20"/>
                <w:color w:val="auto"/>
              </w:rPr>
            </w:pPr>
            <w:r>
              <w:rPr>
                <w:rFonts w:ascii="Arial" w:cs="Arial" w:eastAsia="Arial" w:hAnsi="Arial"/>
                <w:sz w:val="18"/>
                <w:szCs w:val="18"/>
                <w:color w:val="auto"/>
              </w:rPr>
              <w:t>Preferred stock; $0.001 par value per share; 5,000,000 shares authorized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340"/>
              <w:spacing w:after="0"/>
              <w:rPr>
                <w:sz w:val="20"/>
                <w:szCs w:val="20"/>
                <w:color w:val="auto"/>
              </w:rPr>
            </w:pPr>
            <w:r>
              <w:rPr>
                <w:rFonts w:ascii="Arial" w:cs="Arial" w:eastAsia="Arial" w:hAnsi="Arial"/>
                <w:sz w:val="18"/>
                <w:szCs w:val="18"/>
                <w:color w:val="auto"/>
              </w:rPr>
              <w:t>as of September 30, 2023 and December 31, 2022; no shares issued and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40" w:type="dxa"/>
            <w:vAlign w:val="bottom"/>
          </w:tcPr>
          <w:p>
            <w:pPr>
              <w:ind w:left="340"/>
              <w:spacing w:after="0"/>
              <w:rPr>
                <w:sz w:val="20"/>
                <w:szCs w:val="20"/>
                <w:color w:val="auto"/>
              </w:rPr>
            </w:pPr>
            <w:r>
              <w:rPr>
                <w:rFonts w:ascii="Arial" w:cs="Arial" w:eastAsia="Arial" w:hAnsi="Arial"/>
                <w:sz w:val="18"/>
                <w:szCs w:val="18"/>
                <w:color w:val="auto"/>
              </w:rPr>
              <w:t>outstanding as of September 30, 2023 and December 31, 2022</w:t>
            </w:r>
          </w:p>
        </w:tc>
        <w:tc>
          <w:tcPr>
            <w:tcW w:w="22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$0.001 par value per share; 115,000,000 shares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authorized as of September 30, 2023 and December 31, 2022;</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43,905,903 and 43,269,200 shares issued and outstanding as of</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September 30, 2023 and December 31, 2022, respectively</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268,223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262,496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(175,561 )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(151,605 )</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Accumulated other comprehensive gain (loss)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(31 )</w:t>
            </w:r>
          </w:p>
        </w:tc>
      </w:tr>
      <w:tr>
        <w:trPr>
          <w:trHeight w:val="237"/>
        </w:trPr>
        <w:tc>
          <w:tcPr>
            <w:tcW w:w="7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92,712</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103,952</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126,405</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-4345305</wp:posOffset>
            </wp:positionV>
            <wp:extent cx="6858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-4345305</wp:posOffset>
            </wp:positionV>
            <wp:extent cx="6858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-3402330</wp:posOffset>
            </wp:positionV>
            <wp:extent cx="122555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555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-2125345</wp:posOffset>
            </wp:positionV>
            <wp:extent cx="6858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5"/>
          </w:tcPr>
          <w:p>
            <w:pPr>
              <w:jc w:val="right"/>
              <w:ind w:right="550"/>
              <w:spacing w:after="0"/>
              <w:rPr>
                <w:sz w:val="20"/>
                <w:szCs w:val="20"/>
                <w:color w:val="auto"/>
              </w:rPr>
            </w:pPr>
            <w:r>
              <w:rPr>
                <w:rFonts w:ascii="Arial" w:cs="Arial" w:eastAsia="Arial" w:hAnsi="Arial"/>
                <w:sz w:val="14"/>
                <w:szCs w:val="14"/>
                <w:b w:val="1"/>
                <w:bCs w:val="1"/>
                <w:color w:val="auto"/>
                <w:w w:val="99"/>
              </w:rPr>
              <w:t>Three Months Ended September 30,</w:t>
            </w:r>
          </w:p>
        </w:tc>
        <w:tc>
          <w:tcPr>
            <w:tcW w:w="200" w:type="dxa"/>
            <w:vAlign w:val="bottom"/>
          </w:tcPr>
          <w:p>
            <w:pPr>
              <w:spacing w:after="0"/>
              <w:rPr>
                <w:sz w:val="16"/>
                <w:szCs w:val="16"/>
                <w:color w:val="auto"/>
              </w:rPr>
            </w:pPr>
          </w:p>
        </w:tc>
        <w:tc>
          <w:tcPr>
            <w:tcW w:w="2660" w:type="dxa"/>
            <w:vAlign w:val="bottom"/>
            <w:gridSpan w:val="5"/>
          </w:tcPr>
          <w:p>
            <w:pPr>
              <w:jc w:val="right"/>
              <w:ind w:right="34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69"/>
        </w:trPr>
        <w:tc>
          <w:tcPr>
            <w:tcW w:w="5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1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6,585</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5,582</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17,022</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17,032</w:t>
            </w:r>
          </w:p>
        </w:tc>
        <w:tc>
          <w:tcPr>
            <w:tcW w:w="100" w:type="dxa"/>
            <w:vAlign w:val="bottom"/>
          </w:tcPr>
          <w:p>
            <w:pPr>
              <w:spacing w:after="0"/>
              <w:rPr>
                <w:sz w:val="20"/>
                <w:szCs w:val="20"/>
                <w:color w:val="auto"/>
              </w:rPr>
            </w:pPr>
          </w:p>
        </w:tc>
      </w:tr>
      <w:tr>
        <w:trPr>
          <w:trHeight w:val="243"/>
        </w:trPr>
        <w:tc>
          <w:tcPr>
            <w:tcW w:w="51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3,754</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2,931</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10,574</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1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10,339</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26,087</w:t>
            </w:r>
          </w:p>
        </w:tc>
        <w:tc>
          <w:tcPr>
            <w:tcW w:w="100" w:type="dxa"/>
            <w:vAlign w:val="bottom"/>
          </w:tcPr>
          <w:p>
            <w:pPr>
              <w:spacing w:after="0"/>
              <w:rPr>
                <w:sz w:val="20"/>
                <w:szCs w:val="20"/>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(10,339</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(8,513</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(27,596</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12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r>
      <w:tr>
        <w:trPr>
          <w:trHeight w:val="277"/>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(8,320</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(23,956</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(0.21 )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(0.37 )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(0.55 )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(1.32 )</w:t>
            </w:r>
          </w:p>
        </w:tc>
      </w:tr>
      <w:tr>
        <w:trPr>
          <w:trHeight w:val="20"/>
        </w:trPr>
        <w:tc>
          <w:tcPr>
            <w:tcW w:w="5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7"/>
              </w:rPr>
              <w:t>Weighted average common shares outstanding, basic and diluted</w:t>
            </w:r>
          </w:p>
        </w:tc>
        <w:tc>
          <w:tcPr>
            <w:tcW w:w="24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43,903,738</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22,228,228</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43,899,670</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19,649,558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(9,064 )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(8,320 )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(23,956 )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(25,930 )</w:t>
            </w: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Other comprehensive gain (loss):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(loss) on marketable securities</w:t>
            </w:r>
          </w:p>
        </w:tc>
        <w:tc>
          <w:tcPr>
            <w:tcW w:w="2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(5 )</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(40 )</w:t>
            </w:r>
          </w:p>
        </w:tc>
      </w:tr>
      <w:tr>
        <w:trPr>
          <w:trHeight w:val="20"/>
        </w:trPr>
        <w:tc>
          <w:tcPr>
            <w:tcW w:w="5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8"/>
                <w:szCs w:val="18"/>
                <w:color w:val="auto"/>
              </w:rPr>
              <w:t>Total other comprehensive gain (loss)</w:t>
            </w:r>
          </w:p>
        </w:tc>
        <w:tc>
          <w:tcPr>
            <w:tcW w:w="240" w:type="dxa"/>
            <w:vAlign w:val="bottom"/>
          </w:tcPr>
          <w:p>
            <w:pPr>
              <w:spacing w:after="0"/>
              <w:rPr>
                <w:sz w:val="20"/>
                <w:szCs w:val="20"/>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(5 )</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(40 )</w:t>
            </w:r>
          </w:p>
        </w:tc>
      </w:tr>
      <w:tr>
        <w:trPr>
          <w:trHeight w:val="277"/>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comprehensive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(8,303</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(23,918</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(25,970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-1996440</wp:posOffset>
            </wp:positionV>
            <wp:extent cx="7747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-1996440</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-1996440</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-1353820</wp:posOffset>
            </wp:positionV>
            <wp:extent cx="2922905"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22905" cy="20574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-993775</wp:posOffset>
            </wp:positionV>
            <wp:extent cx="2922905"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22905" cy="17970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-350520</wp:posOffset>
            </wp:positionV>
            <wp:extent cx="7747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-350520</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-350520</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-24765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73"/>
              <w:spacing w:after="0"/>
              <w:rPr>
                <w:sz w:val="20"/>
                <w:szCs w:val="20"/>
                <w:color w:val="auto"/>
              </w:rPr>
            </w:pPr>
            <w:r>
              <w:rPr>
                <w:rFonts w:ascii="Arial" w:cs="Arial" w:eastAsia="Arial" w:hAnsi="Arial"/>
                <w:sz w:val="14"/>
                <w:szCs w:val="14"/>
                <w:b w:val="1"/>
                <w:bCs w:val="1"/>
                <w:color w:val="auto"/>
                <w:w w:val="99"/>
              </w:rPr>
              <w:t>Additional</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2100" w:type="dxa"/>
            <w:vAlign w:val="bottom"/>
            <w:gridSpan w:val="3"/>
            <w:vMerge w:val="restart"/>
          </w:tcPr>
          <w:p>
            <w:pPr>
              <w:jc w:val="right"/>
              <w:ind w:right="394"/>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200" w:type="dxa"/>
            <w:vAlign w:val="bottom"/>
            <w:gridSpan w:val="3"/>
            <w:vMerge w:val="restart"/>
          </w:tcPr>
          <w:p>
            <w:pPr>
              <w:jc w:val="right"/>
              <w:ind w:right="221"/>
              <w:spacing w:after="0"/>
              <w:rPr>
                <w:sz w:val="20"/>
                <w:szCs w:val="20"/>
                <w:color w:val="auto"/>
              </w:rPr>
            </w:pPr>
            <w:r>
              <w:rPr>
                <w:rFonts w:ascii="Arial" w:cs="Arial" w:eastAsia="Arial" w:hAnsi="Arial"/>
                <w:sz w:val="14"/>
                <w:szCs w:val="14"/>
                <w:b w:val="1"/>
                <w:bCs w:val="1"/>
                <w:color w:val="auto"/>
              </w:rPr>
              <w:t>Accumulated</w:t>
            </w:r>
          </w:p>
        </w:tc>
        <w:tc>
          <w:tcPr>
            <w:tcW w:w="1180" w:type="dxa"/>
            <w:vAlign w:val="bottom"/>
            <w:gridSpan w:val="3"/>
          </w:tcPr>
          <w:p>
            <w:pPr>
              <w:jc w:val="center"/>
              <w:ind w:right="130"/>
              <w:spacing w:after="0" w:line="149" w:lineRule="exact"/>
              <w:rPr>
                <w:sz w:val="20"/>
                <w:szCs w:val="20"/>
                <w:color w:val="auto"/>
              </w:rPr>
            </w:pPr>
            <w:r>
              <w:rPr>
                <w:rFonts w:ascii="Arial" w:cs="Arial" w:eastAsia="Arial" w:hAnsi="Arial"/>
                <w:sz w:val="14"/>
                <w:szCs w:val="14"/>
                <w:b w:val="1"/>
                <w:bCs w:val="1"/>
                <w:color w:val="auto"/>
                <w:w w:val="90"/>
              </w:rPr>
              <w:t>Comprehensiv</w:t>
            </w: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210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rPr>
              <w:t>e</w:t>
            </w: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Par Value</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3"/>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421"/>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08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3"/>
              </w:rPr>
              <w:t>Gain (Loss)</w:t>
            </w:r>
          </w:p>
        </w:tc>
        <w:tc>
          <w:tcPr>
            <w:tcW w:w="20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Balances as of December 31, 2022</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43,269,200</w:t>
            </w:r>
          </w:p>
        </w:tc>
        <w:tc>
          <w:tcPr>
            <w:tcW w:w="240" w:type="dxa"/>
            <w:vAlign w:val="bottom"/>
          </w:tcPr>
          <w:p>
            <w:pPr>
              <w:spacing w:after="0"/>
              <w:rPr>
                <w:sz w:val="20"/>
                <w:szCs w:val="20"/>
                <w:color w:val="auto"/>
              </w:rPr>
            </w:pPr>
          </w:p>
        </w:tc>
        <w:tc>
          <w:tcPr>
            <w:tcW w:w="820" w:type="dxa"/>
            <w:vAlign w:val="bottom"/>
            <w:tcBorders>
              <w:top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43</w:t>
            </w: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262,496</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(151,605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110,903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Unrealized gain on marketable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(6,526 )</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(6,526 )</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Balances as of March 31, 2023</w:t>
            </w:r>
          </w:p>
        </w:tc>
        <w:tc>
          <w:tcPr>
            <w:tcW w:w="1040" w:type="dxa"/>
            <w:vAlign w:val="bottom"/>
          </w:tcPr>
          <w:p>
            <w:pPr>
              <w:jc w:val="right"/>
              <w:spacing w:after="0"/>
              <w:rPr>
                <w:sz w:val="20"/>
                <w:szCs w:val="20"/>
                <w:color w:val="auto"/>
              </w:rPr>
            </w:pPr>
            <w:r>
              <w:rPr>
                <w:rFonts w:ascii="Arial" w:cs="Arial" w:eastAsia="Arial" w:hAnsi="Arial"/>
                <w:sz w:val="18"/>
                <w:szCs w:val="18"/>
                <w:color w:val="auto"/>
              </w:rPr>
              <w:t>43,269,200</w:t>
            </w:r>
          </w:p>
        </w:tc>
        <w:tc>
          <w:tcPr>
            <w:tcW w:w="240" w:type="dxa"/>
            <w:vAlign w:val="bottom"/>
          </w:tcPr>
          <w:p>
            <w:pPr>
              <w:spacing w:after="0"/>
              <w:rPr>
                <w:sz w:val="20"/>
                <w:szCs w:val="20"/>
                <w:color w:val="auto"/>
              </w:rPr>
            </w:pP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43</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264,329</w:t>
            </w:r>
          </w:p>
        </w:tc>
        <w:tc>
          <w:tcPr>
            <w:tcW w:w="2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(158,131 )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106,241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Unrealized gain on marketable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(8,366 )</w:t>
            </w: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(8,366 )</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Balances as of June 30, 2023</w:t>
            </w:r>
          </w:p>
        </w:tc>
        <w:tc>
          <w:tcPr>
            <w:tcW w:w="1040" w:type="dxa"/>
            <w:vAlign w:val="bottom"/>
          </w:tcPr>
          <w:p>
            <w:pPr>
              <w:jc w:val="right"/>
              <w:spacing w:after="0"/>
              <w:rPr>
                <w:sz w:val="20"/>
                <w:szCs w:val="20"/>
                <w:color w:val="auto"/>
              </w:rPr>
            </w:pPr>
            <w:r>
              <w:rPr>
                <w:rFonts w:ascii="Arial" w:cs="Arial" w:eastAsia="Arial" w:hAnsi="Arial"/>
                <w:sz w:val="18"/>
                <w:szCs w:val="18"/>
                <w:color w:val="auto"/>
              </w:rPr>
              <w:t>43,269,200</w:t>
            </w:r>
          </w:p>
        </w:tc>
        <w:tc>
          <w:tcPr>
            <w:tcW w:w="240" w:type="dxa"/>
            <w:vAlign w:val="bottom"/>
          </w:tcPr>
          <w:p>
            <w:pPr>
              <w:spacing w:after="0"/>
              <w:rPr>
                <w:sz w:val="20"/>
                <w:szCs w:val="20"/>
                <w:color w:val="auto"/>
              </w:rPr>
            </w:pP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43</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266,372</w:t>
            </w:r>
          </w:p>
        </w:tc>
        <w:tc>
          <w:tcPr>
            <w:tcW w:w="2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(166,497 )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040" w:type="dxa"/>
            <w:vAlign w:val="bottom"/>
          </w:tcPr>
          <w:p>
            <w:pPr>
              <w:jc w:val="right"/>
              <w:spacing w:after="0"/>
              <w:rPr>
                <w:sz w:val="20"/>
                <w:szCs w:val="20"/>
                <w:color w:val="auto"/>
              </w:rPr>
            </w:pPr>
            <w:r>
              <w:rPr>
                <w:rFonts w:ascii="Arial" w:cs="Arial" w:eastAsia="Arial" w:hAnsi="Arial"/>
                <w:sz w:val="18"/>
                <w:szCs w:val="18"/>
                <w:color w:val="auto"/>
              </w:rPr>
              <w:t>8,300</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warrants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628,403</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Unrealized loss on marketable debt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(5 )</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(9,064 )</w:t>
            </w: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(9,064 )</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Balances as of September 30, 2023</w:t>
            </w:r>
          </w:p>
        </w:tc>
        <w:tc>
          <w:tcPr>
            <w:tcW w:w="1040" w:type="dxa"/>
            <w:vAlign w:val="bottom"/>
          </w:tcPr>
          <w:p>
            <w:pPr>
              <w:jc w:val="right"/>
              <w:spacing w:after="0"/>
              <w:rPr>
                <w:sz w:val="20"/>
                <w:szCs w:val="20"/>
                <w:color w:val="auto"/>
              </w:rPr>
            </w:pPr>
            <w:r>
              <w:rPr>
                <w:rFonts w:ascii="Arial" w:cs="Arial" w:eastAsia="Arial" w:hAnsi="Arial"/>
                <w:sz w:val="18"/>
                <w:szCs w:val="18"/>
                <w:color w:val="auto"/>
              </w:rPr>
              <w:t>43,905,903</w:t>
            </w:r>
          </w:p>
        </w:tc>
        <w:tc>
          <w:tcPr>
            <w:tcW w:w="240" w:type="dxa"/>
            <w:vAlign w:val="bottom"/>
          </w:tcPr>
          <w:p>
            <w:pPr>
              <w:spacing w:after="0"/>
              <w:rPr>
                <w:sz w:val="20"/>
                <w:szCs w:val="20"/>
                <w:color w:val="auto"/>
              </w:rPr>
            </w:pP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43</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268,223</w:t>
            </w:r>
          </w:p>
        </w:tc>
        <w:tc>
          <w:tcPr>
            <w:tcW w:w="2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(175,561 )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92,712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-1799590</wp:posOffset>
            </wp:positionV>
            <wp:extent cx="7683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-1799590</wp:posOffset>
            </wp:positionV>
            <wp:extent cx="7747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-1799590</wp:posOffset>
            </wp:positionV>
            <wp:extent cx="6858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-1799590</wp:posOffset>
            </wp:positionV>
            <wp:extent cx="685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-1799590</wp:posOffset>
            </wp:positionV>
            <wp:extent cx="6858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-1148080</wp:posOffset>
            </wp:positionV>
            <wp:extent cx="7683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-1148080</wp:posOffset>
            </wp:positionV>
            <wp:extent cx="7747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-1148080</wp:posOffset>
            </wp:positionV>
            <wp:extent cx="6858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-1148080</wp:posOffset>
            </wp:positionV>
            <wp:extent cx="6858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-1148080</wp:posOffset>
            </wp:positionV>
            <wp:extent cx="6858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-187960</wp:posOffset>
            </wp:positionV>
            <wp:extent cx="76835"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-187960</wp:posOffset>
            </wp:positionV>
            <wp:extent cx="7747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-187960</wp:posOffset>
            </wp:positionV>
            <wp:extent cx="6858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-187960</wp:posOffset>
            </wp:positionV>
            <wp:extent cx="6858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-187960</wp:posOffset>
            </wp:positionV>
            <wp:extent cx="6858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73"/>
              <w:spacing w:after="0"/>
              <w:rPr>
                <w:sz w:val="20"/>
                <w:szCs w:val="20"/>
                <w:color w:val="auto"/>
              </w:rPr>
            </w:pPr>
            <w:r>
              <w:rPr>
                <w:rFonts w:ascii="Arial" w:cs="Arial" w:eastAsia="Arial" w:hAnsi="Arial"/>
                <w:sz w:val="14"/>
                <w:szCs w:val="14"/>
                <w:b w:val="1"/>
                <w:bCs w:val="1"/>
                <w:color w:val="auto"/>
                <w:w w:val="99"/>
              </w:rPr>
              <w:t>Additional</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2100" w:type="dxa"/>
            <w:vAlign w:val="bottom"/>
            <w:gridSpan w:val="3"/>
            <w:vMerge w:val="restart"/>
          </w:tcPr>
          <w:p>
            <w:pPr>
              <w:jc w:val="right"/>
              <w:ind w:right="394"/>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200" w:type="dxa"/>
            <w:vAlign w:val="bottom"/>
            <w:gridSpan w:val="3"/>
            <w:vMerge w:val="restart"/>
          </w:tcPr>
          <w:p>
            <w:pPr>
              <w:jc w:val="right"/>
              <w:ind w:right="221"/>
              <w:spacing w:after="0"/>
              <w:rPr>
                <w:sz w:val="20"/>
                <w:szCs w:val="20"/>
                <w:color w:val="auto"/>
              </w:rPr>
            </w:pPr>
            <w:r>
              <w:rPr>
                <w:rFonts w:ascii="Arial" w:cs="Arial" w:eastAsia="Arial" w:hAnsi="Arial"/>
                <w:sz w:val="14"/>
                <w:szCs w:val="14"/>
                <w:b w:val="1"/>
                <w:bCs w:val="1"/>
                <w:color w:val="auto"/>
              </w:rPr>
              <w:t>Accumulated</w:t>
            </w:r>
          </w:p>
        </w:tc>
        <w:tc>
          <w:tcPr>
            <w:tcW w:w="1180" w:type="dxa"/>
            <w:vAlign w:val="bottom"/>
            <w:gridSpan w:val="3"/>
          </w:tcPr>
          <w:p>
            <w:pPr>
              <w:jc w:val="center"/>
              <w:ind w:right="130"/>
              <w:spacing w:after="0" w:line="149" w:lineRule="exact"/>
              <w:rPr>
                <w:sz w:val="20"/>
                <w:szCs w:val="20"/>
                <w:color w:val="auto"/>
              </w:rPr>
            </w:pPr>
            <w:r>
              <w:rPr>
                <w:rFonts w:ascii="Arial" w:cs="Arial" w:eastAsia="Arial" w:hAnsi="Arial"/>
                <w:sz w:val="14"/>
                <w:szCs w:val="14"/>
                <w:b w:val="1"/>
                <w:bCs w:val="1"/>
                <w:color w:val="auto"/>
                <w:w w:val="90"/>
              </w:rPr>
              <w:t>Comprehensiv</w:t>
            </w: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210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rPr>
              <w:t>e</w:t>
            </w: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Par Value</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3"/>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421"/>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98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as of December 31, 2021</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17,710,450</w:t>
            </w:r>
          </w:p>
        </w:tc>
        <w:tc>
          <w:tcPr>
            <w:tcW w:w="24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ind w:right="614"/>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18</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180,645</w:t>
            </w: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(116,250</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(8,943 )</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(8,943 )</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Balances as of March 31, 2022</w:t>
            </w:r>
          </w:p>
        </w:tc>
        <w:tc>
          <w:tcPr>
            <w:tcW w:w="1040" w:type="dxa"/>
            <w:vAlign w:val="bottom"/>
          </w:tcPr>
          <w:p>
            <w:pPr>
              <w:jc w:val="right"/>
              <w:spacing w:after="0"/>
              <w:rPr>
                <w:sz w:val="20"/>
                <w:szCs w:val="20"/>
                <w:color w:val="auto"/>
              </w:rPr>
            </w:pPr>
            <w:r>
              <w:rPr>
                <w:rFonts w:ascii="Arial" w:cs="Arial" w:eastAsia="Arial" w:hAnsi="Arial"/>
                <w:sz w:val="18"/>
                <w:szCs w:val="18"/>
                <w:color w:val="auto"/>
              </w:rPr>
              <w:t>17,710,450</w:t>
            </w:r>
          </w:p>
        </w:tc>
        <w:tc>
          <w:tcPr>
            <w:tcW w:w="240" w:type="dxa"/>
            <w:vAlign w:val="bottom"/>
          </w:tcPr>
          <w:p>
            <w:pPr>
              <w:spacing w:after="0"/>
              <w:rPr>
                <w:sz w:val="20"/>
                <w:szCs w:val="20"/>
                <w:color w:val="auto"/>
              </w:rPr>
            </w:pP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18</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182,280</w:t>
            </w:r>
          </w:p>
        </w:tc>
        <w:tc>
          <w:tcPr>
            <w:tcW w:w="2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(125,193 )</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57,105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Unrealized loss on marketable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(57 )</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(8,667 )</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(8,667 )</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Balances as of June 30, 2022</w:t>
            </w:r>
          </w:p>
        </w:tc>
        <w:tc>
          <w:tcPr>
            <w:tcW w:w="1040" w:type="dxa"/>
            <w:vAlign w:val="bottom"/>
          </w:tcPr>
          <w:p>
            <w:pPr>
              <w:jc w:val="right"/>
              <w:spacing w:after="0"/>
              <w:rPr>
                <w:sz w:val="20"/>
                <w:szCs w:val="20"/>
                <w:color w:val="auto"/>
              </w:rPr>
            </w:pPr>
            <w:r>
              <w:rPr>
                <w:rFonts w:ascii="Arial" w:cs="Arial" w:eastAsia="Arial" w:hAnsi="Arial"/>
                <w:sz w:val="18"/>
                <w:szCs w:val="18"/>
                <w:color w:val="auto"/>
              </w:rPr>
              <w:t>17,710,450</w:t>
            </w:r>
          </w:p>
        </w:tc>
        <w:tc>
          <w:tcPr>
            <w:tcW w:w="240" w:type="dxa"/>
            <w:vAlign w:val="bottom"/>
          </w:tcPr>
          <w:p>
            <w:pPr>
              <w:spacing w:after="0"/>
              <w:rPr>
                <w:sz w:val="20"/>
                <w:szCs w:val="20"/>
                <w:color w:val="auto"/>
              </w:rPr>
            </w:pP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18</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183,955</w:t>
            </w:r>
          </w:p>
        </w:tc>
        <w:tc>
          <w:tcPr>
            <w:tcW w:w="2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(133,860 )</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(57 )</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Issuance of Common Stock, net</w:t>
            </w:r>
          </w:p>
        </w:tc>
        <w:tc>
          <w:tcPr>
            <w:tcW w:w="1040" w:type="dxa"/>
            <w:vAlign w:val="bottom"/>
          </w:tcPr>
          <w:p>
            <w:pPr>
              <w:jc w:val="right"/>
              <w:spacing w:after="0"/>
              <w:rPr>
                <w:sz w:val="20"/>
                <w:szCs w:val="20"/>
                <w:color w:val="auto"/>
              </w:rPr>
            </w:pPr>
            <w:r>
              <w:rPr>
                <w:rFonts w:ascii="Arial" w:cs="Arial" w:eastAsia="Arial" w:hAnsi="Arial"/>
                <w:sz w:val="18"/>
                <w:szCs w:val="18"/>
                <w:color w:val="auto"/>
              </w:rPr>
              <w:t>25,558,750</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75,218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75,243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gain on marketable debt securities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(8,320 )</w:t>
            </w:r>
          </w:p>
        </w:tc>
        <w:tc>
          <w:tcPr>
            <w:tcW w:w="20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(8,320 )</w:t>
            </w:r>
          </w:p>
        </w:tc>
        <w:tc>
          <w:tcPr>
            <w:tcW w:w="0" w:type="dxa"/>
            <w:vAlign w:val="bottom"/>
          </w:tcPr>
          <w:p>
            <w:pPr>
              <w:spacing w:after="0"/>
              <w:rPr>
                <w:sz w:val="1"/>
                <w:szCs w:val="1"/>
                <w:color w:val="auto"/>
              </w:rPr>
            </w:pPr>
          </w:p>
        </w:tc>
      </w:tr>
      <w:tr>
        <w:trPr>
          <w:trHeight w:val="278"/>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as of September 30, 2022</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43,269,200</w:t>
            </w:r>
          </w:p>
        </w:tc>
        <w:tc>
          <w:tcPr>
            <w:tcW w:w="2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jc w:val="right"/>
              <w:ind w:right="614"/>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43</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260,839</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(142,180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118,662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-1645285</wp:posOffset>
            </wp:positionV>
            <wp:extent cx="76835"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-1645285</wp:posOffset>
            </wp:positionV>
            <wp:extent cx="7747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-1645285</wp:posOffset>
            </wp:positionV>
            <wp:extent cx="6858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-1645285</wp:posOffset>
            </wp:positionV>
            <wp:extent cx="6858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-1645285</wp:posOffset>
            </wp:positionV>
            <wp:extent cx="6858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-993775</wp:posOffset>
            </wp:positionV>
            <wp:extent cx="76835"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-993775</wp:posOffset>
            </wp:positionV>
            <wp:extent cx="7747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-993775</wp:posOffset>
            </wp:positionV>
            <wp:extent cx="6858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-993775</wp:posOffset>
            </wp:positionV>
            <wp:extent cx="6858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-993775</wp:posOffset>
            </wp:positionV>
            <wp:extent cx="6858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-25400</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-25400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jc w:val="right"/>
              <w:ind w:right="34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69"/>
        </w:trPr>
        <w:tc>
          <w:tcPr>
            <w:tcW w:w="83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(23,956 )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(25,930 )</w:t>
            </w:r>
          </w:p>
        </w:tc>
      </w:tr>
      <w:tr>
        <w:trPr>
          <w:trHeight w:val="249"/>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838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5,697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4,976</w:t>
            </w:r>
          </w:p>
        </w:tc>
        <w:tc>
          <w:tcPr>
            <w:tcW w:w="100" w:type="dxa"/>
            <w:vAlign w:val="bottom"/>
          </w:tcPr>
          <w:p>
            <w:pPr>
              <w:spacing w:after="0"/>
              <w:rPr>
                <w:sz w:val="20"/>
                <w:szCs w:val="20"/>
                <w:color w:val="auto"/>
              </w:rPr>
            </w:pPr>
          </w:p>
        </w:tc>
      </w:tr>
      <w:tr>
        <w:trPr>
          <w:trHeight w:val="249"/>
        </w:trPr>
        <w:tc>
          <w:tcPr>
            <w:tcW w:w="8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lease expense</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(58 )</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(28 )</w:t>
            </w:r>
          </w:p>
        </w:tc>
      </w:tr>
      <w:tr>
        <w:trPr>
          <w:trHeight w:val="237"/>
        </w:trPr>
        <w:tc>
          <w:tcPr>
            <w:tcW w:w="838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r>
      <w:tr>
        <w:trPr>
          <w:trHeight w:val="249"/>
        </w:trPr>
        <w:tc>
          <w:tcPr>
            <w:tcW w:w="8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premium on marketable securities</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(1,210 )</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(66 )</w:t>
            </w:r>
          </w:p>
        </w:tc>
      </w:tr>
      <w:tr>
        <w:trPr>
          <w:trHeight w:val="239"/>
        </w:trPr>
        <w:tc>
          <w:tcPr>
            <w:tcW w:w="8380" w:type="dxa"/>
            <w:vAlign w:val="bottom"/>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(579 )</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(321 )</w:t>
            </w:r>
          </w:p>
        </w:tc>
      </w:tr>
      <w:tr>
        <w:trPr>
          <w:trHeight w:val="237"/>
        </w:trPr>
        <w:tc>
          <w:tcPr>
            <w:tcW w:w="83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0"/>
                <w:szCs w:val="20"/>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(930 )</w:t>
            </w:r>
          </w:p>
        </w:tc>
        <w:tc>
          <w:tcPr>
            <w:tcW w:w="3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(891 )</w:t>
            </w:r>
          </w:p>
        </w:tc>
      </w:tr>
      <w:tr>
        <w:trPr>
          <w:trHeight w:val="249"/>
        </w:trPr>
        <w:tc>
          <w:tcPr>
            <w:tcW w:w="8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(3,314 )</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FF0FC"/>
          </w:tcPr>
          <w:p>
            <w:pPr>
              <w:spacing w:after="0"/>
              <w:rPr>
                <w:sz w:val="21"/>
                <w:szCs w:val="21"/>
                <w:color w:val="auto"/>
              </w:rPr>
            </w:pPr>
          </w:p>
        </w:tc>
      </w:tr>
      <w:tr>
        <w:trPr>
          <w:trHeight w:val="237"/>
        </w:trPr>
        <w:tc>
          <w:tcPr>
            <w:tcW w:w="83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r>
      <w:tr>
        <w:trPr>
          <w:trHeight w:val="236"/>
        </w:trPr>
        <w:tc>
          <w:tcPr>
            <w:tcW w:w="83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9"/>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color w:val="auto"/>
              </w:rPr>
              <w:t>Purchase of marketable securities</w:t>
            </w:r>
          </w:p>
        </w:tc>
        <w:tc>
          <w:tcPr>
            <w:tcW w:w="200" w:type="dxa"/>
            <w:vAlign w:val="bottom"/>
          </w:tcPr>
          <w:p>
            <w:pPr>
              <w:spacing w:after="0"/>
              <w:rPr>
                <w:sz w:val="20"/>
                <w:szCs w:val="20"/>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(66,268 )</w:t>
            </w:r>
          </w:p>
        </w:tc>
        <w:tc>
          <w:tcPr>
            <w:tcW w:w="3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(61,626 )</w:t>
            </w:r>
          </w:p>
        </w:tc>
      </w:tr>
      <w:tr>
        <w:trPr>
          <w:trHeight w:val="243"/>
        </w:trPr>
        <w:tc>
          <w:tcPr>
            <w:tcW w:w="8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Maturities and sales of marketable securities</w:t>
            </w: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102,250</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380" w:type="dxa"/>
            <w:vAlign w:val="bottom"/>
          </w:tcPr>
          <w:p>
            <w:pPr>
              <w:ind w:left="12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35,982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(38,726 )</w:t>
            </w:r>
          </w:p>
        </w:tc>
      </w:tr>
      <w:tr>
        <w:trPr>
          <w:trHeight w:val="243"/>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color w:val="auto"/>
              </w:rPr>
              <w:t>Proceeds from issuance of equity securities, net of issuance costs</w:t>
            </w:r>
          </w:p>
        </w:tc>
        <w:tc>
          <w:tcPr>
            <w:tcW w:w="200" w:type="dxa"/>
            <w:vAlign w:val="bottom"/>
          </w:tcPr>
          <w:p>
            <w:pPr>
              <w:spacing w:after="0"/>
              <w:rPr>
                <w:sz w:val="20"/>
                <w:szCs w:val="20"/>
                <w:color w:val="auto"/>
              </w:rPr>
            </w:pP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75,573</w:t>
            </w:r>
          </w:p>
        </w:tc>
        <w:tc>
          <w:tcPr>
            <w:tcW w:w="100" w:type="dxa"/>
            <w:vAlign w:val="bottom"/>
          </w:tcPr>
          <w:p>
            <w:pPr>
              <w:spacing w:after="0"/>
              <w:rPr>
                <w:sz w:val="20"/>
                <w:szCs w:val="20"/>
                <w:color w:val="auto"/>
              </w:rPr>
            </w:pPr>
          </w:p>
        </w:tc>
      </w:tr>
      <w:tr>
        <w:trPr>
          <w:trHeight w:val="243"/>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 and warrants</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838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75,573</w:t>
            </w:r>
          </w:p>
        </w:tc>
        <w:tc>
          <w:tcPr>
            <w:tcW w:w="100" w:type="dxa"/>
            <w:vAlign w:val="bottom"/>
            <w:tcBorders>
              <w:top w:val="single" w:sz="8" w:color="CFF0FC"/>
            </w:tcBorders>
          </w:tcPr>
          <w:p>
            <w:pPr>
              <w:spacing w:after="0"/>
              <w:rPr>
                <w:sz w:val="20"/>
                <w:szCs w:val="20"/>
                <w:color w:val="auto"/>
              </w:rPr>
            </w:pPr>
          </w:p>
        </w:tc>
      </w:tr>
      <w:tr>
        <w:trPr>
          <w:trHeight w:val="243"/>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15,950</w:t>
            </w:r>
          </w:p>
        </w:tc>
        <w:tc>
          <w:tcPr>
            <w:tcW w:w="100" w:type="dxa"/>
            <w:vAlign w:val="bottom"/>
            <w:shd w:val="clear" w:color="auto" w:fill="CFF0FC"/>
          </w:tcPr>
          <w:p>
            <w:pPr>
              <w:spacing w:after="0"/>
              <w:rPr>
                <w:sz w:val="21"/>
                <w:szCs w:val="21"/>
                <w:color w:val="auto"/>
              </w:rPr>
            </w:pP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71,436</w:t>
            </w:r>
          </w:p>
        </w:tc>
        <w:tc>
          <w:tcPr>
            <w:tcW w:w="100" w:type="dxa"/>
            <w:vAlign w:val="bottom"/>
          </w:tcPr>
          <w:p>
            <w:pPr>
              <w:spacing w:after="0"/>
              <w:rPr>
                <w:sz w:val="20"/>
                <w:szCs w:val="20"/>
                <w:color w:val="auto"/>
              </w:rPr>
            </w:pPr>
          </w:p>
        </w:tc>
      </w:tr>
      <w:tr>
        <w:trPr>
          <w:trHeight w:val="236"/>
        </w:trPr>
        <w:tc>
          <w:tcPr>
            <w:tcW w:w="8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40,060</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Offering costs included in accounts payable and accrued expense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FF0FC"/>
          </w:tcPr>
          <w:p>
            <w:pPr>
              <w:spacing w:after="0"/>
              <w:rPr>
                <w:sz w:val="21"/>
                <w:szCs w:val="2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Leased asset obtained in exchange for new operating lease liability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-2366010</wp:posOffset>
            </wp:positionV>
            <wp:extent cx="6858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-2366010</wp:posOffset>
            </wp:positionV>
            <wp:extent cx="6858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-1739900</wp:posOffset>
            </wp:positionV>
            <wp:extent cx="685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-1739900</wp:posOffset>
            </wp:positionV>
            <wp:extent cx="685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-1105535</wp:posOffset>
            </wp:positionV>
            <wp:extent cx="685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-462915</wp:posOffset>
            </wp:positionV>
            <wp:extent cx="6858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-462915</wp:posOffset>
            </wp:positionV>
            <wp:extent cx="6858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Larimar Therapeutics, Inc., together with its subsidiary (the “Company” or “Larimar”), is a clinical-stage biotechnology company focused on developing treatments for patients suffering from complex rare diseases using its novel cell penetrating peptide technology platform. Larimar's lead product candidate, nomlabofusp (nomlabofusp is the new International Nonproprietary Name ("INN") and the United States Adopted Name ("USAN") for CTI-1601), is a subcutaneously administered, recombinant fusion protein intended to deliver human frataxin ("FXN"), an essential protein, to the mitochondria of patients with Friedreich’s ataxia ("FA"). FA is a rare, progressive and fatal disease in which patients are unable to produce sufficient FXN due to a genetic abnormality.</w:t>
      </w:r>
    </w:p>
    <w:p>
      <w:pPr>
        <w:spacing w:after="0" w:line="84"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The Company has completed two phase 1 studies of nomlabofusp and the first cohort of a Phase 2 study in patients with FA. In May 2021, after reporting positive top-line data from the Company’s Phase 1 FA program, the U.S. Food and Drug Administration (“FDA”) placed a clinical hold on the Company’s nomlabofusp clinical program after the Company notified the FDA of mortalities at the highest dose levels of a 26-week non-human primate toxicology study that was designed to support extended dosing of patients with nomlabofusp. In August 2022, the Company submitted a complete response to the clinical hold following a Type C Meeting with the FDA, and proposed as nomlabofusp's next clinical trial a Phase 2, four-week, dose exploration study in FA patients starting at the lower dose levels tested in the Company’s Phase 1 multiple-ascending dose clinical trial. In September 2022, the FDA lifted its full clinical hold on the nomlabofusp program and imposed a partial clinical hold.</w:t>
      </w:r>
    </w:p>
    <w:p>
      <w:pPr>
        <w:spacing w:after="0" w:line="69"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May 2023, the Company announced top-line data from its completed 25 mg cohort of a Phase 2, four-week, dose exploration trial of nomlabofusp in patients with FA and provided a complete response to the FDA in June 2023, which included unblinded safety, pharmacokinetic ("PK"), and pharmacodynamic ("PD") data from the Phase 2 trial’s completed 25 mg cohort. Data from the completed 25 mg cohort (n = 13) indicated that nomlabofusp was generally well tolerated and showed increases in FXN levels from baseline compared to placebo in all evaluated tissues (skin and buccal cells) at day 14 (the final day of daily dosing in the trial).</w:t>
      </w:r>
    </w:p>
    <w:p>
      <w:pPr>
        <w:spacing w:after="0" w:line="80"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In June 2023, the Company met with the FDA. Following that meeting, the Company submitted a complete response to the FDA’s partial clinical hold that included unblinded safety, PK and frataxin data from the Phase 2 trial’s completed 25 mg cohort.</w:t>
      </w:r>
    </w:p>
    <w:p>
      <w:pPr>
        <w:spacing w:after="0" w:line="62" w:lineRule="exact"/>
        <w:rPr>
          <w:sz w:val="20"/>
          <w:szCs w:val="20"/>
          <w:color w:val="auto"/>
        </w:rPr>
      </w:pPr>
    </w:p>
    <w:p>
      <w:pPr>
        <w:jc w:val="both"/>
        <w:ind w:right="140" w:firstLine="509"/>
        <w:spacing w:after="0" w:line="311" w:lineRule="auto"/>
        <w:rPr>
          <w:sz w:val="20"/>
          <w:szCs w:val="20"/>
          <w:color w:val="auto"/>
        </w:rPr>
      </w:pPr>
      <w:r>
        <w:rPr>
          <w:rFonts w:ascii="Arial" w:cs="Arial" w:eastAsia="Arial" w:hAnsi="Arial"/>
          <w:sz w:val="16"/>
          <w:szCs w:val="16"/>
          <w:color w:val="auto"/>
        </w:rPr>
        <w:t>In July 2023, the FDA cleared the Company’s four-week, placebo-controlled, Phase 2 dose exploration trial of nomlabofusp in patients with FA to proceed to a 50 mg cohort in which participants are dosed daily for the first 14 days, and then every other day until day 28. Additionally, the FDA cleared for initiation the Company’s open label extension (“OLE”) trial in which participants are currently expected to receive 25 mg of nomlabofusp daily.</w:t>
      </w:r>
    </w:p>
    <w:p>
      <w:pPr>
        <w:spacing w:after="0" w:line="41"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In November 2023, the Company completed enrollment and dosing of the 50 mg cohort of its Phase 2 double-blind dose exploration trial evaluating nomlabofusp for the treatment of FA. Treatment assignment of the fully enrolled cohort of 15 participants remains blinded as they complete the follow up period. Participants were dosed daily with nomlabofusp or placebo for the first 14 days, and then every other day until day 28. Based on blinded Phase 2 observations during the dosing period, there were no serious adverse events for either the nomlabofusp or placebo groups. Top-line Phase 2 safety, pharmacokinetics and frataxin data from skin and buccal cells from both the 25 mg and 50 mg cohorts are now expected in the first quarter of 2024 refined from the first half of 2024. Initiation of additional U.S. clinical trials or potential further dose escalation in these trials is contingent on FDA review of Phase 2 data from the 50 mg cohort due to the partial clinical hold.</w:t>
      </w:r>
    </w:p>
    <w:p>
      <w:pPr>
        <w:spacing w:after="0" w:line="6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November 2023, the Company reaffirmed guidance for initiation of the OLE trial evaluating daily subcutaneous injections of 25 mg of nomlabofusp self-administered or administered by a caregiver. Participants who complete treatment in the Phase 2 dose exploration trial, or who previously completed a prior clinical trial of nomlabofusp are potentially eligible for the OLE. The OLE will evaluate the safety and tolerability and PK and measures of frataxin levels in peripheral tissues as well as other exploratory PD markers (lipid profiles and gene expression data) following long-term subcutaneous administration of nomlabofusp. Clinical measures collected during the trial will be compared to a data from a synthetic control arm derived from participants in the Friedreich’s Ataxia Clinical Outcome Measures Study (FACOMS) database. The OLE trial is expected to begin in the first quarter of 2024 with interim data expected in the fourth quarter of 2024.</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0" w:name="page11"/>
    <w:bookmarkEnd w:id="10"/>
    <w:p>
      <w:pPr>
        <w:ind w:right="20" w:firstLine="509"/>
        <w:spacing w:after="0" w:line="254" w:lineRule="auto"/>
        <w:rPr>
          <w:sz w:val="20"/>
          <w:szCs w:val="20"/>
          <w:color w:val="auto"/>
        </w:rPr>
      </w:pPr>
      <w:r>
        <w:rPr>
          <w:rFonts w:ascii="Arial" w:cs="Arial" w:eastAsia="Arial" w:hAnsi="Arial"/>
          <w:sz w:val="18"/>
          <w:szCs w:val="18"/>
          <w:color w:val="auto"/>
        </w:rPr>
        <w:t>The Company is subject to risks and uncertainties common to pre-commercial companies in the biotechnology industry, including, but not limited to, development and commercialization by competitors of new technological innovations, dependence on key personnel, protection of proprietary technology, compliance with governmental regulations, failure to secure regulatory approval for its drug candidates or any other product candidates and the ability to secure additional capital to fund its operations. Product candidates under development will require extensive non-clinical and clinical testing and regulatory approval prior to commercialization. These efforts require significant amounts of additional capital, adequate personnel, infrastructure and extensive compliance-reporting capabilities. Even if the Company's drug development efforts are successful, it is uncertain when, if ever, it will realize significant revenue from product sales.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The condensed consolidated financial statements include the accounts of Larimar and its wholly owned subsidiary. All intercompany balances and transactions have been eliminated. The accompanying condensed consolidated financial statements have been prepared in conformity with Generally Accepted Accounting Principles ("GAAP").</w:t>
      </w:r>
    </w:p>
    <w:p>
      <w:pPr>
        <w:spacing w:after="0" w:line="76"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The condensed consolidated balance sheet as of December 31, 2022 was derived from the Company’s audited financial statements but does not include all disclosures required by GAAP. The accompanying unaudited condensed consolidated financial statements as of September 30, 2023 and for the three and nine months ended September 30, 2023 and 2022,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2022 included in the Company’s Annual Report on Form 10-K filed with the SEC on March 14, 2023 and the Company’s Quarterly Reports on Form 10-Q filed with the SEC on May 15, 2023 and August 10, 2023.</w:t>
      </w:r>
    </w:p>
    <w:p>
      <w:pPr>
        <w:spacing w:after="0" w:line="73"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In the opinion of management, all adjustments, consisting only of normal recurring adjustments necessary for a fair statement of the Company’s condensed consolidated financial position as of September 30, 2023, condensed consolidated results of operations for the three and nine months ended September 30, 2023 and 2022 and condensed consolidated statement of cash flows for the nine months ended September 30, 2023 and 2022 have been made. The results of operations for the three and nine months ended September 30, 2023 are not necessarily indicative of the results of operations that may be expected for the year ending December 31, 2023.</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The Company’s condensed consolidated financial statements have been presented on the basis that it will continue as a going concern, which contemplates the realization of assets and satisfaction of liabilities in the normal course of business.</w:t>
      </w:r>
    </w:p>
    <w:p>
      <w:pPr>
        <w:spacing w:after="0" w:line="62"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Since its inception, the Company has incurred significant recurring operating losses and negative cash flows from operations. The Company has incurred net losses of $24.0 million and $25.9 million for the nine months ended September 30, 2023 and 2022, respectively. In addition, as of September 30, 2023, the Company had an accumulated deficit of $175.6 million. The Company expects to continue to generate operating losses for the foreseeable future. As of September 30, 2023, the Company had approximately $95.6 million of cash, cash equivalents and marketable securities available for use to fund its operations and capital requirements.</w:t>
      </w:r>
    </w:p>
    <w:p>
      <w:pPr>
        <w:spacing w:after="0" w:line="80" w:lineRule="exact"/>
        <w:rPr>
          <w:sz w:val="20"/>
          <w:szCs w:val="20"/>
          <w:color w:val="auto"/>
        </w:rPr>
      </w:pPr>
    </w:p>
    <w:p>
      <w:pPr>
        <w:ind w:right="300" w:firstLine="509"/>
        <w:spacing w:after="0" w:line="286" w:lineRule="auto"/>
        <w:rPr>
          <w:sz w:val="20"/>
          <w:szCs w:val="20"/>
          <w:color w:val="auto"/>
        </w:rPr>
      </w:pPr>
      <w:r>
        <w:rPr>
          <w:rFonts w:ascii="Arial" w:cs="Arial" w:eastAsia="Arial" w:hAnsi="Arial"/>
          <w:sz w:val="17"/>
          <w:szCs w:val="17"/>
          <w:color w:val="auto"/>
        </w:rPr>
        <w:t>The Company has funded its operations to date primarily with proceeds from sales of common stock and proceeds from the sale of prefunded warrants for the purchase of common stock, the acquisition in 2020 of cash, cash equivalents, marketable securities and restricted cash upon the merger with Zafgen, Inc. ("Zafgen") and, prior to the 2020 merger with Zafgen, capital contributions from Chondrial Holdings, LLC.</w:t>
      </w:r>
    </w:p>
    <w:p>
      <w:pPr>
        <w:spacing w:after="0" w:line="5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accordance with Accounting Standards Update (“ASU”) No. 2014-15, "Disclosure of Uncertainties about an Entity’s Ability to Continue as a Going Concern", the Company has evaluated whether there are certain conditions and events, considered in the aggregate, that raise substantial doubt about the Company’s ability to continue as a going concern within one year after the date that these condensed consolidated financial statements are issued. As of the issuance date of these condensed consolidated financial statements, the Company expects its cash, cash equivalents and marketable securities will be sufficient to fund its forecasted operating expenses and capital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1" w:name="page12"/>
    <w:bookmarkEnd w:id="11"/>
    <w:p>
      <w:pPr>
        <w:spacing w:after="0" w:line="263" w:lineRule="auto"/>
        <w:rPr>
          <w:sz w:val="20"/>
          <w:szCs w:val="20"/>
          <w:color w:val="auto"/>
        </w:rPr>
      </w:pPr>
      <w:r>
        <w:rPr>
          <w:rFonts w:ascii="Arial" w:cs="Arial" w:eastAsia="Arial" w:hAnsi="Arial"/>
          <w:sz w:val="18"/>
          <w:szCs w:val="18"/>
          <w:color w:val="auto"/>
        </w:rPr>
        <w:t>expenditure requirements, for at least twelve months from the issuance of these condensed consolidated financial statements into the first quarter of 2025. If the timing of the Company's clinical assumptions are delayed or if there are other forecasted assumption changes that negatively impact its operating plan, the Company would reduce expenditures in order to further extend cash resources.</w:t>
      </w:r>
    </w:p>
    <w:p>
      <w:pPr>
        <w:spacing w:after="0" w:line="76" w:lineRule="exact"/>
        <w:rPr>
          <w:sz w:val="20"/>
          <w:szCs w:val="20"/>
          <w:color w:val="auto"/>
        </w:rPr>
      </w:pPr>
    </w:p>
    <w:p>
      <w:pPr>
        <w:ind w:right="120" w:firstLine="509"/>
        <w:spacing w:after="0" w:line="288" w:lineRule="auto"/>
        <w:rPr>
          <w:sz w:val="20"/>
          <w:szCs w:val="20"/>
          <w:color w:val="auto"/>
        </w:rPr>
      </w:pPr>
      <w:r>
        <w:rPr>
          <w:rFonts w:ascii="Arial" w:cs="Arial" w:eastAsia="Arial" w:hAnsi="Arial"/>
          <w:sz w:val="16"/>
          <w:szCs w:val="16"/>
          <w:color w:val="auto"/>
        </w:rPr>
        <w:t>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that it will need additional capital to fund its future operating and capital requirements. Unless and until the Company can generate substantial revenue, management continuously evaluates different strategies to obtain the required funding for future operations. These strategies include seeking additional funding through a combination of public or private equity offerings, debt or royalty financings, collaborations and licensing arrangements, strategic partnerships with pharmaceutical and/or larger biotechnology companies, or other sources. The incurrence of indebtedness would result in increased fixed payment obligations and the Company may be required to agree to certain restrictive covenants, such as limitations on its ability to incur additional debt, limitations on its ability to acquire, sell or license intellectual property rights, minimum required cash balances and other operating restrictions that could adversely impact the Company's ability to conduct its business. Any additional fundraising efforts may divert the Company's management from their day-to-day activities, which may adversely affect its ability to develop and commercialize its product candidates.</w:t>
      </w:r>
    </w:p>
    <w:p>
      <w:pPr>
        <w:spacing w:after="0" w:line="60"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There can be no assurance that the Company will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 In addition, geopolitical tensions, volatility of capital markets, and other adverse macroeconomic events, including those due to inflationary pressures, rising interest rates, bank instability and the ability of the U.S. government to manage federal debt limits as well as the potential impact of other health crises on the global financial markets may reduce the Company's ability to access capital, which could negatively affect its liquidity and ability to continue as a going concern.</w:t>
      </w:r>
    </w:p>
    <w:p>
      <w:pPr>
        <w:spacing w:after="0" w:line="77"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If the Company is unable to obtain sufficient funding when needed and/or on acceptable terms, the Company may be required to significantly curtail, delay or discontinue one or more of its research and development programs, the manufacture of clinical and commercial supplies, product portfolio expansion or pre commercialization efforts, which could adversely affect its business prospects, or the Company may be unable to continue operations.</w:t>
      </w:r>
    </w:p>
    <w:p>
      <w:pPr>
        <w:spacing w:after="0" w:line="145"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condensed consolidated financial statements include, but are not limited to, the accrual of research and development expense, the recording as prepaid expense of payments made in advance of the actual provision of goods or services, valuation of stock-based awards and valuation of leases. Due to the inherent uncertainty involved in making estimates, actual results reported in future periods may be affected by changes in these estimates.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400" w:firstLine="509"/>
        <w:spacing w:after="0" w:line="275" w:lineRule="auto"/>
        <w:rPr>
          <w:sz w:val="20"/>
          <w:szCs w:val="20"/>
          <w:color w:val="auto"/>
        </w:rPr>
      </w:pPr>
      <w:r>
        <w:rPr>
          <w:rFonts w:ascii="Arial" w:cs="Arial" w:eastAsia="Arial" w:hAnsi="Arial"/>
          <w:sz w:val="17"/>
          <w:szCs w:val="17"/>
          <w:color w:val="auto"/>
        </w:rPr>
        <w:t>Costs associated with internal research and development and external research and development services, including drug development, clinical studies and non-clinical studies, are expensed as incurred. Research and development expenses include costs for salaries, employee benefits, subcontractors, stock-based compensation, facility-related expenses, third-party license fees, laboratory supplies, and external costs of outside vendors engaged to conduct discovery, non-clinical and clinical development activities, and clinical trials as well as to manufacture clinical trial materials, depreciation and other costs. The Company recognizes external research and development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costs based on an evaluation of the progress to completion of specific tasks using information provided to the Company by its service providers.</w:t>
      </w:r>
    </w:p>
    <w:p>
      <w:pPr>
        <w:spacing w:after="0" w:line="129"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76"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Upfront payments, milestone payments and annual maintenance fees under license agreements are currently expensed in the period in which they are incurred.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340" w:firstLine="509"/>
        <w:spacing w:after="0" w:line="259" w:lineRule="auto"/>
        <w:rPr>
          <w:sz w:val="20"/>
          <w:szCs w:val="20"/>
          <w:color w:val="auto"/>
        </w:rPr>
      </w:pPr>
      <w:r>
        <w:rPr>
          <w:rFonts w:ascii="Arial" w:cs="Arial" w:eastAsia="Arial" w:hAnsi="Arial"/>
          <w:sz w:val="18"/>
          <w:szCs w:val="18"/>
          <w:color w:val="auto"/>
        </w:rPr>
        <w:t>The Company measures all stock-based awards granted to employees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vesting conditions and records the expense for these awards using the straight-line method. The Company accounts for forfeitures as they occur.</w:t>
      </w:r>
    </w:p>
    <w:p>
      <w:pPr>
        <w:spacing w:after="0" w:line="79" w:lineRule="exact"/>
        <w:rPr>
          <w:sz w:val="20"/>
          <w:szCs w:val="20"/>
          <w:color w:val="auto"/>
        </w:rPr>
      </w:pPr>
    </w:p>
    <w:p>
      <w:pPr>
        <w:ind w:right="260" w:firstLine="509"/>
        <w:spacing w:after="0" w:line="342" w:lineRule="auto"/>
        <w:rPr>
          <w:sz w:val="20"/>
          <w:szCs w:val="20"/>
          <w:color w:val="auto"/>
        </w:rPr>
      </w:pPr>
      <w:r>
        <w:rPr>
          <w:rFonts w:ascii="Arial" w:cs="Arial" w:eastAsia="Arial" w:hAnsi="Arial"/>
          <w:sz w:val="16"/>
          <w:szCs w:val="16"/>
          <w:color w:val="auto"/>
        </w:rPr>
        <w:t>The Company classifies stock-based compensation expense in its condensed consolidated statements of operations and comprehensive loss in the same manner in which the award recipient’s payroll costs are classified or in which the award recipient’s service payments are classified.</w:t>
      </w:r>
    </w:p>
    <w:p>
      <w:pPr>
        <w:spacing w:after="0" w:line="16"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Prior to May 28, 2020, the Company had been a private company and lacked company-specific historical and implied volatility information for its common stock. Prior to January 1, 2023, the Company estimated its expected common stock price volatility solely based on the historical volatility of publicly traded peer companies. Beginning on January 1, 2023, based on the availability of sufficient historical trading data of the Company's own common stock on the Nasdaq Global Market to calculate accurately its volatility, the Company began blending its volatility starting from June 2020 (following its merger with Zafgen in 2020) to the date of each stock-based award, and weighing the volatility of its peer group for the amount of time from May 31, 2020 backwards so that the blended volatility equals the expected term of the related stock-based award.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the Company has never paid cash dividends on common stock and does not expect to pay any cash dividends in the foreseeable future.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Basic net loss per share is computed by dividing the net loss attributable to common stockholders by the weighted average number of common shares outstanding for the period. Prior to August 11, 2023, basic shares outstanding includes the weighted average effect of the Company’s prefunded warrants issued in June 2020, the exercise of which requires little or no consideration for the delivery of shares of common stock. These prefunded warrants were exercised on August 11, 2023 and the Company received cash proceeds of six thousand two hundred and eighty-four dollars. Accordingly, subsequent to August 11, 2023 the 628,403 shares issued upon the exercise of these warrants are included in issued and outstanding common stock.</w:t>
      </w:r>
    </w:p>
    <w:p>
      <w:pPr>
        <w:spacing w:after="0" w:line="53"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Diluted net loss per share attributable to common stockholders is computed by dividing the diluted net loss attributable to common stockholders by the weighted average number of common shares, including potentially dilutive common stock equivalents assuming the dilutive effect of outstanding stock options, outstanding restricted stock units, and unvested restricted common shares, as determined using the treasury stock method. For periods in which the Company has reported net losses (all periods since inception), diluted net loss per common share attributable to common stockholders is the same as basic net loss per common share attributable to common stockholders, since dilutive common stock equivalents are not assumed to have been issued if their effect is antidilutive.</w:t>
      </w:r>
    </w:p>
    <w:p>
      <w:pPr>
        <w:spacing w:after="0" w:line="84"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Company excluded 5,100,997 and 3,136,776 common stock equivalents outstanding as of September 30, 2023 and 2022, respectively, from the computation of diluted net loss per share for the three and nine months 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September 30, 2023 and 2022 because they had an anti-dilutive impact due to the net loss incurred for the periods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believe the new guidance will not have a material impact on the condensed consolidated results of operations, cash flows or financial position.</w:t>
      </w:r>
    </w:p>
    <w:p>
      <w:pPr>
        <w:spacing w:after="0" w:line="37"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The Company’s assets and liabilities that are measured at fair value on a recurring basis as of September 30, 2023 and December 31, 2022 are measured in accordance with the standards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which establishes a three-level valuation hierarchy for measuring fair value and expands financial statement disclosures about fair value measurements. The valuation hierarchy is based on the transparency of inputs to the valuation of an asset or liability as of the measurement date. The three levels are defined as follows:</w:t>
      </w:r>
    </w:p>
    <w:p>
      <w:pPr>
        <w:sectPr>
          <w:pgSz w:w="11900" w:h="16838" w:orient="portrait"/>
          <w:cols w:equalWidth="0" w:num="1">
            <w:col w:w="11240"/>
          </w:cols>
          <w:pgMar w:left="320" w:top="476" w:right="339" w:bottom="1440" w:gutter="0" w:footer="0" w:header="0"/>
        </w:sect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 1</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Inputs to the valuation methodology are quoted prices (unadjusted) for identical assets or liabilities in active markets.</w:t>
      </w:r>
    </w:p>
    <w:p>
      <w:pPr>
        <w:spacing w:after="0" w:line="167" w:lineRule="exact"/>
        <w:rPr>
          <w:sz w:val="20"/>
          <w:szCs w:val="20"/>
          <w:color w:val="auto"/>
        </w:rPr>
      </w:pPr>
    </w:p>
    <w:p>
      <w:pPr>
        <w:sectPr>
          <w:pgSz w:w="11900" w:h="16838" w:orient="portrait"/>
          <w:cols w:equalWidth="0" w:num="2">
            <w:col w:w="700" w:space="640"/>
            <w:col w:w="9900"/>
          </w:cols>
          <w:pgMar w:left="320" w:top="476"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Level – 2</w:t>
      </w:r>
    </w:p>
    <w:p>
      <w:pPr>
        <w:spacing w:after="0" w:line="20" w:lineRule="exact"/>
        <w:rPr>
          <w:sz w:val="20"/>
          <w:szCs w:val="20"/>
          <w:color w:val="auto"/>
        </w:rPr>
      </w:pPr>
      <w:r>
        <w:rPr>
          <w:sz w:val="20"/>
          <w:szCs w:val="20"/>
          <w:color w:val="auto"/>
        </w:rPr>
        <w:br w:type="column"/>
      </w:r>
    </w:p>
    <w:p>
      <w:pPr>
        <w:ind w:right="740"/>
        <w:spacing w:after="0" w:line="342" w:lineRule="auto"/>
        <w:rPr>
          <w:sz w:val="20"/>
          <w:szCs w:val="20"/>
          <w:color w:val="auto"/>
        </w:rPr>
      </w:pPr>
      <w:r>
        <w:rPr>
          <w:rFonts w:ascii="Arial" w:cs="Arial" w:eastAsia="Arial" w:hAnsi="Arial"/>
          <w:sz w:val="16"/>
          <w:szCs w:val="16"/>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43" w:lineRule="exact"/>
        <w:rPr>
          <w:sz w:val="20"/>
          <w:szCs w:val="20"/>
          <w:color w:val="auto"/>
        </w:rPr>
      </w:pPr>
    </w:p>
    <w:p>
      <w:pPr>
        <w:sectPr>
          <w:pgSz w:w="11900" w:h="16838" w:orient="portrait"/>
          <w:cols w:equalWidth="0" w:num="2">
            <w:col w:w="700" w:space="640"/>
            <w:col w:w="9900"/>
          </w:cols>
          <w:pgMar w:left="320" w:top="476"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Level –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Inputs to the valuation methodology are unobservable and significant to the fair value measurement.</w:t>
      </w:r>
    </w:p>
    <w:p>
      <w:pPr>
        <w:spacing w:after="0" w:line="154" w:lineRule="exact"/>
        <w:rPr>
          <w:sz w:val="20"/>
          <w:szCs w:val="20"/>
          <w:color w:val="auto"/>
        </w:rPr>
      </w:pPr>
    </w:p>
    <w:p>
      <w:pPr>
        <w:sectPr>
          <w:pgSz w:w="11900" w:h="16838" w:orient="portrait"/>
          <w:cols w:equalWidth="0" w:num="2">
            <w:col w:w="700" w:space="640"/>
            <w:col w:w="9900"/>
          </w:cols>
          <w:pgMar w:left="320" w:top="476" w:right="339" w:bottom="1440" w:gutter="0" w:footer="0" w:header="0"/>
          <w:type w:val="continuous"/>
        </w:sectPr>
      </w:pPr>
    </w:p>
    <w:p>
      <w:pPr>
        <w:ind w:right="20" w:firstLine="509"/>
        <w:spacing w:after="0" w:line="263" w:lineRule="auto"/>
        <w:rPr>
          <w:sz w:val="20"/>
          <w:szCs w:val="20"/>
          <w:color w:val="auto"/>
        </w:rPr>
      </w:pPr>
      <w:r>
        <w:rPr>
          <w:rFonts w:ascii="Arial" w:cs="Arial" w:eastAsia="Arial" w:hAnsi="Arial"/>
          <w:sz w:val="18"/>
          <w:szCs w:val="18"/>
          <w:color w:val="auto"/>
        </w:rPr>
        <w:t>The Company’s financial instruments consist primarily of cash, cash equivalents, marketable securities, accounts payable and accrued liabilities. For accounts payable and accrued liabilities, the carrying amounts of these financial instruments as of September 30, 2023 and December 31, 2022 were considered representative of their fair values due to their short term to maturity.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4" w:name="page15"/>
    <w:bookmarkEnd w:id="14"/>
    <w:p>
      <w:pPr>
        <w:jc w:val="center"/>
        <w:ind w:right="-39"/>
        <w:spacing w:after="0"/>
        <w:rPr>
          <w:sz w:val="20"/>
          <w:szCs w:val="20"/>
          <w:color w:val="auto"/>
        </w:rPr>
      </w:pPr>
      <w:r>
        <w:rPr>
          <w:rFonts w:ascii="Arial" w:cs="Arial" w:eastAsia="Arial" w:hAnsi="Arial"/>
          <w:sz w:val="17"/>
          <w:szCs w:val="17"/>
          <w:color w:val="auto"/>
        </w:rPr>
        <w:t>The following tables summarize the Company’s cash equivalents and marketable securities as of September 30,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163830</wp:posOffset>
            </wp:positionV>
            <wp:extent cx="3535680" cy="6299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35680" cy="62992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116"/>
              <w:spacing w:after="0" w:line="153" w:lineRule="exact"/>
              <w:rPr>
                <w:sz w:val="20"/>
                <w:szCs w:val="20"/>
                <w:color w:val="auto"/>
              </w:rPr>
            </w:pPr>
            <w:r>
              <w:rPr>
                <w:rFonts w:ascii="Arial" w:cs="Arial" w:eastAsia="Arial" w:hAnsi="Arial"/>
                <w:sz w:val="14"/>
                <w:szCs w:val="14"/>
                <w:b w:val="1"/>
                <w:bCs w:val="1"/>
                <w:color w:val="auto"/>
                <w:w w:val="93"/>
              </w:rPr>
              <w:t>Quoted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76"/>
              <w:spacing w:after="0" w:line="153" w:lineRule="exact"/>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center"/>
              <w:ind w:right="35"/>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2"/>
              </w:rPr>
              <w:t>Prices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0"/>
              </w:rPr>
              <w:t>Active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76"/>
              <w:spacing w:after="0"/>
              <w:rPr>
                <w:sz w:val="20"/>
                <w:szCs w:val="20"/>
                <w:color w:val="auto"/>
              </w:rPr>
            </w:pPr>
            <w:r>
              <w:rPr>
                <w:rFonts w:ascii="Arial" w:cs="Arial" w:eastAsia="Arial" w:hAnsi="Arial"/>
                <w:sz w:val="14"/>
                <w:szCs w:val="14"/>
                <w:b w:val="1"/>
                <w:bCs w:val="1"/>
                <w:color w:val="auto"/>
              </w:rPr>
              <w:t>(in</w:t>
            </w:r>
          </w:p>
        </w:tc>
        <w:tc>
          <w:tcPr>
            <w:tcW w:w="1380" w:type="dxa"/>
            <w:vAlign w:val="bottom"/>
            <w:gridSpan w:val="4"/>
          </w:tcPr>
          <w:p>
            <w:pPr>
              <w:jc w:val="right"/>
              <w:ind w:right="756"/>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September 30, 2023</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Money market funds invested in government securities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34,232</w:t>
            </w:r>
          </w:p>
        </w:tc>
        <w:tc>
          <w:tcPr>
            <w:tcW w:w="4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34,232</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600"/>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Marketable securities: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 bills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49,443</w:t>
            </w:r>
          </w:p>
        </w:tc>
        <w:tc>
          <w:tcPr>
            <w:tcW w:w="4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49,443</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40" w:type="dxa"/>
            <w:vAlign w:val="bottom"/>
            <w:tcBorders>
              <w:bottom w:val="single" w:sz="8" w:color="CFF0FC"/>
            </w:tcBorders>
            <w:shd w:val="clear" w:color="auto" w:fill="CFF0FC"/>
          </w:tcPr>
          <w:p>
            <w:pPr>
              <w:ind w:left="660"/>
              <w:spacing w:after="0"/>
              <w:rPr>
                <w:sz w:val="20"/>
                <w:szCs w:val="20"/>
                <w:color w:val="auto"/>
              </w:rPr>
            </w:pPr>
            <w:r>
              <w:rPr>
                <w:rFonts w:ascii="Arial" w:cs="Arial" w:eastAsia="Arial" w:hAnsi="Arial"/>
                <w:sz w:val="18"/>
                <w:szCs w:val="18"/>
                <w:color w:val="auto"/>
              </w:rPr>
              <w:t>Total marketable securities</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56,869</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49,443</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7,426</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40" w:type="dxa"/>
            <w:vAlign w:val="bottom"/>
          </w:tcPr>
          <w:p>
            <w:pPr>
              <w:ind w:left="160"/>
              <w:spacing w:after="0"/>
              <w:rPr>
                <w:sz w:val="20"/>
                <w:szCs w:val="20"/>
                <w:color w:val="auto"/>
              </w:rPr>
            </w:pPr>
            <w:r>
              <w:rPr>
                <w:rFonts w:ascii="Arial" w:cs="Arial" w:eastAsia="Arial" w:hAnsi="Arial"/>
                <w:sz w:val="18"/>
                <w:szCs w:val="18"/>
                <w:color w:val="auto"/>
              </w:rPr>
              <w:t>Total cash equivalents and marketable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91,101</w:t>
            </w: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83,675</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7,426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December 31, 2022</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Money market funds invested in government securities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22,184</w:t>
            </w:r>
          </w:p>
        </w:tc>
        <w:tc>
          <w:tcPr>
            <w:tcW w:w="4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22,184</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600"/>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Marketable securities: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91,603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91,603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660"/>
              <w:spacing w:after="0"/>
              <w:rPr>
                <w:sz w:val="20"/>
                <w:szCs w:val="20"/>
                <w:color w:val="auto"/>
              </w:rPr>
            </w:pPr>
            <w:r>
              <w:rPr>
                <w:rFonts w:ascii="Arial" w:cs="Arial" w:eastAsia="Arial" w:hAnsi="Arial"/>
                <w:sz w:val="18"/>
                <w:szCs w:val="18"/>
                <w:color w:val="auto"/>
              </w:rPr>
              <w:t>Total marketable securities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 cash equivalents and marketable securities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113,787</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22,184</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91,603</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4432935</wp:posOffset>
            </wp:positionH>
            <wp:positionV relativeFrom="paragraph">
              <wp:posOffset>-2755265</wp:posOffset>
            </wp:positionV>
            <wp:extent cx="2717165" cy="196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17165" cy="19685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-1790700</wp:posOffset>
            </wp:positionV>
            <wp:extent cx="68580" cy="3429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-1790700</wp:posOffset>
            </wp:positionV>
            <wp:extent cx="68580" cy="3429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-1790700</wp:posOffset>
            </wp:positionV>
            <wp:extent cx="68580" cy="3429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3429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-998220</wp:posOffset>
            </wp:positionV>
            <wp:extent cx="2717165" cy="196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17165" cy="196850"/>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-363220</wp:posOffset>
            </wp:positionV>
            <wp:extent cx="2717165" cy="196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17165" cy="19685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right="20" w:firstLine="509"/>
        <w:spacing w:after="0" w:line="308" w:lineRule="auto"/>
        <w:rPr>
          <w:sz w:val="20"/>
          <w:szCs w:val="20"/>
          <w:color w:val="auto"/>
        </w:rPr>
      </w:pPr>
      <w:r>
        <w:rPr>
          <w:rFonts w:ascii="Arial" w:cs="Arial" w:eastAsia="Arial" w:hAnsi="Arial"/>
          <w:sz w:val="17"/>
          <w:szCs w:val="17"/>
          <w:color w:val="auto"/>
        </w:rPr>
        <w:t>The accrued interest receivable related to the Company’s investments was $0.2 million and $0.1 million as of September 30, 2023 and December 31, 2022, respectively, and is included in prepaid expenses and other current assets on the condensed consolidated balance sheet.</w:t>
      </w:r>
    </w:p>
    <w:p>
      <w:pPr>
        <w:spacing w:after="0" w:line="254"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 Company classifies its money market funds and U.S. treasury bills, which are valued based on quoted market prices in active markets with no valuation adjustment, as Level 1 assets within the fair value hierarchy.</w:t>
      </w:r>
    </w:p>
    <w:p>
      <w:pPr>
        <w:spacing w:after="0" w:line="62" w:lineRule="exact"/>
        <w:rPr>
          <w:sz w:val="20"/>
          <w:szCs w:val="20"/>
          <w:color w:val="auto"/>
        </w:rPr>
      </w:pPr>
    </w:p>
    <w:p>
      <w:pPr>
        <w:jc w:val="both"/>
        <w:ind w:right="380" w:firstLine="509"/>
        <w:spacing w:after="0" w:line="255" w:lineRule="auto"/>
        <w:rPr>
          <w:sz w:val="20"/>
          <w:szCs w:val="20"/>
          <w:color w:val="auto"/>
        </w:rPr>
      </w:pPr>
      <w:r>
        <w:rPr>
          <w:rFonts w:ascii="Arial" w:cs="Arial" w:eastAsia="Arial" w:hAnsi="Arial"/>
          <w:sz w:val="18"/>
          <w:szCs w:val="18"/>
          <w:color w:val="auto"/>
        </w:rPr>
        <w:t>The Company classifies its investments in U.S. government and agency securities, corporate commercial paper, and corporate bonds, if any,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84"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As of December 31, 2022, the unrealized losses for available-for-sale investments were non-credit related, and the Company does not intend to sell the investments that were in an unrealized loss position, nor will it be required to sell those investments before recovery of their amortized cost basis, which may be maturity. As of September 30, 2023 and December 31, 2022, no allowances for credit losses for the Company’s investments were recorded. During the three and nine months ended September 30, 2023 and 2022, the Company did not recognize any impairment losses related to investments.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marketable securities as of September 30,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79375</wp:posOffset>
            </wp:positionV>
            <wp:extent cx="3535680" cy="4413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35680" cy="441325"/>
                    </a:xfrm>
                    <a:prstGeom prst="rect">
                      <a:avLst/>
                    </a:prstGeom>
                    <a:noFill/>
                  </pic:spPr>
                </pic:pic>
              </a:graphicData>
            </a:graphic>
          </wp:anchor>
        </w:drawing>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175"/>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left="142"/>
              <w:spacing w:after="0" w:line="15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97"/>
              <w:spacing w:after="0" w:line="15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42"/>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21"/>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left="162"/>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(in</w:t>
            </w:r>
          </w:p>
        </w:tc>
        <w:tc>
          <w:tcPr>
            <w:tcW w:w="1380" w:type="dxa"/>
            <w:vAlign w:val="bottom"/>
            <w:gridSpan w:val="4"/>
          </w:tcPr>
          <w:p>
            <w:pPr>
              <w:jc w:val="right"/>
              <w:ind w:right="757"/>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 bills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49,439</w:t>
            </w:r>
          </w:p>
        </w:tc>
        <w:tc>
          <w:tcPr>
            <w:tcW w:w="1160" w:type="dxa"/>
            <w:vAlign w:val="bottom"/>
            <w:gridSpan w:val="3"/>
            <w:shd w:val="clear" w:color="auto" w:fill="CFF0FC"/>
          </w:tcPr>
          <w:p>
            <w:pPr>
              <w:jc w:val="right"/>
              <w:ind w:right="7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840" w:type="dxa"/>
            <w:vAlign w:val="bottom"/>
            <w:tcBorders>
              <w:bottom w:val="single" w:sz="8" w:color="CFF0FC"/>
            </w:tcBorders>
            <w:shd w:val="clear" w:color="auto" w:fill="CFF0FC"/>
          </w:tcPr>
          <w:p>
            <w:pPr>
              <w:ind w:left="66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56,862</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ind w:right="74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56,869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91,634</w:t>
            </w:r>
          </w:p>
        </w:tc>
        <w:tc>
          <w:tcPr>
            <w:tcW w:w="1160" w:type="dxa"/>
            <w:vAlign w:val="bottom"/>
            <w:gridSpan w:val="3"/>
            <w:shd w:val="clear" w:color="auto" w:fill="CFF0FC"/>
          </w:tcPr>
          <w:p>
            <w:pPr>
              <w:jc w:val="right"/>
              <w:ind w:right="7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(43 )</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66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91,634</w:t>
            </w:r>
          </w:p>
        </w:tc>
        <w:tc>
          <w:tcPr>
            <w:tcW w:w="240" w:type="dxa"/>
            <w:vAlign w:val="bottom"/>
            <w:gridSpan w:val="2"/>
          </w:tcPr>
          <w:p>
            <w:pPr>
              <w:spacing w:after="0"/>
              <w:rPr>
                <w:sz w:val="20"/>
                <w:szCs w:val="20"/>
                <w:color w:val="auto"/>
              </w:rPr>
            </w:pPr>
          </w:p>
        </w:tc>
        <w:tc>
          <w:tcPr>
            <w:tcW w:w="92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w:t>
            </w:r>
          </w:p>
        </w:tc>
        <w:tc>
          <w:tcPr>
            <w:tcW w:w="240" w:type="dxa"/>
            <w:vAlign w:val="bottom"/>
            <w:gridSpan w:val="2"/>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-831215</wp:posOffset>
            </wp:positionV>
            <wp:extent cx="2691765"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91765" cy="180340"/>
                    </a:xfrm>
                    <a:prstGeom prst="rect">
                      <a:avLst/>
                    </a:prstGeom>
                    <a:noFill/>
                  </pic:spPr>
                </pic:pic>
              </a:graphicData>
            </a:graphic>
          </wp:anchor>
        </w:drawing>
      </w:r>
    </w:p>
    <w:p>
      <w:pPr>
        <w:spacing w:after="0" w:line="83"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5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ind w:right="276"/>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5"/>
                <w:szCs w:val="15"/>
                <w:color w:val="auto"/>
              </w:rPr>
            </w:pPr>
          </w:p>
        </w:tc>
      </w:tr>
      <w:tr>
        <w:trPr>
          <w:trHeight w:val="185"/>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58"/>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74"/>
              </w:rPr>
              <w:t>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research and development expenses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w:t>
            </w:r>
          </w:p>
        </w:tc>
        <w:tc>
          <w:tcPr>
            <w:tcW w:w="6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prepaid expenses and other assets</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2,890</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91"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Fixed assets, net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4660" w:type="dxa"/>
            <w:vAlign w:val="bottom"/>
          </w:tcPr>
          <w:p>
            <w:pPr>
              <w:spacing w:after="0"/>
              <w:rPr>
                <w:sz w:val="16"/>
                <w:szCs w:val="16"/>
                <w:color w:val="auto"/>
              </w:rPr>
            </w:pPr>
          </w:p>
        </w:tc>
        <w:tc>
          <w:tcPr>
            <w:tcW w:w="3580" w:type="dxa"/>
            <w:vAlign w:val="bottom"/>
          </w:tcPr>
          <w:p>
            <w:pPr>
              <w:jc w:val="center"/>
              <w:ind w:left="1734"/>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55"/>
              <w:spacing w:after="0"/>
              <w:rPr>
                <w:sz w:val="20"/>
                <w:szCs w:val="20"/>
                <w:color w:val="auto"/>
              </w:rPr>
            </w:pPr>
            <w:r>
              <w:rPr>
                <w:rFonts w:ascii="Arial" w:cs="Arial" w:eastAsia="Arial" w:hAnsi="Arial"/>
                <w:sz w:val="14"/>
                <w:szCs w:val="14"/>
                <w:b w:val="1"/>
                <w:bCs w:val="1"/>
                <w:color w:val="auto"/>
              </w:rPr>
              <w:t>(in</w:t>
            </w:r>
          </w:p>
        </w:tc>
        <w:tc>
          <w:tcPr>
            <w:tcW w:w="1580" w:type="dxa"/>
            <w:vAlign w:val="bottom"/>
            <w:gridSpan w:val="4"/>
          </w:tcPr>
          <w:p>
            <w:pPr>
              <w:jc w:val="right"/>
              <w:ind w:right="934"/>
              <w:spacing w:after="0"/>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4"/>
                <w:szCs w:val="14"/>
                <w:color w:val="auto"/>
              </w:rPr>
            </w:pPr>
          </w:p>
        </w:tc>
      </w:tr>
      <w:tr>
        <w:trPr>
          <w:trHeight w:val="24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3580" w:type="dxa"/>
            <w:vAlign w:val="bottom"/>
            <w:shd w:val="clear" w:color="auto" w:fill="CFF0FC"/>
          </w:tcPr>
          <w:p>
            <w:pPr>
              <w:jc w:val="center"/>
              <w:ind w:left="1734"/>
              <w:spacing w:after="0"/>
              <w:rPr>
                <w:sz w:val="20"/>
                <w:szCs w:val="20"/>
                <w:color w:val="auto"/>
              </w:rPr>
            </w:pPr>
            <w:r>
              <w:rPr>
                <w:rFonts w:ascii="Arial" w:cs="Arial" w:eastAsia="Arial" w:hAnsi="Arial"/>
                <w:sz w:val="18"/>
                <w:szCs w:val="18"/>
                <w:color w:val="auto"/>
                <w:w w:val="88"/>
              </w:rPr>
              <w:t>5 years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21"/>
                <w:szCs w:val="2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Lab equipment</w:t>
            </w:r>
          </w:p>
        </w:tc>
        <w:tc>
          <w:tcPr>
            <w:tcW w:w="3580" w:type="dxa"/>
            <w:vAlign w:val="bottom"/>
          </w:tcPr>
          <w:p>
            <w:pPr>
              <w:jc w:val="center"/>
              <w:ind w:left="1734"/>
              <w:spacing w:after="0"/>
              <w:rPr>
                <w:sz w:val="20"/>
                <w:szCs w:val="20"/>
                <w:color w:val="auto"/>
              </w:rPr>
            </w:pPr>
            <w:r>
              <w:rPr>
                <w:rFonts w:ascii="Arial" w:cs="Arial" w:eastAsia="Arial" w:hAnsi="Arial"/>
                <w:sz w:val="18"/>
                <w:szCs w:val="18"/>
                <w:color w:val="auto"/>
                <w:w w:val="88"/>
              </w:rPr>
              <w:t>5 years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0"/>
                <w:szCs w:val="20"/>
                <w:color w:val="auto"/>
              </w:rPr>
            </w:pPr>
          </w:p>
        </w:tc>
      </w:tr>
      <w:tr>
        <w:trPr>
          <w:trHeight w:val="24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3580" w:type="dxa"/>
            <w:vAlign w:val="bottom"/>
            <w:shd w:val="clear" w:color="auto" w:fill="CFF0FC"/>
          </w:tcPr>
          <w:p>
            <w:pPr>
              <w:jc w:val="center"/>
              <w:ind w:left="1734"/>
              <w:spacing w:after="0"/>
              <w:rPr>
                <w:sz w:val="20"/>
                <w:szCs w:val="20"/>
                <w:color w:val="auto"/>
              </w:rPr>
            </w:pPr>
            <w:r>
              <w:rPr>
                <w:rFonts w:ascii="Arial" w:cs="Arial" w:eastAsia="Arial" w:hAnsi="Arial"/>
                <w:sz w:val="18"/>
                <w:szCs w:val="18"/>
                <w:color w:val="auto"/>
                <w:w w:val="88"/>
              </w:rPr>
              <w:t>7 years</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FF0FC"/>
          </w:tcPr>
          <w:p>
            <w:pPr>
              <w:spacing w:after="0"/>
              <w:rPr>
                <w:sz w:val="21"/>
                <w:szCs w:val="2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580" w:type="dxa"/>
            <w:vAlign w:val="bottom"/>
          </w:tcPr>
          <w:p>
            <w:pPr>
              <w:jc w:val="center"/>
              <w:ind w:left="1734"/>
              <w:spacing w:after="0"/>
              <w:rPr>
                <w:sz w:val="20"/>
                <w:szCs w:val="20"/>
                <w:color w:val="auto"/>
              </w:rPr>
            </w:pPr>
            <w:r>
              <w:rPr>
                <w:rFonts w:ascii="Arial" w:cs="Arial" w:eastAsia="Arial" w:hAnsi="Arial"/>
                <w:sz w:val="18"/>
                <w:szCs w:val="18"/>
                <w:color w:val="auto"/>
                <w:w w:val="85"/>
              </w:rPr>
              <w:t>lease term</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r>
      <w:tr>
        <w:trPr>
          <w:trHeight w:val="236"/>
        </w:trPr>
        <w:tc>
          <w:tcPr>
            <w:tcW w:w="4660" w:type="dxa"/>
            <w:vAlign w:val="bottom"/>
            <w:shd w:val="clear" w:color="auto" w:fill="CFF0FC"/>
          </w:tcPr>
          <w:p>
            <w:pPr>
              <w:spacing w:after="0"/>
              <w:rPr>
                <w:sz w:val="20"/>
                <w:szCs w:val="20"/>
                <w:color w:val="auto"/>
              </w:rPr>
            </w:pPr>
          </w:p>
        </w:tc>
        <w:tc>
          <w:tcPr>
            <w:tcW w:w="3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FF0FC"/>
          </w:tcPr>
          <w:p>
            <w:pPr>
              <w:spacing w:after="0"/>
              <w:rPr>
                <w:sz w:val="20"/>
                <w:szCs w:val="20"/>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(1,144 )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(914 )</w:t>
            </w:r>
          </w:p>
        </w:tc>
      </w:tr>
      <w:tr>
        <w:trPr>
          <w:trHeight w:val="277"/>
        </w:trPr>
        <w:tc>
          <w:tcPr>
            <w:tcW w:w="4660" w:type="dxa"/>
            <w:vAlign w:val="bottom"/>
            <w:tcBorders>
              <w:bottom w:val="single" w:sz="8" w:color="CFF0FC"/>
            </w:tcBorders>
            <w:shd w:val="clear" w:color="auto" w:fill="CFF0FC"/>
          </w:tcPr>
          <w:p>
            <w:pPr>
              <w:spacing w:after="0"/>
              <w:rPr>
                <w:sz w:val="24"/>
                <w:szCs w:val="24"/>
                <w:color w:val="auto"/>
              </w:rPr>
            </w:pPr>
          </w:p>
        </w:tc>
        <w:tc>
          <w:tcPr>
            <w:tcW w:w="35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Depreciation expense was $0.1 million and $0.2 million for the three and nine months ended September 30, 2023, respectively. Depreciation expense was $0.1 million and $0.2 million for the three and nine months ended September 30, 2022, respectively. In addition, for the three and nine months ended September 30, 2023, there was less than $0.1 million and $0.1 million, respectively, of depreciation related to sublet assets recorded as other expense. For the three and nine months ended September 30, 2022, there was less than $0.1 million and $0.1 million, respectively, of depreciation related to sublet assets recorded as other expense.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6.</w:t>
            </w:r>
          </w:p>
        </w:tc>
        <w:tc>
          <w:tcPr>
            <w:tcW w:w="7400" w:type="dxa"/>
            <w:vAlign w:val="bottom"/>
          </w:tcPr>
          <w:p>
            <w:pPr>
              <w:ind w:left="180"/>
              <w:spacing w:after="0"/>
              <w:rPr>
                <w:sz w:val="20"/>
                <w:szCs w:val="20"/>
                <w:color w:val="auto"/>
              </w:rPr>
            </w:pPr>
            <w:r>
              <w:rPr>
                <w:rFonts w:ascii="Arial" w:cs="Arial" w:eastAsia="Arial" w:hAnsi="Arial"/>
                <w:sz w:val="18"/>
                <w:szCs w:val="18"/>
                <w:b w:val="1"/>
                <w:bCs w:val="1"/>
                <w:color w:val="auto"/>
              </w:rPr>
              <w:t>Accrued Expenses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2"/>
        </w:trPr>
        <w:tc>
          <w:tcPr>
            <w:tcW w:w="34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25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ind w:right="276"/>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24"/>
                <w:szCs w:val="24"/>
                <w:color w:val="auto"/>
              </w:rPr>
            </w:pPr>
          </w:p>
        </w:tc>
      </w:tr>
      <w:tr>
        <w:trPr>
          <w:trHeight w:val="185"/>
        </w:trPr>
        <w:tc>
          <w:tcPr>
            <w:tcW w:w="34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3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58"/>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74"/>
              </w:rPr>
              <w:t>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2,841</w:t>
            </w:r>
          </w:p>
        </w:tc>
        <w:tc>
          <w:tcPr>
            <w:tcW w:w="6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5,921</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Accrued payroll and related expenses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Accrued other</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4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5,094</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8,408</w:t>
            </w:r>
          </w:p>
        </w:tc>
        <w:tc>
          <w:tcPr>
            <w:tcW w:w="10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91"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Prefunded Warrants</w:t>
      </w:r>
    </w:p>
    <w:p>
      <w:pPr>
        <w:spacing w:after="0" w:line="117"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On May 28, 2020, the Company entered into a securities purchase agreement with certain accredited investors (the “Purchasers”) for the sale by the Company in a private placement of 6,105,359 shares of the Company’s common stock and prefunded warrants to purchase an aggregate of 628,403 shares of the Company’s common stock, for a price of $11.88 per share of the common stock and $11.87 per prefunded warrant. The prefunded warrants are exercisable at an exercise price of $0.01 and are exercisable indefinitely. The Purchasers may exercise the prefunded warrants on a cashless basis in the event that there is no effective registration statement covering the resale of the shares of common stock underlying the prefunded warrants on the date in which the Company is required to deliver the shares. The private placement closed on June 1, 2020. The aggregate gross proceeds for the issuance and sale of the common stock and prefunded warrants were $80.0 million, transaction costs totaled $4.6 million and resulted in net proceeds of $75.4 million. The Company’s Registration Statement on Form S-3, filed with the SEC on June 26, 2020, registered the resale of 6,105,359 shares of common stock sold and the 628,403 shares of common stock underlying the prefunded warrants. MTS Health Partners served as placement agent to the Company in connection with the private placement. As partial compensation for these services, the Company issued MTS Health Partners 35,260 shares of common stock. In August 2023, the 628,403 shares of prefunded warrants were exercised and the Company received cash proceeds of six thousand two hundred and eighty-four dollars.</w:t>
      </w:r>
    </w:p>
    <w:p>
      <w:pPr>
        <w:spacing w:after="0" w:line="7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As of September 30, 2023, the Company’s Certificate of Incorporation, as amended and restated, authorized the Company to issue up to 115,000,000 shares of common stock, par value $0.001 per share, of which 43,905,903 shares were issued and outstanding, and up to 5,000,000 shares of $0.001 par value undesignated preferred stock, of which no shares were issued or outstanding. The voting, dividend, and liquidation rights of the holders of the Company’s common stock are subject to and qualified by the rights, powers, and preferences of the holders of the preferred stock, if any.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spacing w:after="0" w:line="8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In September 2022, the Company sold 25,558,750 shares of common stock at an offering price of $3.15 per share and received net proceeds, net of underwriting discounts and commissions and offering costs of $75.2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ATM Agreement</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On November 10, 2022, the Company entered into a sales agreement (the "ATM Agreement") with Guggenheim Securities, LLC in connection with the establishment of an “at-the-market” offering program under which the Company may sell up to an aggregate of $50.0 million of shares of common stock (the “ATM Shares”) from time to time.</w:t>
      </w:r>
    </w:p>
    <w:p>
      <w:pPr>
        <w:spacing w:after="0" w:line="76" w:lineRule="exact"/>
        <w:rPr>
          <w:sz w:val="20"/>
          <w:szCs w:val="20"/>
          <w:color w:val="auto"/>
        </w:rPr>
      </w:pPr>
    </w:p>
    <w:p>
      <w:pPr>
        <w:ind w:right="300" w:firstLine="509"/>
        <w:spacing w:after="0" w:line="286" w:lineRule="auto"/>
        <w:rPr>
          <w:sz w:val="20"/>
          <w:szCs w:val="20"/>
          <w:color w:val="auto"/>
        </w:rPr>
      </w:pPr>
      <w:r>
        <w:rPr>
          <w:rFonts w:ascii="Arial" w:cs="Arial" w:eastAsia="Arial" w:hAnsi="Arial"/>
          <w:sz w:val="16"/>
          <w:szCs w:val="16"/>
          <w:color w:val="auto"/>
        </w:rPr>
        <w:t>Under the ATM Agreement, the Company sets the parameters for the sale of ATM Shares, including the number of ATM Shares to be issued, the time period during which sales are requested to be made, limitations on the number of ATM Shares that may be sold in any one trading day and any minimum price below which sales may not be made. Sales of the ATM Shares, if any, under the ATM Agreement may be made in transactions that are deemed to be “at-the-market offerings” as defined in Rule 415 under the Securities Act. The Company pays its investment bank a commission equal to</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3.0% of the gross proceeds of any ATM Shares sold through its investment bank under the ATM Agreement and reimburses the investment bank for certain specified expenses. The ATM Agreement contains customary representations, warranties and agreements by the Company, indemnification obligations of the Company and its investment bank, other customary obligations of the parties and termination provisions. The Company has no obligation to sell any of the ATM Shares and may at any time suspend offers under the ATM Agreement.</w:t>
      </w:r>
    </w:p>
    <w:p>
      <w:pPr>
        <w:spacing w:after="0" w:line="85"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The ATM Shares will be offered and sold pursuant to the Company’s Registration Statement on Form S-3, filed by the Company on November 10, 2022 and effective as of November 21, 2022 (the “Registration Statement”), and the sales agreement prospectus that forms a part of such Registration Statement. As of the date of this Quarterly Report on Form 10-Q, no ATM Shares have been sold pursuant to the ATM Agreement.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The Board adopted the 2020 Equity Incentive Plan (the "2020 Plan") on July 16, 2020 and the stockholders of the Company approved the 2020 Plan on September 29, 2020. The 2020 Plan replaces the predecessor plans (the "Prior Plans") that the Company assumed following its merger with Zafgen in May 2020. Options outstanding under the Prior Plans will remain outstanding, unchanged, and subject to the terms of the Prior Plans and the respective award agreements, and no further awards will be made under the Prior Plans.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spacing w:after="0" w:line="70"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The 2020 Plan provides for the grant of incentive stock options (“ISOs”), nonstatutory stock options, stock appreciation rights, restricted stock awards, restricted stock unit ("RSU") awards, and cash or other stock-based awards. ISOs may be granted only to the Company’s employees, including the Company’s officers, and the Company's employees, as well as officers and employees of its affiliates. All other awards may be granted to the Company’s employees, including the Company’s officers, the Company’s non-employee directors and consultants, and the employees and consultants of the Company’s affiliates.</w:t>
      </w:r>
    </w:p>
    <w:p>
      <w:pPr>
        <w:spacing w:after="0" w:line="80"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or (B) such smaller number of shares as determined by the Board (collectively, the “Plan Limit”). The maximum aggregate number of shares that may be issued under the 2020 Plan is 8,000,000 over the ten-year term of the 2020 Plan.</w:t>
      </w:r>
    </w:p>
    <w:p>
      <w:pPr>
        <w:spacing w:after="0" w:line="49" w:lineRule="exact"/>
        <w:rPr>
          <w:sz w:val="20"/>
          <w:szCs w:val="20"/>
          <w:color w:val="auto"/>
        </w:rPr>
      </w:pPr>
    </w:p>
    <w:p>
      <w:pPr>
        <w:ind w:right="500" w:firstLine="509"/>
        <w:spacing w:after="0" w:line="342" w:lineRule="auto"/>
        <w:rPr>
          <w:sz w:val="20"/>
          <w:szCs w:val="20"/>
          <w:color w:val="auto"/>
        </w:rPr>
      </w:pPr>
      <w:r>
        <w:rPr>
          <w:rFonts w:ascii="Arial" w:cs="Arial" w:eastAsia="Arial" w:hAnsi="Arial"/>
          <w:sz w:val="16"/>
          <w:szCs w:val="16"/>
          <w:color w:val="auto"/>
        </w:rPr>
        <w:t>As permitted by the 2020 Plan, the Company added 1,730,768 and 708,418 shares available for grant to the 2020 Plan on January 1, 2023 and January 1, 2022, respectively. As of September 30, 2023, 1,106,459 shares of common stock were available for grant under the 2020 Plan.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following table presents, on a weighted average basis, the assumptions used in the Black-Scholes option-pricing model to determine the grant-date fair value of stock options granted to employees: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60" w:type="dxa"/>
            <w:vAlign w:val="bottom"/>
          </w:tcPr>
          <w:p>
            <w:pPr>
              <w:spacing w:after="0"/>
              <w:rPr>
                <w:sz w:val="15"/>
                <w:szCs w:val="15"/>
                <w:color w:val="auto"/>
              </w:rPr>
            </w:pPr>
          </w:p>
        </w:tc>
        <w:tc>
          <w:tcPr>
            <w:tcW w:w="1980" w:type="dxa"/>
            <w:vAlign w:val="bottom"/>
          </w:tcPr>
          <w:p>
            <w:pPr>
              <w:ind w:left="560"/>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906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r>
      <w:tr>
        <w:trPr>
          <w:trHeight w:val="237"/>
        </w:trPr>
        <w:tc>
          <w:tcPr>
            <w:tcW w:w="9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3.69%</w:t>
            </w:r>
          </w:p>
        </w:tc>
      </w:tr>
      <w:tr>
        <w:trPr>
          <w:trHeight w:val="237"/>
        </w:trPr>
        <w:tc>
          <w:tcPr>
            <w:tcW w:w="90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980" w:type="dxa"/>
            <w:vAlign w:val="bottom"/>
          </w:tcPr>
          <w:p>
            <w:pPr>
              <w:jc w:val="center"/>
              <w:spacing w:after="0"/>
              <w:rPr>
                <w:sz w:val="20"/>
                <w:szCs w:val="20"/>
                <w:color w:val="auto"/>
              </w:rPr>
            </w:pPr>
            <w:r>
              <w:rPr>
                <w:rFonts w:ascii="Arial" w:cs="Arial" w:eastAsia="Arial" w:hAnsi="Arial"/>
                <w:sz w:val="18"/>
                <w:szCs w:val="18"/>
                <w:color w:val="auto"/>
                <w:w w:val="85"/>
              </w:rPr>
              <w:t>6.24</w:t>
            </w:r>
          </w:p>
        </w:tc>
      </w:tr>
      <w:tr>
        <w:trPr>
          <w:trHeight w:val="249"/>
        </w:trPr>
        <w:tc>
          <w:tcPr>
            <w:tcW w:w="9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94%</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0.00%</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following table summarizes the Company’s stock option activity for the nine months ended September 30, 2023 (amounts in millions, except for share, contractual term, and per 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5"/>
                <w:szCs w:val="15"/>
                <w:color w:val="auto"/>
              </w:rPr>
            </w:pPr>
          </w:p>
        </w:tc>
      </w:tr>
      <w:tr>
        <w:trPr>
          <w:trHeight w:val="175"/>
        </w:trPr>
        <w:tc>
          <w:tcPr>
            <w:tcW w:w="5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5"/>
                <w:szCs w:val="15"/>
                <w:color w:val="auto"/>
              </w:rPr>
            </w:pPr>
          </w:p>
        </w:tc>
      </w:tr>
      <w:tr>
        <w:trPr>
          <w:trHeight w:val="175"/>
        </w:trPr>
        <w:tc>
          <w:tcPr>
            <w:tcW w:w="568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Value (a)</w:t>
            </w:r>
          </w:p>
        </w:tc>
        <w:tc>
          <w:tcPr>
            <w:tcW w:w="100" w:type="dxa"/>
            <w:vAlign w:val="bottom"/>
          </w:tcPr>
          <w:p>
            <w:pPr>
              <w:spacing w:after="0"/>
              <w:rPr>
                <w:sz w:val="15"/>
                <w:szCs w:val="15"/>
                <w:color w:val="auto"/>
              </w:rPr>
            </w:pPr>
          </w:p>
        </w:tc>
      </w:tr>
      <w:tr>
        <w:trPr>
          <w:trHeight w:val="185"/>
        </w:trPr>
        <w:tc>
          <w:tcPr>
            <w:tcW w:w="5680" w:type="dxa"/>
            <w:vAlign w:val="bottom"/>
          </w:tcPr>
          <w:p>
            <w:pPr>
              <w:spacing w:after="0"/>
              <w:rPr>
                <w:sz w:val="16"/>
                <w:szCs w:val="16"/>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r>
      <w:tr>
        <w:trPr>
          <w:trHeight w:val="237"/>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as of December 31, 2022</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3,071,528</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22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680" w:type="dxa"/>
            <w:vAlign w:val="bottom"/>
          </w:tcPr>
          <w:p>
            <w:pPr>
              <w:ind w:left="380"/>
              <w:spacing w:after="0"/>
              <w:rPr>
                <w:sz w:val="20"/>
                <w:szCs w:val="20"/>
                <w:color w:val="auto"/>
              </w:rPr>
            </w:pPr>
            <w:r>
              <w:rPr>
                <w:rFonts w:ascii="Arial" w:cs="Arial" w:eastAsia="Arial" w:hAnsi="Arial"/>
                <w:sz w:val="18"/>
                <w:szCs w:val="18"/>
                <w:color w:val="auto"/>
              </w:rPr>
              <w:t>Options 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1,688,400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Options exercised</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(8,300 )</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680" w:type="dxa"/>
            <w:vAlign w:val="bottom"/>
          </w:tcPr>
          <w:p>
            <w:pPr>
              <w:ind w:left="380"/>
              <w:spacing w:after="0"/>
              <w:rPr>
                <w:sz w:val="20"/>
                <w:szCs w:val="20"/>
                <w:color w:val="auto"/>
              </w:rPr>
            </w:pPr>
            <w:r>
              <w:rPr>
                <w:rFonts w:ascii="Arial" w:cs="Arial" w:eastAsia="Arial" w:hAnsi="Arial"/>
                <w:sz w:val="18"/>
                <w:szCs w:val="18"/>
                <w:color w:val="auto"/>
              </w:rPr>
              <w:t>Options forfeited/expired/exercised</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(265,631 )</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12.79</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6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as of September 30, 2023</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4,485,997</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1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4"/>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Exercisable as of September 30, 2023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2,063,351</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Vested and expected to vest as of September 30, 2023</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4,485,997</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1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-385445</wp:posOffset>
            </wp:positionV>
            <wp:extent cx="77470"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4" w:lineRule="exact"/>
        <w:rPr>
          <w:sz w:val="20"/>
          <w:szCs w:val="20"/>
          <w:color w:val="auto"/>
        </w:rPr>
      </w:pPr>
    </w:p>
    <w:p>
      <w:pPr>
        <w:ind w:left="1260" w:right="140" w:hanging="503"/>
        <w:spacing w:after="0" w:line="277" w:lineRule="auto"/>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fair value of the common stock for the options that were "in the money" at September 30,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ind w:right="1940" w:firstLine="509"/>
        <w:spacing w:after="0" w:line="375" w:lineRule="auto"/>
        <w:rPr>
          <w:sz w:val="20"/>
          <w:szCs w:val="20"/>
          <w:color w:val="auto"/>
        </w:rPr>
      </w:pPr>
      <w:r>
        <w:rPr>
          <w:rFonts w:ascii="Arial" w:cs="Arial" w:eastAsia="Arial" w:hAnsi="Arial"/>
          <w:sz w:val="18"/>
          <w:szCs w:val="18"/>
          <w:color w:val="auto"/>
        </w:rPr>
        <w:t xml:space="preserve">At December 31, 2022, the aggregate intrinsic value of outstanding options granted under the 2020 Plan was $0.3 million. </w:t>
      </w:r>
      <w:r>
        <w:rPr>
          <w:rFonts w:ascii="Arial" w:cs="Arial" w:eastAsia="Arial" w:hAnsi="Arial"/>
          <w:sz w:val="18"/>
          <w:szCs w:val="18"/>
          <w:b w:val="1"/>
          <w:bCs w:val="1"/>
          <w:i w:val="1"/>
          <w:iCs w:val="1"/>
          <w:color w:val="auto"/>
        </w:rPr>
        <w:t>Option Grants</w:t>
      </w:r>
    </w:p>
    <w:p>
      <w:pPr>
        <w:spacing w:after="0" w:line="1"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During the nine months ended September 30, 2023, the Company granted options to purchase 1,328,400 shares of common stock to employees under the 2020 Plan. The options have an exercise price equal to the closing stock price as of the grant date, and vest over four years, with 25% vesting on the first anniversary of the grant and the remainder vesting in equal monthly installments thereafter. The weighted-average grant date fair value of options granted under the 2020 Plan during the nine months ended September 30, 2023 was $2.95.</w:t>
      </w:r>
    </w:p>
    <w:p>
      <w:pPr>
        <w:spacing w:after="0" w:line="63"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As of September 30, 2023, total unrecognized compensation expense related to unvested stock options granted under the 2020 Plan was $10.3 million, which is expected to be recognized over a weighted average period of 2.22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Stock Option Grant</w:t>
      </w:r>
    </w:p>
    <w:p>
      <w:pPr>
        <w:spacing w:after="0" w:line="117"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During the nine months ended September 30, 2023, the Company granted options to purchase 360,000 shares of common stock granted outside of the 2020 Plan. These grants were made pursuant to the Nasdaq inducement grant exception in accordance with Nasdaq listing rule 5635(c)(4). The options issued under this inducement grant have an exercise price equal to the closing stock price as of the grant date, and vest over four years, with 25% vesting on the first anniversary of the grant and the remainder vesting in equal monthly installments thereafter. The weighted-average grant date fair value of options granted under this inducement grant during the nine months ended September 30, 2023 was $3.59.</w:t>
      </w:r>
    </w:p>
    <w:p>
      <w:pPr>
        <w:spacing w:after="0" w:line="53"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As of September 30, 2023, total unrecognized compensation expense related to unvested inducement options granted was $1.1 million, which is expected to be recognized over a weighted average period of 3.53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In January 2023, RSUs were granted under the 2020 Plan to the Company's employees in order to maintain retention of key employees. The value of an RSU award is based on the Company's stock price on the date of the grant. The shares underlying the RSUs are not issued until the RSUs vest.</w:t>
      </w:r>
    </w:p>
    <w:p>
      <w:pPr>
        <w:spacing w:after="0" w:line="16" w:lineRule="exact"/>
        <w:rPr>
          <w:sz w:val="20"/>
          <w:szCs w:val="20"/>
          <w:color w:val="auto"/>
        </w:rPr>
      </w:pPr>
    </w:p>
    <w:p>
      <w:pPr>
        <w:ind w:right="760" w:firstLine="509"/>
        <w:spacing w:after="0" w:line="277" w:lineRule="auto"/>
        <w:rPr>
          <w:sz w:val="20"/>
          <w:szCs w:val="20"/>
          <w:color w:val="auto"/>
        </w:rPr>
      </w:pPr>
      <w:r>
        <w:rPr>
          <w:rFonts w:ascii="Arial" w:cs="Arial" w:eastAsia="Arial" w:hAnsi="Arial"/>
          <w:sz w:val="18"/>
          <w:szCs w:val="18"/>
          <w:color w:val="auto"/>
        </w:rPr>
        <w:t>Activity with respect to the Company's RSUs during the nine months ended September 30, 2023 was as follows (in millions, except share, contractual term,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5"/>
                <w:szCs w:val="15"/>
                <w:color w:val="auto"/>
              </w:rPr>
            </w:pPr>
          </w:p>
        </w:tc>
      </w:tr>
      <w:tr>
        <w:trPr>
          <w:trHeight w:val="176"/>
        </w:trPr>
        <w:tc>
          <w:tcPr>
            <w:tcW w:w="5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42"/>
              <w:spacing w:after="0"/>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5"/>
                <w:szCs w:val="15"/>
                <w:color w:val="auto"/>
              </w:rPr>
            </w:pPr>
          </w:p>
        </w:tc>
      </w:tr>
      <w:tr>
        <w:trPr>
          <w:trHeight w:val="175"/>
        </w:trPr>
        <w:tc>
          <w:tcPr>
            <w:tcW w:w="5900" w:type="dxa"/>
            <w:vAlign w:val="bottom"/>
          </w:tcPr>
          <w:p>
            <w:pPr>
              <w:spacing w:after="0"/>
              <w:rPr>
                <w:sz w:val="15"/>
                <w:szCs w:val="15"/>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5"/>
                <w:szCs w:val="15"/>
                <w:color w:val="auto"/>
              </w:rPr>
            </w:pPr>
          </w:p>
        </w:tc>
        <w:tc>
          <w:tcPr>
            <w:tcW w:w="880" w:type="dxa"/>
            <w:vAlign w:val="bottom"/>
          </w:tcPr>
          <w:p>
            <w:pPr>
              <w:jc w:val="center"/>
              <w:ind w:right="59"/>
              <w:spacing w:after="0"/>
              <w:rPr>
                <w:sz w:val="20"/>
                <w:szCs w:val="20"/>
                <w:color w:val="auto"/>
              </w:rPr>
            </w:pPr>
            <w:r>
              <w:rPr>
                <w:rFonts w:ascii="Arial" w:cs="Arial" w:eastAsia="Arial" w:hAnsi="Arial"/>
                <w:sz w:val="14"/>
                <w:szCs w:val="14"/>
                <w:b w:val="1"/>
                <w:bCs w:val="1"/>
                <w:color w:val="auto"/>
                <w:w w:val="97"/>
              </w:rPr>
              <w:t>Grant Date</w:t>
            </w:r>
          </w:p>
        </w:tc>
        <w:tc>
          <w:tcPr>
            <w:tcW w:w="2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Value (a)</w:t>
            </w:r>
          </w:p>
        </w:tc>
        <w:tc>
          <w:tcPr>
            <w:tcW w:w="100" w:type="dxa"/>
            <w:vAlign w:val="bottom"/>
          </w:tcPr>
          <w:p>
            <w:pPr>
              <w:spacing w:after="0"/>
              <w:rPr>
                <w:sz w:val="15"/>
                <w:szCs w:val="15"/>
                <w:color w:val="auto"/>
              </w:rPr>
            </w:pPr>
          </w:p>
        </w:tc>
      </w:tr>
      <w:tr>
        <w:trPr>
          <w:trHeight w:val="185"/>
        </w:trPr>
        <w:tc>
          <w:tcPr>
            <w:tcW w:w="5900" w:type="dxa"/>
            <w:vAlign w:val="bottom"/>
          </w:tcPr>
          <w:p>
            <w:pPr>
              <w:spacing w:after="0"/>
              <w:rPr>
                <w:sz w:val="16"/>
                <w:szCs w:val="16"/>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80" w:type="dxa"/>
            <w:vAlign w:val="bottom"/>
          </w:tcPr>
          <w:p>
            <w:pPr>
              <w:jc w:val="center"/>
              <w:ind w:right="59"/>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Outstanding as of December 31, 2022</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Restricted stock units granted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650,000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Restricted stock units forfeited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(35,000 )</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as of September 30, 2023</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615,000</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4"/>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Unvested and expected to vest as of September 30,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615,000</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-205105</wp:posOffset>
            </wp:positionV>
            <wp:extent cx="77470"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20574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RSUs vest annually over four years and have a weighted-average grant date fair value of $4.94 per unit.</w:t>
      </w:r>
    </w:p>
    <w:p>
      <w:pPr>
        <w:spacing w:after="0" w:line="117"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auto"/>
        </w:rPr>
        <w:t>As of September 30, 2023, total unrecognized compensation expense for RSUs was $2.5 million, which is expected to be recognized over a weighted-average period of 3.34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classified in the condensed consolidated statements of operations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40" w:type="dxa"/>
            <w:vAlign w:val="bottom"/>
          </w:tcPr>
          <w:p>
            <w:pPr>
              <w:spacing w:after="0"/>
              <w:rPr>
                <w:sz w:val="15"/>
                <w:szCs w:val="15"/>
                <w:color w:val="auto"/>
              </w:rPr>
            </w:pPr>
          </w:p>
        </w:tc>
        <w:tc>
          <w:tcPr>
            <w:tcW w:w="2540" w:type="dxa"/>
            <w:vAlign w:val="bottom"/>
            <w:gridSpan w:val="5"/>
          </w:tcPr>
          <w:p>
            <w:pPr>
              <w:jc w:val="right"/>
              <w:ind w:right="75"/>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4"/>
          </w:tcPr>
          <w:p>
            <w:pPr>
              <w:jc w:val="right"/>
              <w:ind w:right="115"/>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FF0FC"/>
          </w:tcPr>
          <w:p>
            <w:pPr>
              <w:spacing w:after="0"/>
              <w:rPr>
                <w:sz w:val="21"/>
                <w:szCs w:val="21"/>
                <w:color w:val="auto"/>
              </w:rPr>
            </w:pPr>
          </w:p>
        </w:tc>
        <w:tc>
          <w:tcPr>
            <w:tcW w:w="140" w:type="dxa"/>
            <w:vAlign w:val="bottom"/>
            <w:vMerge w:val="continue"/>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1,124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84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1,821</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5,697</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-25400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Licenses</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Company is party to an exclusive License Agreement (the “WFUHS License”), dated November 30, 2016, as amended,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 with respect to the development of nomlabofusp. Both agreements continue from their effective date through the last to date of expiration of the licensed patents, unless earlier terminated by either party in accordance with their terms.</w:t>
      </w:r>
    </w:p>
    <w:p>
      <w:pPr>
        <w:spacing w:after="0" w:line="80" w:lineRule="exact"/>
        <w:rPr>
          <w:sz w:val="20"/>
          <w:szCs w:val="20"/>
          <w:color w:val="auto"/>
        </w:rPr>
      </w:pPr>
    </w:p>
    <w:p>
      <w:pPr>
        <w:ind w:right="120" w:firstLine="509"/>
        <w:spacing w:after="0" w:line="289" w:lineRule="auto"/>
        <w:rPr>
          <w:sz w:val="20"/>
          <w:szCs w:val="20"/>
          <w:color w:val="auto"/>
        </w:rPr>
      </w:pPr>
      <w:r>
        <w:rPr>
          <w:rFonts w:ascii="Arial" w:cs="Arial" w:eastAsia="Arial" w:hAnsi="Arial"/>
          <w:sz w:val="16"/>
          <w:szCs w:val="16"/>
          <w:color w:val="auto"/>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 million in the aggregate upon the achievement of certain developmental milestones, which commenced with the enrollment of the first patient in a Phase 1 clinical trial. The Company enrolled the first patient in its SAD trial on December 11, 2019 and paid WFUHS and IU less than $0.1 million.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w:t>
      </w:r>
    </w:p>
    <w:p>
      <w:pPr>
        <w:spacing w:after="0" w:line="58"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spacing w:after="0" w:line="76"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In October 2022, the Company initiated dosing of a Phase 2 study. Pursuant to the terms of both the WFUHS License and the IU License, the company recognized milestone expense of $0.3 million within research and development expenses.</w:t>
      </w:r>
    </w:p>
    <w:p>
      <w:pPr>
        <w:spacing w:after="0" w:line="62"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Both agreements continue from their effective date through the last date of expiration of the licensed patents, unless earlier terminated by either party in accordance with their terms.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On November 5, 2018, the Company entered into an operating lease for office and lab space in Philadelphia, Pennsylvania, effective as of January 1, 2019, and expiring on December 31, 2020 with an option to extend the lease for two additional years. On August 4, 2020, the Company executed the first option to extend the lease for an additional year, expiring on December 31, 2021. On August 9, 2021, the Company executed the remaining option to extend the lease for an additional year, expiring on December 31, 2022. In January 2023, the Company executed an extension of this lease for an additional year, expiring on December 31, 2023. The Company has determined this lease extension qualifies as a short-term lease and have applied the accounting policy election to not record the related right-of-use asset and lease liabilities.</w:t>
      </w:r>
    </w:p>
    <w:p>
      <w:pPr>
        <w:spacing w:after="0" w:line="70"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immediate possession of the leased property and the lease term commenced on February 15, 2020.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ind w:right="20" w:firstLine="509"/>
        <w:spacing w:after="0" w:line="255" w:lineRule="auto"/>
        <w:rPr>
          <w:sz w:val="20"/>
          <w:szCs w:val="20"/>
          <w:color w:val="auto"/>
        </w:rPr>
      </w:pPr>
      <w:r>
        <w:rPr>
          <w:rFonts w:ascii="Arial" w:cs="Arial" w:eastAsia="Arial" w:hAnsi="Arial"/>
          <w:sz w:val="18"/>
          <w:szCs w:val="18"/>
          <w:color w:val="auto"/>
        </w:rPr>
        <w:t>On March 9, 2023, the Company executed the option to extend the office space lease for an additional three year term and to lease additional office space. The lease term commenced on September 1, 2023 for the extension of the current lease and October 1, 2023 for the lease of additional office space. In September 2023, upon the commencement of the lease extension, the Company recorded a right of use asset and lease liability of $0.5 million, which are reflected in these condensed consolidated financial statements. In October 2023, upon the commencement of the lease of the additional office, the Company recorded a right of use asset and lease liability of $0.3 million. This right of use asset and lease liability will be reflected in the financial statements for the year ended December 31, 2023.</w:t>
      </w:r>
    </w:p>
    <w:p>
      <w:pPr>
        <w:spacing w:after="0" w:line="84" w:lineRule="exact"/>
        <w:rPr>
          <w:sz w:val="20"/>
          <w:szCs w:val="20"/>
          <w:color w:val="auto"/>
        </w:rPr>
      </w:pPr>
    </w:p>
    <w:p>
      <w:pPr>
        <w:ind w:right="80" w:firstLine="509"/>
        <w:spacing w:after="0" w:line="262" w:lineRule="auto"/>
        <w:rPr>
          <w:sz w:val="20"/>
          <w:szCs w:val="20"/>
          <w:color w:val="auto"/>
        </w:rPr>
      </w:pPr>
      <w:r>
        <w:rPr>
          <w:rFonts w:ascii="Arial" w:cs="Arial" w:eastAsia="Arial" w:hAnsi="Arial"/>
          <w:sz w:val="18"/>
          <w:szCs w:val="18"/>
          <w:color w:val="auto"/>
        </w:rPr>
        <w:t>On May 28, 2020, the Company acquired a non-cancellable operating lease for approximately 17,705 square feet of office space (the “Premises”). The lease expires on October 30, 2029. As part of the agreement, the Company is required to maintain a letter of credit, which upon signing was $1.3 million and is classified as restricted cash within the condensed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other income/(expense) over the remaining lease term as a result of the sublease described below.</w:t>
      </w:r>
    </w:p>
    <w:p>
      <w:pPr>
        <w:spacing w:after="0" w:line="75"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On October 27, 2020, the Company entered into a sublease agreement (the “Sublease”) with Massachusetts Municipal Association, Inc. (the “Subtenant”), whereby the Company sublet the entire Premises to the Subtenant. The initial term of the Sublease commenced on December 4, 2020 and continues until October 30, 2029. In connection with the Sublease, the Company evaluated the need for impairment under ASC 360 "</w:t>
      </w:r>
      <w:r>
        <w:rPr>
          <w:rFonts w:ascii="Arial" w:cs="Arial" w:eastAsia="Arial" w:hAnsi="Arial"/>
          <w:sz w:val="17"/>
          <w:szCs w:val="17"/>
          <w:i w:val="1"/>
          <w:iCs w:val="1"/>
          <w:color w:val="auto"/>
        </w:rPr>
        <w:t>Impairment Testing: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Long-Lived Assets Classified as Held and Used," </w:t>
      </w:r>
      <w:r>
        <w:rPr>
          <w:rFonts w:ascii="Arial" w:cs="Arial" w:eastAsia="Arial" w:hAnsi="Arial"/>
          <w:sz w:val="17"/>
          <w:szCs w:val="17"/>
          <w:color w:val="auto"/>
        </w:rPr>
        <w:t>and determined there was no impairment.</w:t>
      </w:r>
    </w:p>
    <w:p>
      <w:pPr>
        <w:spacing w:after="0" w:line="63"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The Sublease provided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 The Company records sublease income on this sublease on a straight-line basis as a component of other income/(expense).</w:t>
      </w:r>
    </w:p>
    <w:p>
      <w:pPr>
        <w:spacing w:after="0" w:line="56"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Expense arising from operating leases was $0.1 million and $0.2 million during the three and nine months ended September 30, 2023, respectively. Expense arising from operating leases was $0.1 million and $0.2 million during the three and nine months ended September 30, 2022, respectively. For operating leases, the weighted-average remaining lease term for leases at September 30, 2023 and December 31, 2022 was 5.9 and 6.8 years, respectively. For operating leases, the weighted average discount rate for leases at September 30, 2023 and December 31, 2022 was 11.0%. The Company has not entered into any financing leases.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lease liabilities due under these lease agreements as of September 30, 2023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Operating</w:t>
            </w:r>
          </w:p>
        </w:tc>
      </w:tr>
      <w:tr>
        <w:trPr>
          <w:trHeight w:val="185"/>
        </w:trPr>
        <w:tc>
          <w:tcPr>
            <w:tcW w:w="92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Leases</w:t>
            </w:r>
          </w:p>
        </w:tc>
      </w:tr>
      <w:tr>
        <w:trPr>
          <w:trHeight w:val="24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Three months ending December 31, 2023</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21"/>
                <w:szCs w:val="21"/>
                <w:color w:val="auto"/>
              </w:rPr>
            </w:pPr>
          </w:p>
        </w:tc>
      </w:tr>
      <w:tr>
        <w:trPr>
          <w:trHeight w:val="237"/>
        </w:trPr>
        <w:tc>
          <w:tcPr>
            <w:tcW w:w="9240" w:type="dxa"/>
            <w:vAlign w:val="bottom"/>
          </w:tcPr>
          <w:p>
            <w:pPr>
              <w:ind w:left="20"/>
              <w:spacing w:after="0"/>
              <w:rPr>
                <w:sz w:val="20"/>
                <w:szCs w:val="20"/>
                <w:color w:val="auto"/>
              </w:rPr>
            </w:pPr>
            <w:r>
              <w:rPr>
                <w:rFonts w:ascii="Arial" w:cs="Arial" w:eastAsia="Arial" w:hAnsi="Arial"/>
                <w:sz w:val="18"/>
                <w:szCs w:val="18"/>
                <w:color w:val="auto"/>
              </w:rPr>
              <w:t>Year ended December 31, 2024</w:t>
            </w: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0"/>
                <w:szCs w:val="20"/>
                <w:color w:val="auto"/>
              </w:rPr>
            </w:pP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ended December 31, 2025</w:t>
            </w:r>
          </w:p>
        </w:tc>
        <w:tc>
          <w:tcPr>
            <w:tcW w:w="3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FF0FC"/>
          </w:tcPr>
          <w:p>
            <w:pPr>
              <w:spacing w:after="0"/>
              <w:rPr>
                <w:sz w:val="21"/>
                <w:szCs w:val="21"/>
                <w:color w:val="auto"/>
              </w:rPr>
            </w:pPr>
          </w:p>
        </w:tc>
      </w:tr>
      <w:tr>
        <w:trPr>
          <w:trHeight w:val="237"/>
        </w:trPr>
        <w:tc>
          <w:tcPr>
            <w:tcW w:w="9240" w:type="dxa"/>
            <w:vAlign w:val="bottom"/>
          </w:tcPr>
          <w:p>
            <w:pPr>
              <w:ind w:left="20"/>
              <w:spacing w:after="0"/>
              <w:rPr>
                <w:sz w:val="20"/>
                <w:szCs w:val="20"/>
                <w:color w:val="auto"/>
              </w:rPr>
            </w:pPr>
            <w:r>
              <w:rPr>
                <w:rFonts w:ascii="Arial" w:cs="Arial" w:eastAsia="Arial" w:hAnsi="Arial"/>
                <w:sz w:val="18"/>
                <w:szCs w:val="18"/>
                <w:color w:val="auto"/>
              </w:rPr>
              <w:t>Year ended December 31, 2026</w:t>
            </w: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0"/>
                <w:szCs w:val="20"/>
                <w:color w:val="auto"/>
              </w:rPr>
            </w:pP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ended December 31, 2027</w:t>
            </w:r>
          </w:p>
        </w:tc>
        <w:tc>
          <w:tcPr>
            <w:tcW w:w="3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FF0FC"/>
          </w:tcPr>
          <w:p>
            <w:pPr>
              <w:spacing w:after="0"/>
              <w:rPr>
                <w:sz w:val="21"/>
                <w:szCs w:val="21"/>
                <w:color w:val="auto"/>
              </w:rPr>
            </w:pPr>
          </w:p>
        </w:tc>
      </w:tr>
      <w:tr>
        <w:trPr>
          <w:trHeight w:val="237"/>
        </w:trPr>
        <w:tc>
          <w:tcPr>
            <w:tcW w:w="92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20"/>
                <w:szCs w:val="20"/>
                <w:color w:val="auto"/>
              </w:rPr>
            </w:pPr>
          </w:p>
        </w:tc>
      </w:tr>
      <w:tr>
        <w:trPr>
          <w:trHeight w:val="243"/>
        </w:trPr>
        <w:tc>
          <w:tcPr>
            <w:tcW w:w="9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lease payments</w:t>
            </w:r>
          </w:p>
        </w:tc>
        <w:tc>
          <w:tcPr>
            <w:tcW w:w="3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7,258</w:t>
            </w:r>
          </w:p>
        </w:tc>
        <w:tc>
          <w:tcPr>
            <w:tcW w:w="100" w:type="dxa"/>
            <w:vAlign w:val="bottom"/>
            <w:shd w:val="clear" w:color="auto" w:fill="CFF0FC"/>
          </w:tcPr>
          <w:p>
            <w:pPr>
              <w:spacing w:after="0"/>
              <w:rPr>
                <w:sz w:val="21"/>
                <w:szCs w:val="21"/>
                <w:color w:val="auto"/>
              </w:rPr>
            </w:pPr>
          </w:p>
        </w:tc>
      </w:tr>
      <w:tr>
        <w:trPr>
          <w:trHeight w:val="237"/>
        </w:trPr>
        <w:tc>
          <w:tcPr>
            <w:tcW w:w="92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6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(1,868 )</w:t>
            </w:r>
          </w:p>
        </w:tc>
      </w:tr>
      <w:tr>
        <w:trPr>
          <w:trHeight w:val="277"/>
        </w:trPr>
        <w:tc>
          <w:tcPr>
            <w:tcW w:w="9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Present value of lease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right="40" w:firstLine="509"/>
        <w:spacing w:after="0" w:line="277" w:lineRule="auto"/>
        <w:rPr>
          <w:sz w:val="20"/>
          <w:szCs w:val="20"/>
          <w:color w:val="auto"/>
        </w:rPr>
      </w:pPr>
      <w:r>
        <w:rPr>
          <w:rFonts w:ascii="Arial" w:cs="Arial" w:eastAsia="Arial" w:hAnsi="Arial"/>
          <w:sz w:val="18"/>
          <w:szCs w:val="18"/>
          <w:color w:val="auto"/>
        </w:rPr>
        <w:t>The Company is not currently a party to any litigation, nor is management aware of any pending or threatened litigation against the Company, that it believes would materially affect the Company's business, operating results, financial condition or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(the “Quarterly Report”), and the audited consolidated financial statements and notes thereto and management’s discussion and analysis of financial condition and results of operations for the year ended December 31, 2022 included in our Annual Report on Form 10-K filed with the Securities and Exchange Commission (“SEC”) on March 14, 2023 (the "2022 Annual Report"), and our Quarterly Reports on Form 10-Q, filed with the SEC on May 15, 2023 and August 10, 2023. Some of the information contained in this discussion and analysis or set forth elsewhere in this Quarterly Report, including information with respect to our plans and strategy for our business, includes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2022 Annual Report, in addition to the "Risk Factors" and “Cautionary Note Regarding Forward-Looking Statements” sections of this Quarterly Report as well as previous quarterly reports, for a discussion of important factors that could cause actual results to differ materially from the results described in or implied by the forward-looking statements contained in the following discussion and analysis.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We are a clinical-stage biotechnology company focused on developing treatments for patients suffering from complex rare diseases using our novel cell penetrating peptide ("CPP") technology platform. Our lead product candidate, nomlabofusp (nomlabofusp is the new International Nonproprietary Name ( "INN") and the United States Adopted Name ("USAN") for CTI-1601), is a subcutaneously administered, recombinant fusion protein intended to deliver frataxin ("FXN"), an essential protein, to the mitochondria of patients with Friedreich's ataxia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increase FXN levels in patients with FA.</w:t>
      </w:r>
    </w:p>
    <w:p>
      <w:pPr>
        <w:spacing w:after="0" w:line="56"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76" w:lineRule="exact"/>
        <w:rPr>
          <w:sz w:val="20"/>
          <w:szCs w:val="20"/>
          <w:color w:val="auto"/>
        </w:rPr>
      </w:pPr>
    </w:p>
    <w:p>
      <w:pPr>
        <w:ind w:right="60" w:firstLine="509"/>
        <w:spacing w:after="0" w:line="342" w:lineRule="auto"/>
        <w:rPr>
          <w:sz w:val="20"/>
          <w:szCs w:val="20"/>
          <w:color w:val="auto"/>
        </w:rPr>
      </w:pPr>
      <w:r>
        <w:rPr>
          <w:rFonts w:ascii="Arial" w:cs="Arial" w:eastAsia="Arial" w:hAnsi="Arial"/>
          <w:sz w:val="16"/>
          <w:szCs w:val="16"/>
          <w:color w:val="auto"/>
        </w:rPr>
        <w:t>Since our inception, we have devoted substantially all of our resources to developing nomlabofusp, building our intellectual property portfolio, developing third-party manufacturing capabilities, business planning, raising capital, and providing general and administrative support for such operations.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Nomlabofusp Program Update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completed two Phase 1 clinical trials of nomlabofusp and the first cohort of a phase 2 trial in patients with FA:</w:t>
      </w:r>
    </w:p>
    <w:p>
      <w:pPr>
        <w:spacing w:after="0" w:line="117" w:lineRule="exact"/>
        <w:rPr>
          <w:sz w:val="20"/>
          <w:szCs w:val="20"/>
          <w:color w:val="auto"/>
        </w:rPr>
      </w:pPr>
    </w:p>
    <w:p>
      <w:pPr>
        <w:ind w:left="1020" w:right="60" w:hanging="503"/>
        <w:spacing w:after="0" w:line="254"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May 2021, we reported positive top-line data from our Phase 1 FA program after completing dosing of the single ascending dose ("SAD") trial in December 2020 and of the multiple ascending dose ("MAD") trial in March 2021. Data from these trials demonstrated proof-of-concept by showing that daily subcutaneous injections of nomlabofusp for up to 13 days resulted in dose-dependent increases in FXN levels from baseline compared to placebo in all evaluated tissues (buccal cells, skin, and platelets). FXN levels achieved in peripheral tissues (buccal cells) following daily 50 mg and 100 mg subcutaneous injections of nomlabofusp were at or in excess of FXN levels that would be expected in phenotypically normal heterozygous carriers. There were no serious adverse events associated with either the MAD or SAD trials.</w:t>
      </w:r>
    </w:p>
    <w:p>
      <w:pPr>
        <w:spacing w:after="0" w:line="86" w:lineRule="exact"/>
        <w:rPr>
          <w:rFonts w:ascii="Arial" w:cs="Arial" w:eastAsia="Arial" w:hAnsi="Arial"/>
          <w:sz w:val="18"/>
          <w:szCs w:val="18"/>
          <w:color w:val="auto"/>
        </w:rPr>
      </w:pPr>
    </w:p>
    <w:p>
      <w:pPr>
        <w:ind w:left="1020" w:right="340" w:hanging="503"/>
        <w:spacing w:after="0" w:line="286"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May 2023, we reported preliminary unblinded top-line data from the 25 mg cohort of our Phase 2 four-week, placebo-controlled, dose exploration trial of nomlabofusp in FA patients. Data from the cohort indicated nomlabofusp was generally well tolerated and showed increases in FXN levels from baseline compared to placebo in all evaluated tissues (skin and buccal cells) at day 14.</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From May 2021, we have had ongoing interactions and discussions with the FDA regarding the clinical development of nomlabofusp:</w:t>
      </w:r>
    </w:p>
    <w:p>
      <w:pPr>
        <w:spacing w:after="0" w:line="117" w:lineRule="exact"/>
        <w:rPr>
          <w:sz w:val="20"/>
          <w:szCs w:val="20"/>
          <w:color w:val="auto"/>
        </w:rPr>
      </w:pPr>
    </w:p>
    <w:p>
      <w:pPr>
        <w:ind w:left="1020" w:right="120" w:hanging="503"/>
        <w:spacing w:after="0" w:line="286"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May 2021, the FDA placed a clinical hold on our nomlabofusp clinical program after we notified the FDA of mortalities at the highest dose levels of a 26-week non-human ("NHP") toxicology study that was designed to support extended dosing of patients with nomlabofusp. At the time the hold was placed, we had no interventional clinical trials with patients enrolling or enrolled.</w:t>
      </w:r>
    </w:p>
    <w:p>
      <w:pPr>
        <w:spacing w:after="0" w:line="57" w:lineRule="exact"/>
        <w:rPr>
          <w:rFonts w:ascii="Arial" w:cs="Arial" w:eastAsia="Arial" w:hAnsi="Arial"/>
          <w:sz w:val="17"/>
          <w:szCs w:val="17"/>
          <w:color w:val="auto"/>
        </w:rPr>
      </w:pPr>
    </w:p>
    <w:p>
      <w:pPr>
        <w:ind w:left="1020" w:right="180" w:hanging="503"/>
        <w:spacing w:after="0" w:line="259"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February 2022, in response to the complete response we submitted to the FDA, the FDA stated that it was maintaining the clinical hold and that additional data were needed to resolve the clinical hold. We subsequently submitted a request to the FDA for a Type C meeting, which was granted and held in July 2022. We submitted a complete response incorporating additional information requested by the FDA at the meeting as well as information on the proposed study in August 2022.</w:t>
      </w:r>
    </w:p>
    <w:p>
      <w:pPr>
        <w:spacing w:after="0" w:line="78" w:lineRule="exact"/>
        <w:rPr>
          <w:rFonts w:ascii="Arial" w:cs="Arial" w:eastAsia="Arial" w:hAnsi="Arial"/>
          <w:sz w:val="18"/>
          <w:szCs w:val="18"/>
          <w:color w:val="auto"/>
        </w:rPr>
      </w:pPr>
    </w:p>
    <w:p>
      <w:pPr>
        <w:ind w:left="1020" w:right="240" w:hanging="503"/>
        <w:spacing w:after="0" w:line="259"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September 2022, following the Type C meeting and the submission of the Company's complete response, the FDA allowed the 25 mg cohort of a Phase 2, four-week, placebo-controlled, dose exploration trial of nomlabofusp in FA patients discussed above to proceed. In connection with this decision, the FDA lifted its full clinical hold on the nomlabofusp clinical development program and imposed a partial clinical hold.</w:t>
      </w:r>
    </w:p>
    <w:p>
      <w:pPr>
        <w:spacing w:after="0" w:line="78" w:lineRule="exact"/>
        <w:rPr>
          <w:rFonts w:ascii="Arial" w:cs="Arial" w:eastAsia="Arial" w:hAnsi="Arial"/>
          <w:sz w:val="18"/>
          <w:szCs w:val="18"/>
          <w:color w:val="auto"/>
        </w:rPr>
      </w:pPr>
    </w:p>
    <w:p>
      <w:pPr>
        <w:ind w:left="1020" w:right="620" w:hanging="503"/>
        <w:spacing w:after="0" w:line="308"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June 2023 we met with the FDA. Following that meeting, we submitted a complete response to the FDA’s partial clinical hold that included unblinded safety, pharmacokinetic (“PK”) and frataxin data from the Phase 2 trial’s completed 25 mg cohort.</w:t>
      </w:r>
    </w:p>
    <w:p>
      <w:pPr>
        <w:spacing w:after="0" w:line="38" w:lineRule="exact"/>
        <w:rPr>
          <w:rFonts w:ascii="Arial" w:cs="Arial" w:eastAsia="Arial" w:hAnsi="Arial"/>
          <w:sz w:val="17"/>
          <w:szCs w:val="17"/>
          <w:color w:val="auto"/>
        </w:rPr>
      </w:pPr>
    </w:p>
    <w:p>
      <w:pPr>
        <w:ind w:left="102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Following the FDA’s review of our complete response, in July 2023, the FDA cleared initiation of a second cohort of our four-week, placebo-controlled, Phase 2 dose exploration trial of nomlabofusp in patients with FA to proceed to a 50 mg cohort in which participants would be dosed daily for the first 14 days, and then every other day until day 28.</w:t>
      </w:r>
    </w:p>
    <w:p>
      <w:pPr>
        <w:spacing w:after="0" w:line="75" w:lineRule="exact"/>
        <w:rPr>
          <w:rFonts w:ascii="Arial" w:cs="Arial" w:eastAsia="Arial" w:hAnsi="Arial"/>
          <w:sz w:val="18"/>
          <w:szCs w:val="18"/>
          <w:color w:val="auto"/>
        </w:rPr>
      </w:pPr>
    </w:p>
    <w:p>
      <w:pPr>
        <w:ind w:left="1020" w:right="140" w:hanging="503"/>
        <w:spacing w:after="0" w:line="286"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November 2023, we completed enrollment and dosing of the 50 mg cohort of our Phase 2 double-blind dose exploration trial evaluating nomlabofusp for the treatment of FA. Treatment assignment of the fully enrolled cohort of 15 participants remains blinded as they complete the follow up period. Participants were dosed daily with nomlabofusp for the first 14 days, and then every other day until day 28. Based on blinded Phase 2 observations during the dosing period, there were no serious adverse events for either the nomlabofusp or placebo groups.</w:t>
      </w:r>
    </w:p>
    <w:p>
      <w:pPr>
        <w:spacing w:after="0" w:line="1" w:lineRule="exact"/>
        <w:rPr>
          <w:rFonts w:ascii="Arial" w:cs="Arial" w:eastAsia="Arial" w:hAnsi="Arial"/>
          <w:sz w:val="16"/>
          <w:szCs w:val="16"/>
          <w:color w:val="auto"/>
        </w:rPr>
      </w:pPr>
    </w:p>
    <w:p>
      <w:pPr>
        <w:ind w:left="1020" w:right="80"/>
        <w:spacing w:after="0" w:line="277" w:lineRule="auto"/>
        <w:rPr>
          <w:rFonts w:ascii="Arial" w:cs="Arial" w:eastAsia="Arial" w:hAnsi="Arial"/>
          <w:sz w:val="16"/>
          <w:szCs w:val="16"/>
          <w:color w:val="auto"/>
        </w:rPr>
      </w:pPr>
      <w:r>
        <w:rPr>
          <w:rFonts w:ascii="Arial" w:cs="Arial" w:eastAsia="Arial" w:hAnsi="Arial"/>
          <w:sz w:val="17"/>
          <w:szCs w:val="17"/>
          <w:color w:val="auto"/>
        </w:rPr>
        <w:t>Top-line Phase 2 safety, PK, and frataxin data from skin and buccal cells from both the 25 mg and 50 mg cohorts is now expected in the first quarter of 2024, refined from the first half of 2024. Initiation of additional U.S. clinical trials or potential further dose escalation in these trials is contingent on FDA review of Phase 2 data from the 50 mg cohort due to the partial clinical hold.</w:t>
      </w:r>
    </w:p>
    <w:p>
      <w:pPr>
        <w:spacing w:after="0" w:line="64" w:lineRule="exact"/>
        <w:rPr>
          <w:rFonts w:ascii="Arial" w:cs="Arial" w:eastAsia="Arial" w:hAnsi="Arial"/>
          <w:sz w:val="16"/>
          <w:szCs w:val="16"/>
          <w:color w:val="auto"/>
        </w:rPr>
      </w:pPr>
    </w:p>
    <w:p>
      <w:pPr>
        <w:ind w:left="1020" w:right="60" w:hanging="503"/>
        <w:spacing w:after="0" w:line="291"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November 2023, we reaffirmed guidance for initiation of the OLE trial evaluating daily subcutaneous injections of 25 mg of nomlabofusp self-administered or administered by a caregiver. Participants who complete treatment in the Phase 2 dose exploration trial, or who previously completed a prior clinical trial of nomlabofusp are potentially eligible for the OLE. The OLE will evaluate the safety and tolerability and PK and measures of frataxin levels in peripheral tissues as well as other exploratory PD (lipid profiles and gene expression data) following long-term subcutaneous administration of nomlabofusp. Clinical measures collected during the trial will be compared to data from a synthetic control arm derived from participants in the Friedreich’s Ataxia Clinical Outcome Measures Study (FACOMS) database. The OLE trial is expected to begin in the first quarter of 2024 with interim data expected in the fourth quarter of 2024.</w:t>
      </w:r>
    </w:p>
    <w:p>
      <w:pPr>
        <w:spacing w:after="0" w:line="274"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Nomlabofusp has been granted Orphan Drug (U.S. and Europe), Rare Pediatric Disease (U.S.), Fast Track (U.S.), and PRIME (Europe) designations for FA. We have also begun to engage with regulators and investigators outside the U.S. as we prepare to expand our clinical program to additional geographies. With approximately 75% of individuals with FA living outside the U.S., establishing global clinical trial capabilities is important for addressing the pressing unmet needs of the FA community.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jc w:val="both"/>
        <w:ind w:right="160" w:firstLine="509"/>
        <w:spacing w:after="0" w:line="286" w:lineRule="auto"/>
        <w:rPr>
          <w:sz w:val="20"/>
          <w:szCs w:val="20"/>
          <w:color w:val="auto"/>
        </w:rPr>
      </w:pPr>
      <w:r>
        <w:rPr>
          <w:rFonts w:ascii="Arial" w:cs="Arial" w:eastAsia="Arial" w:hAnsi="Arial"/>
          <w:sz w:val="17"/>
          <w:szCs w:val="17"/>
          <w:color w:val="auto"/>
        </w:rPr>
        <w:t>We have funded our operations to date primarily with proceeds from sales of common stock, proceeds from the sale of prefunded warrants for the purchase of common stock, the acquisition in 2020 of cash, cash equivalents, marketable securities and restricted cash upon the merger with Zafgen, Inc. ("Zafgen") and, prior to the 2020 merger with Zafgen, capital contributions from Chondrial Holdings, LLC.</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September 2022, we sold 25,558,750 shares of common stock in an underwritten offering for net proceeds of $75.2 million, after issuance costs.</w:t>
      </w:r>
    </w:p>
    <w:p>
      <w:pPr>
        <w:spacing w:after="0" w:line="140"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November 2022, we entered into a Sales Agreement (the "ATM Agreement") with an investment bank in connection with the establishment of an “at-the-market” offering program providing for the sale of up to an aggregate of $50.0 million of shares of our common stock from time to time through this investment bank as sales agent. To date, we have made no sales under this ATM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80" w:firstLine="509"/>
        <w:spacing w:after="0" w:line="263"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majority of our operating expenses since inception have consisted primarily of research and development and general and administrative costs.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Research and development expenses consist primarily of costs associated with our product research and development efforts and are expensed as incurred. Research and development expenses consist primarily of:</w:t>
      </w:r>
    </w:p>
    <w:p>
      <w:pPr>
        <w:spacing w:after="0" w:line="62"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related costs, including cash compensation, benefits and stock-based compensation expenses for employees engaged in scientific research and development functions;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external costs of outside consultants and vendors;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payments made under our third-party licensing agreements;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117" w:lineRule="exact"/>
        <w:rPr>
          <w:sz w:val="20"/>
          <w:szCs w:val="20"/>
          <w:color w:val="auto"/>
        </w:rPr>
      </w:pPr>
    </w:p>
    <w:p>
      <w:pPr>
        <w:ind w:right="400" w:firstLine="509"/>
        <w:spacing w:after="0" w:line="279"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clinical and commercial development of nomlabofusp or any other product candidates we may develop. We are also unable to predict when, if ever, material net cash inflows will commence from sales of our product candidates. The duration, costs, and timing of clinical trials and development of nomlabofusp or any other product candidates we develop will depend on a variety of factors, including:</w:t>
      </w:r>
    </w:p>
    <w:p>
      <w:pPr>
        <w:spacing w:after="0" w:line="63"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rate of progress and expense of clinical trials and other research and development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influence of the FDA or other regulatory authorities on our clinical trial design and timing;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24" w:name="page25"/>
    <w:bookmarkEnd w:id="24"/>
    <w:p>
      <w:pPr>
        <w:ind w:left="1020" w:right="140" w:hanging="503"/>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expand or establish new manufacturing capabilities or making arrangements with third-party manufacturers and risks involved with development of manufacturing processes, FDA pre-approval inspection practices and successful completion of manufacturing batches for clinical development and other regulatory purposes;</w:t>
      </w:r>
    </w:p>
    <w:p>
      <w:pPr>
        <w:spacing w:after="0" w:line="75" w:lineRule="exact"/>
        <w:rPr>
          <w:rFonts w:ascii="Arial" w:cs="Arial" w:eastAsia="Arial" w:hAnsi="Arial"/>
          <w:sz w:val="18"/>
          <w:szCs w:val="18"/>
          <w:color w:val="auto"/>
        </w:rPr>
      </w:pPr>
    </w:p>
    <w:p>
      <w:pPr>
        <w:ind w:left="1020" w:right="100" w:hanging="503"/>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liquidity constraints, failure and instability of the U.S. and international banking systems, including possible impacts of a default by the U.S. government on its debt obligation, which could have broad macroeconomic effects that could, among other things, disrupt access to capital markets and deepen recessionary conditions;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and maintain patent and trade secret protection and regulatory exclusivity for our product candidates;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recruit and retain key research and development personnel.</w:t>
      </w:r>
    </w:p>
    <w:p>
      <w:pPr>
        <w:spacing w:after="0" w:line="117"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clinical development of a product candidate, or if we experience significant delays in enrollment in any of our clinical trials, we could be required to expend significant additional financial resources and time on clinical development.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80" w:firstLine="509"/>
        <w:spacing w:after="0" w:line="296" w:lineRule="auto"/>
        <w:rPr>
          <w:sz w:val="20"/>
          <w:szCs w:val="20"/>
          <w:color w:val="auto"/>
        </w:rPr>
      </w:pPr>
      <w:r>
        <w:rPr>
          <w:rFonts w:ascii="Arial" w:cs="Arial" w:eastAsia="Arial" w:hAnsi="Arial"/>
          <w:sz w:val="16"/>
          <w:szCs w:val="16"/>
          <w:color w:val="auto"/>
        </w:rPr>
        <w:t>General and administrative expenses consist primarily of personnel costs, composed of cash compensation, related benefits and stock-based compensation, costs related to our executive, finance, information technology, and costs related to other administrative functions. General and administrative expenses also include insurance expenses and professional fees for auditing, tax, and legal services, including legal expenses to pursue patent protection for our intellectual property. We expect that our general and administrative expenses will increase in the foreseeable future as we hire additional employees to implement, improve and scale our operational, financial, commercial and management systems.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right="160" w:firstLine="509"/>
        <w:spacing w:after="0" w:line="296" w:lineRule="auto"/>
        <w:rPr>
          <w:sz w:val="20"/>
          <w:szCs w:val="20"/>
          <w:color w:val="auto"/>
        </w:rPr>
      </w:pPr>
      <w:r>
        <w:rPr>
          <w:rFonts w:ascii="Arial" w:cs="Arial" w:eastAsia="Arial" w:hAnsi="Arial"/>
          <w:sz w:val="16"/>
          <w:szCs w:val="16"/>
          <w:color w:val="auto"/>
        </w:rPr>
        <w:t>Our condensed consolidated financial statements are prepared in accordance with GAAP. The preparation of our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these estimates and assumptions on an ongoing basis. Our actual results may differ from these estimates under different assumptions and conditions.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Costs for certain research and development activities, such as manufacturing, non-clinical studies and clinical trials are generally recognized based on the evaluation of the progress of completion of specific tasks using information and data provided by our vendors and collaborators, and accordingly, are considered an area of significant judgement and management's review of manufacturing, nonclinical and clinical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We work with vendors and suppliers to ensure that our estimates of our research and development expenses are reasonable. We expect to increase our investment in research and development in order to advance nomlabofusp through additional clinical trials. As a result, we expect that our research and development expenses will increase in the foreseeable future as we pursue clinical development of nomlabofusp and/or any other product candidates we develop.</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 Expense</w:t>
      </w:r>
    </w:p>
    <w:p>
      <w:pPr>
        <w:spacing w:after="0" w:line="11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We measure all stock-based awards granted to employees and directors based on the fair value on the date of grant using the Black-Scholes option-pricing model. The Black-Scholes option-pricing model requires the use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ind w:right="220"/>
        <w:spacing w:after="0" w:line="259" w:lineRule="auto"/>
        <w:rPr>
          <w:sz w:val="20"/>
          <w:szCs w:val="20"/>
          <w:color w:val="auto"/>
        </w:rPr>
      </w:pPr>
      <w:r>
        <w:rPr>
          <w:rFonts w:ascii="Arial" w:cs="Arial" w:eastAsia="Arial" w:hAnsi="Arial"/>
          <w:sz w:val="18"/>
          <w:szCs w:val="18"/>
          <w:color w:val="auto"/>
        </w:rPr>
        <w:t>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and thus are inherently subjective. If factors change and different assumptions are used, our stock-based compensation expense could be materially different in the future.</w:t>
      </w:r>
    </w:p>
    <w:p>
      <w:pPr>
        <w:spacing w:after="0" w:line="79"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Prior to May 28, 2020, we were a private company and lacked company-specific historical and implied volatility information for our common stock. Prior to January 1, 2023, the Company estimated its expected common stock price volatility solely based on the historical volatility of publicly traded peer companies with comparable characteristics including enterprise value, risk profiles and position within the industry. Beginning on January 1, 2023, the Company began blending its historical data starting in June 2020 (following its merger with Zafgen in 2020) with its historical peer group. We regularly evaluate our peer group to assess changes in circumstances where identified companies may no longer be similar to us, in which case, more suitable companies whose share prices are publicly available would be utilized in the calculation. We expect to continue to do so until we have full historical data regarding the volatility of our own traded stock price.</w:t>
      </w:r>
    </w:p>
    <w:p>
      <w:pPr>
        <w:spacing w:after="0" w:line="69"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we have never paid cash dividends on common stock and do not expect to pay any cash dividends in the foreseeable future.</w:t>
      </w:r>
    </w:p>
    <w:p>
      <w:pPr>
        <w:spacing w:after="0" w:line="79"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76" w:lineRule="exact"/>
        <w:rPr>
          <w:sz w:val="20"/>
          <w:szCs w:val="20"/>
          <w:color w:val="auto"/>
        </w:rPr>
      </w:pPr>
    </w:p>
    <w:p>
      <w:pPr>
        <w:ind w:right="100" w:firstLine="509"/>
        <w:spacing w:after="0" w:line="341" w:lineRule="auto"/>
        <w:rPr>
          <w:sz w:val="20"/>
          <w:szCs w:val="20"/>
          <w:color w:val="auto"/>
        </w:rPr>
      </w:pPr>
      <w:r>
        <w:rPr>
          <w:rFonts w:ascii="Arial" w:cs="Arial" w:eastAsia="Arial" w:hAnsi="Arial"/>
          <w:sz w:val="17"/>
          <w:szCs w:val="17"/>
          <w:color w:val="auto"/>
        </w:rPr>
        <w:t>We classify stock-based compensation expense in our condensed consolidated statements of operations and comprehensive loss in the same manner in which the award recipient’s payroll costs are classified or in which the award recipient’s service payments are classified.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2023 and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315"/>
              <w:spacing w:after="0" w:line="160"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3"/>
                <w:szCs w:val="13"/>
                <w:color w:val="auto"/>
              </w:rPr>
            </w:pPr>
          </w:p>
        </w:tc>
      </w:tr>
      <w:tr>
        <w:trPr>
          <w:trHeight w:val="185"/>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(Decrease)</w:t>
            </w:r>
          </w:p>
        </w:tc>
      </w:tr>
      <w:tr>
        <w:trPr>
          <w:trHeight w:val="169"/>
        </w:trPr>
        <w:tc>
          <w:tcPr>
            <w:tcW w:w="66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0"/>
                <w:szCs w:val="20"/>
                <w:color w:val="auto"/>
              </w:rPr>
            </w:pPr>
          </w:p>
        </w:tc>
      </w:tr>
      <w:tr>
        <w:trPr>
          <w:trHeight w:val="236"/>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10,339</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8,513</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(10,339 )</w:t>
            </w: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(8,513 )</w:t>
            </w: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(1,826 )</w:t>
            </w: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(9,064 )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(8,320 )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(744 )</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-505460</wp:posOffset>
            </wp:positionV>
            <wp:extent cx="76835"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-505460</wp:posOffset>
            </wp:positionV>
            <wp:extent cx="6858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Research and development expenses for the three months ended September 30, 2023 increased $1.0 million compared to the three months ended September 30, 2022. The increase in research and development expenses was primarily driven by an increase of $0.9 million in clinical trial costs primarily associated with the Phase 2 dose exploration study, an increase of $0.7 million in personnel related costs, an increase of $0.4 million in professional fees primarily associated with an increase in legal IP costs and consulting fees, partially offset by a decrease of $1.2 million in clinical supply manufacturing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General and administrative expenses for the three months ended September 30, 2023 increased $0.8 million compared to the three months ended September 30, 2022. The increase in general and administrative expense was primarily driven by an increase of $0.3 million of professional fees primarily related to increased legal expense, an increase of $0.2 million in operational expense primarily related to recruiting costs, and an increase of $0.2 million in stock-based compensation expense associated with stock option grants made in 2023 and prior periods.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Other income (expense), net was $1.3 million of income in the three months ended September 30, 2023 compared to $0.2 million in the three months ended September 30, 2022. The increase primarily relates to interest income on a higher investment base and higher investment yields on that base during the current period.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2023 and 2022:</w:t>
      </w:r>
    </w:p>
    <w:p>
      <w:pPr>
        <w:spacing w:after="0" w:line="338"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255"/>
              <w:spacing w:after="0" w:line="160" w:lineRule="exact"/>
              <w:rPr>
                <w:sz w:val="20"/>
                <w:szCs w:val="20"/>
                <w:color w:val="auto"/>
              </w:rPr>
            </w:pPr>
            <w:r>
              <w:rPr>
                <w:rFonts w:ascii="Arial" w:cs="Arial" w:eastAsia="Arial" w:hAnsi="Arial"/>
                <w:sz w:val="14"/>
                <w:szCs w:val="14"/>
                <w:b w:val="1"/>
                <w:bCs w:val="1"/>
                <w:color w:val="auto"/>
                <w:w w:val="98"/>
              </w:rPr>
              <w:t>Increase</w:t>
            </w:r>
          </w:p>
        </w:tc>
        <w:tc>
          <w:tcPr>
            <w:tcW w:w="100" w:type="dxa"/>
            <w:vAlign w:val="bottom"/>
          </w:tcPr>
          <w:p>
            <w:pPr>
              <w:spacing w:after="0"/>
              <w:rPr>
                <w:sz w:val="13"/>
                <w:szCs w:val="13"/>
                <w:color w:val="auto"/>
              </w:rPr>
            </w:pPr>
          </w:p>
        </w:tc>
      </w:tr>
      <w:tr>
        <w:trPr>
          <w:trHeight w:val="185"/>
        </w:trPr>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(Decrease)</w:t>
            </w:r>
          </w:p>
        </w:tc>
      </w:tr>
      <w:tr>
        <w:trPr>
          <w:trHeight w:val="169"/>
        </w:trPr>
        <w:tc>
          <w:tcPr>
            <w:tcW w:w="59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(10 )</w:t>
            </w:r>
          </w:p>
        </w:tc>
      </w:tr>
      <w:tr>
        <w:trPr>
          <w:trHeight w:val="237"/>
        </w:trPr>
        <w:tc>
          <w:tcPr>
            <w:tcW w:w="59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10,574</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9,055</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0"/>
                <w:szCs w:val="20"/>
                <w:color w:val="auto"/>
              </w:rPr>
            </w:pPr>
          </w:p>
        </w:tc>
      </w:tr>
      <w:tr>
        <w:trPr>
          <w:trHeight w:val="236"/>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27,596</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26,087</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(27,596 )</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(26,087 )</w:t>
            </w:r>
          </w:p>
        </w:tc>
        <w:tc>
          <w:tcPr>
            <w:tcW w:w="2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(1,509 )</w:t>
            </w:r>
          </w:p>
        </w:tc>
      </w:tr>
      <w:tr>
        <w:trPr>
          <w:trHeight w:val="243"/>
        </w:trPr>
        <w:tc>
          <w:tcPr>
            <w:tcW w:w="59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3,640</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6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(23,956 )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(25,930 )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0"/>
                <w:szCs w:val="20"/>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-505460</wp:posOffset>
            </wp:positionV>
            <wp:extent cx="68580"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-505460</wp:posOffset>
            </wp:positionV>
            <wp:extent cx="60325"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-505460</wp:posOffset>
            </wp:positionV>
            <wp:extent cx="60325"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-187960</wp:posOffset>
            </wp:positionV>
            <wp:extent cx="6858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60325"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Research and development expenses were comparable between periods. A decrease of $3.2 million in clinical supply manufacturing costs was offset by an increase of $1.2 million in personnel related costs, an increase of $0.9 million in clinical trial costs primarily associated with the Phase 2 dose exploration study, an increase of $0.4 million in professional fees primarily associated with an increase in legal IP costs and consulting fees, and an increase of $0.4 million in test method development and optimization and an increase of $0.3 million in stock-based compensation expense associated with stock option grants made in 2023 and prior periods.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General and administrative expenses for the nine months ended September 30, 2023 increased $1.5 million compared to the nine months ended September 30, 2022. The increase in general and administrative expense was primarily driven by an increase of $0.5 million of professional fees primarily related to increased legal expense, an increase of $0.5 million in stock-based compensation expense associated with stock option grants made in 2023 and prior periods, an increase of $0.4 million in operational expense primarily related to recruiting costs, and an increase of $0.4 million in personnel related costs related to increases in headcount, partially offset by a decrease of $0.3 million in insurance expense.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Other income (expense), net was $3.6 million of income in the nine months ended September 30, 2023 compared to $0.2 million of net expense in the nine months ended September 30, 2022. The increase primarily relates to interest income on a higher investment base and higher investment yields on that base during the current period as compared to the prior period.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nomlabofusp, building our intellectual property portfolio, developing third-party manufacturing capabilities, business planning, capital raising, and providing general and administrative support for such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 below:</w:t>
      </w:r>
    </w:p>
    <w:p>
      <w:pPr>
        <w:spacing w:after="0" w:line="338"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31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69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6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71"/>
              </w:rPr>
              <w:t>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w w:val="85"/>
              </w:rPr>
              <w:t>(24,116 )</w:t>
            </w:r>
          </w:p>
        </w:tc>
        <w:tc>
          <w:tcPr>
            <w:tcW w:w="440" w:type="dxa"/>
            <w:vAlign w:val="bottom"/>
            <w:shd w:val="clear" w:color="auto" w:fill="CFF0FC"/>
          </w:tcPr>
          <w:p>
            <w:pPr>
              <w:jc w:val="center"/>
              <w:ind w:right="21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(20,897 )</w:t>
            </w: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35,982</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(38,726 )</w:t>
            </w:r>
          </w:p>
        </w:tc>
      </w:tr>
      <w:tr>
        <w:trPr>
          <w:trHeight w:val="243"/>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11,896</w:t>
            </w:r>
          </w:p>
        </w:tc>
        <w:tc>
          <w:tcPr>
            <w:tcW w:w="220" w:type="dxa"/>
            <w:vAlign w:val="bottom"/>
          </w:tcPr>
          <w:p>
            <w:pPr>
              <w:spacing w:after="0"/>
              <w:rPr>
                <w:sz w:val="20"/>
                <w:szCs w:val="20"/>
                <w:color w:val="auto"/>
              </w:rPr>
            </w:pPr>
          </w:p>
        </w:tc>
        <w:tc>
          <w:tcPr>
            <w:tcW w:w="4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15,950</w:t>
            </w:r>
          </w:p>
        </w:tc>
        <w:tc>
          <w:tcPr>
            <w:tcW w:w="100" w:type="dxa"/>
            <w:vAlign w:val="bottom"/>
          </w:tcPr>
          <w:p>
            <w:pPr>
              <w:spacing w:after="0"/>
              <w:rPr>
                <w:sz w:val="20"/>
                <w:szCs w:val="20"/>
                <w:color w:val="auto"/>
              </w:rPr>
            </w:pPr>
          </w:p>
        </w:tc>
      </w:tr>
      <w:tr>
        <w:trPr>
          <w:trHeight w:val="20"/>
        </w:trPr>
        <w:tc>
          <w:tcPr>
            <w:tcW w:w="6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-187960</wp:posOffset>
            </wp:positionV>
            <wp:extent cx="5969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During the nine months ended September 30, 2023, operating activities used $24.1 million of cash, resulting from our net loss of $24.0 million, adjusted for noncash expenses of $4.7 million and changes in our operating assets and liabilities utilizing cash of $4.8 million. Our net loss was primarily attributed to research and development activities related to our nomlabofusp program and our general and administrative expenses as described above. Noncash expenses are primarily stock-based compensation expense.</w:t>
      </w:r>
    </w:p>
    <w:p>
      <w:pPr>
        <w:spacing w:after="0" w:line="79"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During the nine months ended September 30, 2022, operating activities used $20.9 million of cash, resulting from our net loss of $25.9 million, adjusted for noncash expenses of $5.1 million and changes in our operating assets and liabilities resulting in a use of cash of $0.1 million. Our net loss was primarily attributed to research and development activities related to our nomlabofusp program and our general and administrative expenses as described above. Noncash expenses are primarily stock-based compensation expense.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During the nine months ended September 30, 2023, investing activities provided $36.0 million of cash, including $102.3 million from maturities of marketable securities partially offset by $66.3 million in purchases of marketable securities.</w:t>
      </w:r>
    </w:p>
    <w:p>
      <w:pPr>
        <w:spacing w:after="0" w:line="62"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During the nine months ended September 30, 2022, investing activities used $38.7 million of cash, including $61.6 million in purchases of new marketable securities and $0.1 million in purchases of property and equipment, partially offset by a $23.0 million increase from maturities of marketable securities.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During the nine months ended September 30, 2023, financing activities provided less than $0.1 million of cash from the exercise of stock options and warrants.</w:t>
      </w:r>
    </w:p>
    <w:p>
      <w:pPr>
        <w:spacing w:after="0" w:line="62" w:lineRule="exact"/>
        <w:rPr>
          <w:sz w:val="20"/>
          <w:szCs w:val="20"/>
          <w:color w:val="auto"/>
        </w:rPr>
      </w:pPr>
    </w:p>
    <w:p>
      <w:pPr>
        <w:ind w:right="900" w:firstLine="509"/>
        <w:spacing w:after="0" w:line="277" w:lineRule="auto"/>
        <w:rPr>
          <w:sz w:val="20"/>
          <w:szCs w:val="20"/>
          <w:color w:val="auto"/>
        </w:rPr>
      </w:pPr>
      <w:r>
        <w:rPr>
          <w:rFonts w:ascii="Arial" w:cs="Arial" w:eastAsia="Arial" w:hAnsi="Arial"/>
          <w:sz w:val="18"/>
          <w:szCs w:val="18"/>
          <w:color w:val="auto"/>
        </w:rPr>
        <w:t>During the nine months ended September 30, 2022, financing activities provided $75.6 million of cash from sale of common stock in an underwritten offering, net of issuance costs.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not yet commercialized any products and do not expect to generate revenue from the commercial sale of any products for several years, if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all.</w:t>
      </w:r>
    </w:p>
    <w:p>
      <w:pPr>
        <w:spacing w:after="0" w:line="103"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We have to date incurred net losses. We incurred net losses of approximately $24.0 million and $25.9 million for the nine months ended September 30, 2023 and 2022, respectively. As of September 30, 2023, we had an accumulated deficit of $175.6 million and cash, cash equivalents and marketable securities of $95.6 million, excluding restricted cash of $1.3 million.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8" w:name="page29"/>
    <w:bookmarkEnd w:id="28"/>
    <w:p>
      <w:pPr>
        <w:ind w:firstLine="509"/>
        <w:spacing w:after="0" w:line="263" w:lineRule="auto"/>
        <w:rPr>
          <w:sz w:val="20"/>
          <w:szCs w:val="20"/>
          <w:color w:val="auto"/>
        </w:rPr>
      </w:pPr>
      <w:r>
        <w:rPr>
          <w:rFonts w:ascii="Arial" w:cs="Arial" w:eastAsia="Arial" w:hAnsi="Arial"/>
          <w:sz w:val="18"/>
          <w:szCs w:val="18"/>
          <w:color w:val="auto"/>
        </w:rPr>
        <w:t>Losses have resulted principally from costs incurred in connection with research and development activities, and general and administrative costs associated with the development of nomlabofusp and our operations. We expect to incur significant expenses and operating losses for the foreseeable future as we expect to continue to incur expenses in connection with our ongoing activities, if and as we:</w:t>
      </w:r>
    </w:p>
    <w:p>
      <w:pPr>
        <w:spacing w:after="0" w:line="76"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advance the development of nomlabofusp through additional clinical trials, including related manufacturing costs;</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to identify and advance development of additional product candidates into clinical development and identify additional indications for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to obtain regulatory approvals for nomlabofusp and other potential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 and</w:t>
      </w:r>
    </w:p>
    <w:p>
      <w:pPr>
        <w:spacing w:after="0" w:line="117" w:lineRule="exact"/>
        <w:rPr>
          <w:rFonts w:ascii="Arial" w:cs="Arial" w:eastAsia="Arial" w:hAnsi="Arial"/>
          <w:sz w:val="18"/>
          <w:szCs w:val="18"/>
          <w:color w:val="auto"/>
        </w:rPr>
      </w:pPr>
    </w:p>
    <w:p>
      <w:pPr>
        <w:ind w:left="1020" w:right="80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our operational, financial, commercial and management systems and personnel, including personnel to support our clinical development and future commercialization efforts and our operations as a public company.</w:t>
      </w:r>
    </w:p>
    <w:p>
      <w:pPr>
        <w:spacing w:after="0" w:line="62"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Based on our current expected level of operating expenditures, we expect to be able to fund our operations for at least twelve months from the issuance of these condensed consolidated financial statements into the first quarter of 2025. If we encounter unexpected delays in our clinical trials or if there are other unanticipated changes to our operating plan from our current assumptions that negatively impact our operations, we may reduce expenditures in order to further extend our existing cash resources. Until we can generate substantial revenue, if ever, we expect to seek additional funding through a combination of public or private equity offerings, debt/royalty financings, collaborations, strategic alliances and licensing arrangements or other sources. The incurrence of indebtedness would result in increased fixed payment obligations and we may be required to agree to certain restrictive covenants, such as limitations on our ability to incur additional debt, minimum cash balances,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86"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There can be no assurance that we will be able to raise sufficient additional capital on acceptable terms, if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strategic alliances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tensions, volatility of capital markets, and other adverse macroeconomic events, including those due to inflationary pressures, rising interest rates, bank instability and the ability of the U.S. government to manage federal debt limits, as well as the potential impact of health crises on the global financial markets may reduce our ability to access capital, which could negatively affect our liquidity and ability to continue as a going concern.</w:t>
      </w:r>
    </w:p>
    <w:p>
      <w:pPr>
        <w:spacing w:after="0" w:line="77"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If we are unable to obtain sufficient funding when needed and/or on acceptable terms, we may be required to significantly curtail, delay or discontinue one or more of our research and development programs, the manufacture of clinical and commercial supplies, product portfolio expansion and/or pre commercialization efforts, which could adversely affect our business prospects, or we may be unable to continue operations.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During the periods presented we did not have, and we currently do not have, any off-balance sheet arrangements, as defined under applicable SEC rules, such as relationships with unconsolidated entities or financial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9" w:name="page30"/>
    <w:bookmarkEnd w:id="29"/>
    <w:p>
      <w:pPr>
        <w:ind w:right="220"/>
        <w:spacing w:after="0" w:line="277" w:lineRule="auto"/>
        <w:rPr>
          <w:sz w:val="20"/>
          <w:szCs w:val="20"/>
          <w:color w:val="auto"/>
        </w:rPr>
      </w:pPr>
      <w:r>
        <w:rPr>
          <w:rFonts w:ascii="Arial" w:cs="Arial" w:eastAsia="Arial" w:hAnsi="Arial"/>
          <w:sz w:val="18"/>
          <w:szCs w:val="18"/>
          <w:color w:val="auto"/>
        </w:rPr>
        <w:t>partnerships, which are often referred to as structured finance or special purpose entities, established for the purpose of facilitating financing transactions that are not required to be reflected on our balance sheets.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Please read Note 2 to our condensed consolidated financial statements included in Part I of Item 1 of this Quarterly Report for a description of recent accounting pronouncements applicable to our business, if 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as amended (the "Exchange Act") and are not required to provide the information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40" w:firstLine="509"/>
        <w:spacing w:after="0" w:line="301" w:lineRule="auto"/>
        <w:rPr>
          <w:sz w:val="20"/>
          <w:szCs w:val="20"/>
          <w:color w:val="auto"/>
        </w:rPr>
      </w:pPr>
      <w:r>
        <w:rPr>
          <w:rFonts w:ascii="Arial" w:cs="Arial" w:eastAsia="Arial" w:hAnsi="Arial"/>
          <w:sz w:val="16"/>
          <w:szCs w:val="16"/>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to allow timely decisions regarding required disclosure.</w:t>
      </w:r>
    </w:p>
    <w:p>
      <w:pPr>
        <w:spacing w:after="0" w:line="49"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design of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62" w:lineRule="exact"/>
        <w:rPr>
          <w:sz w:val="20"/>
          <w:szCs w:val="20"/>
          <w:color w:val="auto"/>
        </w:rPr>
      </w:pPr>
    </w:p>
    <w:p>
      <w:pPr>
        <w:ind w:right="320" w:firstLine="509"/>
        <w:spacing w:after="0" w:line="286" w:lineRule="auto"/>
        <w:rPr>
          <w:sz w:val="20"/>
          <w:szCs w:val="20"/>
          <w:color w:val="auto"/>
        </w:rPr>
      </w:pPr>
      <w:r>
        <w:rPr>
          <w:rFonts w:ascii="Arial" w:cs="Arial" w:eastAsia="Arial" w:hAnsi="Arial"/>
          <w:sz w:val="17"/>
          <w:szCs w:val="17"/>
          <w:color w:val="auto"/>
        </w:rPr>
        <w:t>With respect to the quarter ended September 30, 2023,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are effective.</w:t>
      </w:r>
    </w:p>
    <w:p>
      <w:pPr>
        <w:spacing w:after="0" w:line="5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fiscal quarter ended September 30, 2023 which have materially affected, or are reasonably likely to materially affect, our internal control over financial reporting.</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From time to time, we are subject to claims in legal proceedings arising in the normal course of business. To our knowledge, during the three months ended September 30, 2023, there were no, and as of the date of this Quarterly Report, there are no, threatened or pending legal actions that could reasonably be expected to have a material adverse effect on our business, financial condition, results of operations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You should carefully consider the risk factors described in our 2022 Annual Report under the caption “Item 1A. Risk Factors.” The risks described in our 2022 Annual Report are not the only risks facing our company. Additional risks and uncertainties not currently known to us or that we currently deem to be immaterial also may materially adversely affect our business, financial condition or future results. There have been no material changes in our risk factors disclosed in our 2022 Annual Report and Quarterly Reports on Form 10-Q filed on May 15, 2023 and August 10,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filed as part of this Quarterly Report are set forth on the Exhibit Index, which is incorporated herein by reference.</w:t>
      </w:r>
    </w:p>
    <w:p>
      <w:pPr>
        <w:spacing w:after="0" w:line="329"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60" w:type="dxa"/>
            <w:vAlign w:val="bottom"/>
            <w:gridSpan w:val="6"/>
          </w:tcPr>
          <w:p>
            <w:pPr>
              <w:ind w:left="348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Description</w:t>
            </w: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Certification of Principal Executive Officer pursuant to Rule 13a-14(a) or Rule 15d-14(a) of the Securities Exchange Act of 1934, as</w:t>
            </w:r>
          </w:p>
        </w:tc>
        <w:tc>
          <w:tcPr>
            <w:tcW w:w="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gridSpan w:val="6"/>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5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Certification of Principal Financial Officer pursuant to Rule 13a-14(a) or Rule 15d-14(a) of the Securities Exchange Act of 1934, as</w:t>
            </w:r>
          </w:p>
        </w:tc>
        <w:tc>
          <w:tcPr>
            <w:tcW w:w="120" w:type="dxa"/>
            <w:vAlign w:val="bottom"/>
            <w:gridSpan w:val="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gridSpan w:val="6"/>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5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Certification of Principal Executive Officer and Principal Financial Officer pursuant to 18 U.S.C. Section 1350, as adopted pursuant</w:t>
            </w:r>
          </w:p>
        </w:tc>
        <w:tc>
          <w:tcPr>
            <w:tcW w:w="10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gridSpan w:val="6"/>
          </w:tcPr>
          <w:p>
            <w:pPr>
              <w:spacing w:after="0" w:line="196" w:lineRule="exact"/>
              <w:rPr>
                <w:sz w:val="20"/>
                <w:szCs w:val="20"/>
                <w:color w:val="auto"/>
              </w:rPr>
            </w:pPr>
            <w:r>
              <w:rPr>
                <w:rFonts w:ascii="Arial" w:cs="Arial" w:eastAsia="Arial" w:hAnsi="Arial"/>
                <w:sz w:val="18"/>
                <w:szCs w:val="18"/>
                <w:color w:val="0000FF"/>
              </w:rPr>
              <w:t>to Section 906 of the Sarbanes-Oxley Act of 2002.</w:t>
            </w: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Borders>
              <w:right w:val="single" w:sz="8" w:color="0000EE"/>
            </w:tcBorders>
            <w:shd w:val="clear" w:color="auto" w:fill="0000FF"/>
          </w:tcPr>
          <w:p>
            <w:pPr>
              <w:spacing w:after="0" w:line="20" w:lineRule="exact"/>
              <w:rPr>
                <w:sz w:val="1"/>
                <w:szCs w:val="1"/>
                <w:color w:val="auto"/>
              </w:rPr>
            </w:pPr>
          </w:p>
        </w:tc>
        <w:tc>
          <w:tcPr>
            <w:tcW w:w="6000" w:type="dxa"/>
            <w:vAlign w:val="bottom"/>
            <w:gridSpan w:val="5"/>
          </w:tcPr>
          <w:p>
            <w:pPr>
              <w:spacing w:after="0" w:line="20" w:lineRule="exact"/>
              <w:rPr>
                <w:sz w:val="1"/>
                <w:szCs w:val="1"/>
                <w:color w:val="auto"/>
              </w:rPr>
            </w:pPr>
          </w:p>
        </w:tc>
      </w:tr>
      <w:tr>
        <w:trPr>
          <w:trHeight w:val="344"/>
        </w:trPr>
        <w:tc>
          <w:tcPr>
            <w:tcW w:w="112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9660" w:type="dxa"/>
            <w:vAlign w:val="bottom"/>
            <w:gridSpan w:val="6"/>
          </w:tcPr>
          <w:p>
            <w:pPr>
              <w:spacing w:after="0"/>
              <w:rPr>
                <w:sz w:val="20"/>
                <w:szCs w:val="20"/>
                <w:color w:val="auto"/>
              </w:rPr>
            </w:pPr>
            <w:r>
              <w:rPr>
                <w:rFonts w:ascii="Arial" w:cs="Arial" w:eastAsia="Arial" w:hAnsi="Arial"/>
                <w:sz w:val="18"/>
                <w:szCs w:val="18"/>
                <w:color w:val="auto"/>
                <w:w w:val="96"/>
              </w:rPr>
              <w:t>Inline XBRL Instance Document- the instance document does not appear in the Interactive Data File because its XBRL tag re</w:t>
            </w:r>
          </w:p>
        </w:tc>
      </w:tr>
      <w:tr>
        <w:trPr>
          <w:trHeight w:val="230"/>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6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8"/>
        </w:trPr>
        <w:tc>
          <w:tcPr>
            <w:tcW w:w="112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966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12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966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Document.</w:t>
            </w:r>
          </w:p>
        </w:tc>
      </w:tr>
      <w:tr>
        <w:trPr>
          <w:trHeight w:val="338"/>
        </w:trPr>
        <w:tc>
          <w:tcPr>
            <w:tcW w:w="112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966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12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9660" w:type="dxa"/>
            <w:vAlign w:val="bottom"/>
            <w:gridSpan w:val="6"/>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338"/>
        </w:trPr>
        <w:tc>
          <w:tcPr>
            <w:tcW w:w="112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966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 Document.</w:t>
            </w:r>
          </w:p>
        </w:tc>
      </w:tr>
    </w:tbl>
    <w:p>
      <w:pPr>
        <w:ind w:left="1420" w:hanging="1230"/>
        <w:spacing w:after="0"/>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1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64" w:right="49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600" w:type="dxa"/>
            <w:vAlign w:val="bottom"/>
            <w:gridSpan w:val="2"/>
          </w:tcPr>
          <w:p>
            <w:pPr>
              <w:ind w:left="1780"/>
              <w:spacing w:after="0"/>
              <w:rPr>
                <w:sz w:val="20"/>
                <w:szCs w:val="20"/>
                <w:color w:val="auto"/>
              </w:rPr>
            </w:pPr>
            <w:r>
              <w:rPr>
                <w:rFonts w:ascii="Arial" w:cs="Arial" w:eastAsia="Arial" w:hAnsi="Arial"/>
                <w:sz w:val="18"/>
                <w:szCs w:val="18"/>
                <w:color w:val="auto"/>
              </w:rPr>
              <w:t>LARIMAR THERAPEUTICS, INC.</w:t>
            </w:r>
          </w:p>
        </w:tc>
      </w:tr>
      <w:tr>
        <w:trPr>
          <w:trHeight w:val="432"/>
        </w:trPr>
        <w:tc>
          <w:tcPr>
            <w:tcW w:w="3640" w:type="dxa"/>
            <w:vAlign w:val="bottom"/>
          </w:tcPr>
          <w:p>
            <w:pPr>
              <w:ind w:left="20"/>
              <w:spacing w:after="0"/>
              <w:rPr>
                <w:sz w:val="20"/>
                <w:szCs w:val="20"/>
                <w:color w:val="auto"/>
              </w:rPr>
            </w:pPr>
            <w:r>
              <w:rPr>
                <w:rFonts w:ascii="Arial" w:cs="Arial" w:eastAsia="Arial" w:hAnsi="Arial"/>
                <w:sz w:val="18"/>
                <w:szCs w:val="18"/>
                <w:color w:val="auto"/>
              </w:rPr>
              <w:t>Date: November 14, 2023</w:t>
            </w:r>
          </w:p>
        </w:tc>
        <w:tc>
          <w:tcPr>
            <w:tcW w:w="2320" w:type="dxa"/>
            <w:vAlign w:val="bottom"/>
          </w:tcPr>
          <w:p>
            <w:pPr>
              <w:ind w:left="178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Carole S. Ben-Maimon, M.D.</w:t>
            </w:r>
          </w:p>
        </w:tc>
      </w:tr>
      <w:tr>
        <w:trPr>
          <w:trHeight w:val="195"/>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Carole S. Ben-Maimon, M.D.</w:t>
            </w:r>
          </w:p>
        </w:tc>
      </w:tr>
      <w:tr>
        <w:trPr>
          <w:trHeight w:val="216"/>
        </w:trPr>
        <w:tc>
          <w:tcPr>
            <w:tcW w:w="3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48"/>
        </w:trPr>
        <w:tc>
          <w:tcPr>
            <w:tcW w:w="3640" w:type="dxa"/>
            <w:vAlign w:val="bottom"/>
          </w:tcPr>
          <w:p>
            <w:pPr>
              <w:ind w:left="20"/>
              <w:spacing w:after="0"/>
              <w:rPr>
                <w:sz w:val="20"/>
                <w:szCs w:val="20"/>
                <w:color w:val="auto"/>
              </w:rPr>
            </w:pPr>
            <w:r>
              <w:rPr>
                <w:rFonts w:ascii="Arial" w:cs="Arial" w:eastAsia="Arial" w:hAnsi="Arial"/>
                <w:sz w:val="18"/>
                <w:szCs w:val="18"/>
                <w:color w:val="auto"/>
              </w:rPr>
              <w:t>Date: November 14, 2023</w:t>
            </w:r>
          </w:p>
        </w:tc>
        <w:tc>
          <w:tcPr>
            <w:tcW w:w="2320" w:type="dxa"/>
            <w:vAlign w:val="bottom"/>
          </w:tcPr>
          <w:p>
            <w:pPr>
              <w:ind w:left="178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Celano</w:t>
            </w:r>
          </w:p>
        </w:tc>
      </w:tr>
      <w:tr>
        <w:trPr>
          <w:trHeight w:val="195"/>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Michael Celano</w:t>
            </w:r>
          </w:p>
        </w:tc>
      </w:tr>
      <w:tr>
        <w:trPr>
          <w:trHeight w:val="216"/>
        </w:trPr>
        <w:tc>
          <w:tcPr>
            <w:tcW w:w="3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648"/>
        </w:trPr>
        <w:tc>
          <w:tcPr>
            <w:tcW w:w="3640" w:type="dxa"/>
            <w:vAlign w:val="bottom"/>
          </w:tcPr>
          <w:p>
            <w:pPr>
              <w:spacing w:after="0"/>
              <w:rPr>
                <w:sz w:val="24"/>
                <w:szCs w:val="24"/>
                <w:color w:val="auto"/>
              </w:rPr>
            </w:pPr>
          </w:p>
        </w:tc>
        <w:tc>
          <w:tcPr>
            <w:tcW w:w="232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5280" w:type="dxa"/>
            <w:vAlign w:val="bottom"/>
          </w:tcPr>
          <w:p>
            <w:pPr>
              <w:spacing w:after="0"/>
              <w:rPr>
                <w:sz w:val="24"/>
                <w:szCs w:val="24"/>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Carole S. Ben-Maimon, M.D., certify that:</w:t>
      </w:r>
    </w:p>
    <w:p>
      <w:pPr>
        <w:spacing w:after="0" w:line="77"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Larimar Therapeutics, Inc.;</w:t>
      </w:r>
    </w:p>
    <w:p>
      <w:pPr>
        <w:spacing w:after="0" w:line="90" w:lineRule="exact"/>
        <w:rPr>
          <w:rFonts w:ascii="Arial" w:cs="Arial" w:eastAsia="Arial" w:hAnsi="Arial"/>
          <w:sz w:val="18"/>
          <w:szCs w:val="18"/>
          <w:color w:val="auto"/>
        </w:rPr>
      </w:pPr>
    </w:p>
    <w:p>
      <w:pPr>
        <w:ind w:right="260" w:firstLine="8"/>
        <w:spacing w:after="0" w:line="325" w:lineRule="auto"/>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540" w:firstLine="8"/>
        <w:spacing w:after="0" w:line="306" w:lineRule="auto"/>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140" w:right="80" w:hanging="383"/>
        <w:spacing w:after="0" w:line="263"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140" w:right="220" w:hanging="383"/>
        <w:spacing w:after="0" w:line="263"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jc w:val="both"/>
        <w:ind w:left="1140" w:right="380" w:hanging="383"/>
        <w:spacing w:after="0" w:line="334" w:lineRule="auto"/>
        <w:tabs>
          <w:tab w:leader="none" w:pos="1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140" w:right="80" w:hanging="383"/>
        <w:spacing w:after="0" w:line="263"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right="480" w:firstLine="8"/>
        <w:spacing w:after="0" w:line="306" w:lineRule="auto"/>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140" w:right="620" w:hanging="383"/>
        <w:spacing w:after="0" w:line="334" w:lineRule="auto"/>
        <w:tabs>
          <w:tab w:leader="none" w:pos="1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40" w:right="320" w:hanging="383"/>
        <w:spacing w:after="0" w:line="277"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1375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Carole S. Ben-Maimon, M.D.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Celano, certify that:</w:t>
      </w:r>
    </w:p>
    <w:p>
      <w:pPr>
        <w:spacing w:after="0" w:line="77"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Larimar Therapeutics, Inc.;</w:t>
      </w:r>
    </w:p>
    <w:p>
      <w:pPr>
        <w:spacing w:after="0" w:line="90" w:lineRule="exact"/>
        <w:rPr>
          <w:rFonts w:ascii="Arial" w:cs="Arial" w:eastAsia="Arial" w:hAnsi="Arial"/>
          <w:sz w:val="18"/>
          <w:szCs w:val="18"/>
          <w:color w:val="auto"/>
        </w:rPr>
      </w:pPr>
    </w:p>
    <w:p>
      <w:pPr>
        <w:ind w:right="260" w:firstLine="8"/>
        <w:spacing w:after="0" w:line="325"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540" w:firstLine="8"/>
        <w:spacing w:after="0" w:line="306" w:lineRule="auto"/>
        <w:tabs>
          <w:tab w:leader="none" w:pos="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140" w:right="80" w:hanging="383"/>
        <w:spacing w:after="0" w:line="263"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140" w:right="220" w:hanging="383"/>
        <w:spacing w:after="0" w:line="263"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jc w:val="both"/>
        <w:ind w:left="1140" w:right="380" w:hanging="383"/>
        <w:spacing w:after="0" w:line="334" w:lineRule="auto"/>
        <w:tabs>
          <w:tab w:leader="none" w:pos="11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140" w:right="80" w:hanging="383"/>
        <w:spacing w:after="0" w:line="263"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right="480" w:firstLine="8"/>
        <w:spacing w:after="0" w:line="306" w:lineRule="auto"/>
        <w:tabs>
          <w:tab w:leader="none" w:pos="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140" w:right="620" w:hanging="383"/>
        <w:spacing w:after="0" w:line="334" w:lineRule="auto"/>
        <w:tabs>
          <w:tab w:leader="none" w:pos="11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40" w:right="320" w:hanging="383"/>
        <w:spacing w:after="0" w:line="277"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1375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Celano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1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spacing w:after="0" w:line="119" w:lineRule="exact"/>
        <w:rPr>
          <w:sz w:val="20"/>
          <w:szCs w:val="20"/>
          <w:color w:val="auto"/>
        </w:rPr>
      </w:pPr>
    </w:p>
    <w:p>
      <w:pPr>
        <w:ind w:left="1500" w:right="80" w:hanging="743"/>
        <w:spacing w:after="0" w:line="277" w:lineRule="auto"/>
        <w:tabs>
          <w:tab w:leader="none" w:pos="1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September 30, 2023 (the “Report”) of the Company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left="1500" w:right="80" w:hanging="743"/>
        <w:spacing w:after="0" w:line="277" w:lineRule="auto"/>
        <w:tabs>
          <w:tab w:leader="none" w:pos="1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20"/>
        <w:spacing w:after="0"/>
        <w:tabs>
          <w:tab w:leader="none" w:pos="622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6"/>
          <w:szCs w:val="16"/>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23495</wp:posOffset>
            </wp:positionV>
            <wp:extent cx="32404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Carole S. Ben-Maimon, M.D.</w:t>
      </w:r>
    </w:p>
    <w:p>
      <w:pPr>
        <w:spacing w:after="0" w:line="3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20"/>
        <w:spacing w:after="0"/>
        <w:tabs>
          <w:tab w:leader="none" w:pos="622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6"/>
          <w:szCs w:val="16"/>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23495</wp:posOffset>
            </wp:positionV>
            <wp:extent cx="32404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Michael Celano</w:t>
      </w:r>
    </w:p>
    <w:p>
      <w:pPr>
        <w:spacing w:after="0" w:line="3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decimal"/>
      <w:start w:val="4"/>
    </w:lvl>
  </w:abstractNum>
  <w:abstractNum w:abstractNumId="8">
    <w:nsid w:val="6B68079A"/>
    <w:multiLevelType w:val="hybridMultilevel"/>
    <w:lvl w:ilvl="0">
      <w:lvlJc w:val="left"/>
      <w:lvlText w:val="%1."/>
      <w:numFmt w:val="decimal"/>
      <w:start w:val="5"/>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decimal"/>
      <w:start w:val="8"/>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lvl w:ilvl="1">
      <w:lvlJc w:val="left"/>
      <w:lvlText w:val="%2"/>
      <w:numFmt w:val="decimal"/>
      <w:start w:val="104"/>
    </w:lvl>
  </w:abstractNum>
  <w:abstractNum w:abstractNumId="19">
    <w:nsid w:val="333AB105"/>
    <w:multiLevelType w:val="hybridMultilevel"/>
    <w:lvl w:ilvl="0">
      <w:lvlJc w:val="left"/>
      <w:lvlText w:val="**"/>
      <w:numFmt w:val="bullet"/>
      <w:start w:val="1"/>
    </w:lvl>
    <w:lvl w:ilvl="1">
      <w:lvlJc w:val="left"/>
      <w:lvlText w:val="%2"/>
      <w:numFmt w:val="decimal"/>
      <w:start w:val="1"/>
    </w:lvl>
  </w:abstractNum>
  <w:abstractNum w:abstractNumId="20">
    <w:nsid w:val="721DA317"/>
    <w:multiLevelType w:val="hybridMultilevel"/>
    <w:lvl w:ilvl="0">
      <w:lvlJc w:val="left"/>
      <w:lvlText w:val="%1."/>
      <w:numFmt w:val="decimal"/>
      <w:start w:val="1"/>
    </w:lvl>
    <w:lvl w:ilvl="1">
      <w:lvlJc w:val="left"/>
      <w:lvlText w:val="%2."/>
      <w:numFmt w:val="decimal"/>
      <w:start w:val="1"/>
    </w:lvl>
  </w:abstractNum>
  <w:abstractNum w:abstractNumId="21">
    <w:nsid w:val="2443A858"/>
    <w:multiLevelType w:val="hybridMultilevel"/>
    <w:lvl w:ilvl="0">
      <w:lvlJc w:val="left"/>
      <w:lvlText w:val="%1."/>
      <w:numFmt w:val="decimal"/>
      <w:start w:val="1"/>
    </w:lvl>
    <w:lvl w:ilvl="1">
      <w:lvlJc w:val="left"/>
      <w:lvlText w:val="%2."/>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2023-11-14T13:07:11Z</dcterms:created>
  <dcterms:modified xsi:type="dcterms:W3CDTF">2023-11-14T13:07:11Z</dcterms:modified>
</cp:coreProperties>
</file>