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THOMAS FRANK E</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ZAFGEN, INC., 175</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07/13/2015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CAMBRIDGE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37.15</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07/13/2015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07/13/2025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12,000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the first anniversary of the date of the 2015 annual meeting of stockholders or the date of the 2016 annual meeting of stockholders.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w:t>
            </w:r>
          </w:p>
        </w:tc>
        <w:tc>
          <w:tcPr>
            <w:tcW w:w="7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07/15/2015</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6"/>
              </w:rPr>
              <w:t>(Attorney-In-Fact)</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16"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2019-12-23T15:42:16Z</dcterms:created>
  <dcterms:modified xsi:type="dcterms:W3CDTF">2019-12-23T15:42:16Z</dcterms:modified>
</cp:coreProperties>
</file>