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June 26, 2020</w:t>
      </w:r>
    </w:p>
    <w:p>
      <w:pPr>
        <w:spacing w:after="0" w:line="27" w:lineRule="exact"/>
        <w:rPr>
          <w:sz w:val="24"/>
          <w:szCs w:val="24"/>
          <w:color w:val="auto"/>
        </w:rPr>
      </w:pPr>
    </w:p>
    <w:p>
      <w:pPr>
        <w:ind w:left="89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20-3857670</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Three Bala Plaza East, Suite 506</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Bala Cynwyd, PA 19004</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(484) 414-2700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Carole Ben-Maimon, M.D.</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Larimar Therapeutics, Inc.</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Three Bala Plaza East, Suite 506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Bala Cynwyd, PA 19004</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(484) 414-2700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Rachael M. Bushey, Esq.</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Jennifer L. Porter, Esq.</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Pepper Hamilton LLP</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3000 Two Logan Square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Eighteenth and Arch Streets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Philadelphia, PA 19103</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(215) 981-4000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the effective date of this registration statement.</w:t>
      </w:r>
    </w:p>
    <w:p>
      <w:pPr>
        <w:spacing w:after="0" w:line="241" w:lineRule="exact"/>
        <w:rPr>
          <w:sz w:val="24"/>
          <w:szCs w:val="24"/>
          <w:color w:val="auto"/>
        </w:rPr>
      </w:pPr>
    </w:p>
    <w:p>
      <w:pPr>
        <w:ind w:left="120" w:right="66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2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2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14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80"/>
          </w:cols>
          <w:pgMar w:left="320" w:top="230" w:right="499" w:bottom="63" w:gutter="0" w:footer="0" w:header="0"/>
        </w:sectPr>
      </w:pPr>
    </w:p>
    <w:bookmarkStart w:id="1" w:name="page2"/>
    <w:bookmarkEnd w:id="1"/>
    <w:p>
      <w:pPr>
        <w:ind w:left="4" w:right="2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 (2)</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12,860,272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$13.29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$170,913,015</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8"/>
              </w:rPr>
              <w:t>$22,184.51</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120" w:hanging="424"/>
        <w:spacing w:after="0" w:line="270"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this Registration Statement shall also cover any additional shares of the Registrant’s common stock that become issuable by reason of any stock dividend, stock split, recapitalization or other similar transaction effected without receipt of consideration that increases the number of the Registrant’s outstanding shares of common stock.</w:t>
      </w:r>
    </w:p>
    <w:p>
      <w:pPr>
        <w:spacing w:after="0" w:line="1" w:lineRule="exact"/>
        <w:rPr>
          <w:rFonts w:ascii="Arial" w:cs="Arial" w:eastAsia="Arial" w:hAnsi="Arial"/>
          <w:sz w:val="17"/>
          <w:szCs w:val="17"/>
          <w:color w:val="auto"/>
        </w:rPr>
      </w:pPr>
    </w:p>
    <w:p>
      <w:pPr>
        <w:ind w:left="424" w:right="16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 457(c) solely for purposes of calculating the registration fee on the basis of the average of the high ($13.98) and low ($12.60) prices of Registrant’s common stock as reported on The Nasdaq Global Market on June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4" w:right="120" w:firstLine="4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1" w:lineRule="auto"/>
        <w:rPr>
          <w:sz w:val="20"/>
          <w:szCs w:val="20"/>
          <w:color w:val="auto"/>
        </w:rPr>
      </w:pPr>
      <w:r>
        <w:rPr>
          <w:rFonts w:ascii="Arial" w:cs="Arial" w:eastAsia="Arial" w:hAnsi="Arial"/>
          <w:sz w:val="17"/>
          <w:szCs w:val="17"/>
          <w:b w:val="1"/>
          <w:bCs w:val="1"/>
          <w:color w:val="FF4338"/>
        </w:rPr>
        <w:t>The information contained in this prospectus is not complete and may be changed. A registration statement relating to these securities has been filed with the Securities and Exchange Commission. The selling stockholders may not sell these securities until the Securities and Exchange Commission declares the registration statement effective. This prospectus is not an offer to sell these securities and it is not soliciting an offer to buy these securities in any jurisdiction where the offer or sale is not permitted.</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FF4338"/>
        </w:rPr>
        <w:t>SUBJECT TO COMPLETION, DATED JUNE 26,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171450</wp:posOffset>
            </wp:positionV>
            <wp:extent cx="2580005" cy="1028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8000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12,860,272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prospectus of Larimar Therapeutics, Inc. (formerly known as Zafgen, Inc.), a Delaware corporation, or Larimar, relates to the offering and resale by the selling stockholders identified herein of up to 12,860,272 shares of common stock of Larimar, par value $0.001 per share, or Common Stock. The shares offered by the selling stockholders consist of:</w:t>
      </w:r>
    </w:p>
    <w:p>
      <w:pPr>
        <w:spacing w:after="0" w:line="89" w:lineRule="exact"/>
        <w:rPr>
          <w:sz w:val="20"/>
          <w:szCs w:val="20"/>
          <w:color w:val="auto"/>
        </w:rPr>
      </w:pPr>
    </w:p>
    <w:p>
      <w:pPr>
        <w:ind w:left="1540" w:right="440" w:hanging="439"/>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6,091,250 shares that were privately issued pursuant to an Agreement and Plan of Merger, dated as of December 17, 2019, as amended, or the Merger Agreement, by and among Larimar, Zordich Merger Sub, Inc., a wholly-owned subsidiary of Larimar, Chondrial Therapeutics, Inc. and Chondrial Therapeutics Holdings, LLC, in connection with our merger with Chondrial Therapeutics, Inc., or the Merger;</w:t>
      </w:r>
    </w:p>
    <w:p>
      <w:pPr>
        <w:spacing w:after="0" w:line="92" w:lineRule="exact"/>
        <w:rPr>
          <w:rFonts w:ascii="Arial" w:cs="Arial" w:eastAsia="Arial" w:hAnsi="Arial"/>
          <w:sz w:val="18"/>
          <w:szCs w:val="18"/>
          <w:color w:val="auto"/>
        </w:rPr>
      </w:pPr>
    </w:p>
    <w:p>
      <w:pPr>
        <w:ind w:left="1540" w:right="180" w:hanging="439"/>
        <w:spacing w:after="0" w:line="277"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6,105,359 shares that were issued in a private placement pursuant to a Securities Purchase Agreement, dated May 28, 2020, or the Private Placement, by and among Larimar and the investors listed therein;</w:t>
      </w:r>
    </w:p>
    <w:p>
      <w:pPr>
        <w:spacing w:after="0" w:line="75" w:lineRule="exact"/>
        <w:rPr>
          <w:rFonts w:ascii="Arial" w:cs="Arial" w:eastAsia="Arial" w:hAnsi="Arial"/>
          <w:sz w:val="18"/>
          <w:szCs w:val="18"/>
          <w:color w:val="auto"/>
        </w:rPr>
      </w:pPr>
    </w:p>
    <w:p>
      <w:pPr>
        <w:ind w:left="1540" w:right="560" w:hanging="439"/>
        <w:spacing w:after="0" w:line="277"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628,403 shares that are issuable upon exercise of pre-funded warrants to purchase shares of Common Stock that we issued in connection with the Private Placement on May 28, 2020; and</w:t>
      </w:r>
    </w:p>
    <w:p>
      <w:pPr>
        <w:spacing w:after="0" w:line="75"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35,260 shares that were issued as compensation to a placement agent for services rendered to Larimar in connection with the Private Placement.</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shares of Common Stock described in this prospectus or in any supplement to this prospectus may be sold from time to time pursuant to this prospectus by the selling stockholders in ordinary brokerage transactions, in transactions in which brokers solicit purchases, in negotiated transactions, or in a combination of such methods of sale, at market prices prevailing at the time of sale, at prices related to such prevailing market prices, at fixed prices or prices subject to change, or at negotiated prices. See “Selling Stockholders” and “Plan of Distribution.” We cannot predict when or in what amounts the selling stockholders may sell any of the shares offered by this prospectus.</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are not selling any shares of our Common Stock, and we will not receive any of the proceeds from the sale of shares by the selling stockholders. The selling stockholders will pay all brokerage fees and commissions and similar sale-related expenses. We are only paying expenses relating to the registration of the shares with the U.S. Securities and Exchange Commission. The registration of the shares of our Common Stock does not necessarily mean that any of such shares will be offered or sold by the selling stockholders.</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“LRMR.” The last reported sale price of our Common Stock on June 25, 2020 was $14.04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40" w:firstLine="4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5 OF THIS PROSPECTUS AND ANY SIMILAR SECTION CONTAINED IN THE APPLICABLE PROSPECTUS SUPPLEMENT OR ANY DOCUMENTS THAT ARE INCORPORATED BY REFERENCE INTO THIS PROSPECTUS BEFORE INVESTING IN OUR SECURITIES</w:t>
      </w:r>
    </w:p>
    <w:p>
      <w:pPr>
        <w:spacing w:after="0" w:line="189"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46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1080"/>
          </w:cols>
          <w:pgMar w:left="320" w:top="459" w:right="499" w:bottom="1014"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2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CAUTIONARY NOTE REGARDING FORWARD-LOOKING STATEMENTS</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USE OF PROCEEDS</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SELLING STOCKHOLDERS</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PLAN OF DISTRIBUTION</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CAPITAL STOCK</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MATTERS</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EXPERTS</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WHERE YOU CAN FIND MORE INFORMATION</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2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INCORPORATION OF CERTAIN INFORMATION BY REFERENCE</w:t>
              </w:r>
            </w:hyperlink>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64"/>
        </w:trPr>
        <w:tc>
          <w:tcPr>
            <w:tcW w:w="8220" w:type="dxa"/>
            <w:vAlign w:val="bottom"/>
          </w:tcPr>
          <w:p>
            <w:pPr>
              <w:ind w:left="5420"/>
              <w:spacing w:after="0"/>
              <w:rPr>
                <w:sz w:val="20"/>
                <w:szCs w:val="20"/>
                <w:color w:val="auto"/>
              </w:rPr>
            </w:pPr>
            <w:r>
              <w:rPr>
                <w:rFonts w:ascii="Arial" w:cs="Arial" w:eastAsia="Arial" w:hAnsi="Arial"/>
                <w:sz w:val="18"/>
                <w:szCs w:val="18"/>
                <w:color w:val="auto"/>
              </w:rPr>
              <w:t>-i-</w:t>
            </w:r>
          </w:p>
        </w:tc>
        <w:tc>
          <w:tcPr>
            <w:tcW w:w="27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40" w:firstLine="991"/>
        <w:spacing w:after="0" w:line="25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SEC, pursuant to which the selling stockholders named herein may, from time to time, offer and sell or otherwise dispose of the shares of our common stock covered by this prospectus. If required, each time a selling stockholder offers common stock, in addition to this prospectus, we may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w:t>
      </w:r>
    </w:p>
    <w:p>
      <w:pPr>
        <w:spacing w:after="0" w:line="195"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the captions “Where You Can Find Additional Information” and “Information Incorporated by Reference” in this prospectus.</w:t>
      </w:r>
    </w:p>
    <w:p>
      <w:pPr>
        <w:spacing w:after="0" w:line="174" w:lineRule="exact"/>
        <w:rPr>
          <w:sz w:val="20"/>
          <w:szCs w:val="20"/>
          <w:color w:val="auto"/>
        </w:rPr>
      </w:pPr>
    </w:p>
    <w:p>
      <w:pPr>
        <w:ind w:left="120" w:right="140" w:firstLine="991"/>
        <w:spacing w:after="0" w:line="291" w:lineRule="auto"/>
        <w:rPr>
          <w:sz w:val="20"/>
          <w:szCs w:val="20"/>
          <w:color w:val="auto"/>
        </w:rPr>
      </w:pPr>
      <w:r>
        <w:rPr>
          <w:rFonts w:ascii="Arial" w:cs="Arial" w:eastAsia="Arial" w:hAnsi="Arial"/>
          <w:sz w:val="16"/>
          <w:szCs w:val="16"/>
          <w:b w:val="1"/>
          <w:bCs w:val="1"/>
          <w:color w:val="auto"/>
        </w:rPr>
        <w:t>Neither we nor the selling stockholders have authorized any dealer, agent or other person to give any information or to make any representation other than those contained or incorporated by reference in this prospectus and any accompanying prospectus supplement or related free writing prospectus. You must not rely upon any information or representation not contained or incorporated by reference in this prospectus or an accompanying prospectus supplement or related free writing prospectus. This prospectus and any accompanying prospectus supplement or related free writing prospectus, if any, do not constitute an offer to sell or the solicitation of an offer to buy any securities other than the registered securities to which they relate, nor does this prospectus and any accompanying prospectus supplement or related free writing prospectus, if any, constitute an offer to sell or the solicitation of an offer to buy securities in any jurisdiction to any person to whom it is unlawful to make such offer or solicitation in such jurisdiction.</w:t>
      </w:r>
    </w:p>
    <w:p>
      <w:pPr>
        <w:spacing w:after="0" w:line="163"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74" w:lineRule="exact"/>
        <w:rPr>
          <w:sz w:val="20"/>
          <w:szCs w:val="20"/>
          <w:color w:val="auto"/>
        </w:rPr>
      </w:pPr>
    </w:p>
    <w:p>
      <w:pPr>
        <w:ind w:left="120" w:right="20" w:firstLine="991"/>
        <w:spacing w:after="0" w:line="258" w:lineRule="auto"/>
        <w:rPr>
          <w:sz w:val="20"/>
          <w:szCs w:val="20"/>
          <w:color w:val="auto"/>
        </w:rPr>
      </w:pPr>
      <w:r>
        <w:rPr>
          <w:rFonts w:ascii="Arial" w:cs="Arial" w:eastAsia="Arial" w:hAnsi="Arial"/>
          <w:sz w:val="18"/>
          <w:szCs w:val="18"/>
          <w:b w:val="1"/>
          <w:bCs w:val="1"/>
          <w:color w:val="auto"/>
        </w:rPr>
        <w:t>Unless the context otherwise requires, references in this prospectus to “Larimar,” the “Company,” “we,” “our” or “us” refer to Larimar Therapeutics, Inc. (formerly known as Zafgen, Inc.) and its subsidiaries, references to “Zafgen” refer to the Company prior to the completion of the Merger, references to “Chondrial” refer to Chondrial Therapeutics, Inc., a privately held corporation prior to the completion of the Merger, and references to “Merger Subsidiary” refer to Zordich Merger Sub, Inc., the Company’s wholly owned subsidiary following the Merger.</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40" w:firstLine="959"/>
        <w:spacing w:after="0" w:line="272" w:lineRule="auto"/>
        <w:rPr>
          <w:sz w:val="20"/>
          <w:szCs w:val="20"/>
          <w:color w:val="auto"/>
        </w:rPr>
      </w:pPr>
      <w:r>
        <w:rPr>
          <w:rFonts w:ascii="Arial" w:cs="Arial" w:eastAsia="Arial" w:hAnsi="Arial"/>
          <w:sz w:val="17"/>
          <w:szCs w:val="17"/>
          <w:color w:val="auto"/>
        </w:rPr>
        <w:t>This summary description about us and our business highlights selected information contained elsewhere in this prospectus or incorporated by reference into this prospectus. It does not contain all the information you should consider before investing in our securities. You should carefully read the entire prospectus, any applicable prospectus supplement and any related free writing prospectus, including the risks of investing in our common stock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300" w:right="220" w:firstLine="959"/>
        <w:spacing w:after="0" w:line="255" w:lineRule="auto"/>
        <w:rPr>
          <w:sz w:val="20"/>
          <w:szCs w:val="20"/>
          <w:color w:val="auto"/>
        </w:rPr>
      </w:pPr>
      <w:r>
        <w:rPr>
          <w:rFonts w:ascii="Arial" w:cs="Arial" w:eastAsia="Arial" w:hAnsi="Arial"/>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enough FXN due to a genetic abnormality and for which there is currently no effective therapy. We have received orphan drug status, fast track designation, and rare pediatric disease designation from the FDA for CTI-1601.</w:t>
      </w:r>
    </w:p>
    <w:p>
      <w:pPr>
        <w:spacing w:after="0" w:line="192" w:lineRule="exact"/>
        <w:rPr>
          <w:sz w:val="20"/>
          <w:szCs w:val="20"/>
          <w:color w:val="auto"/>
        </w:rPr>
      </w:pPr>
    </w:p>
    <w:p>
      <w:pPr>
        <w:ind w:left="300" w:right="140" w:firstLine="959"/>
        <w:spacing w:after="0" w:line="270" w:lineRule="auto"/>
        <w:rPr>
          <w:sz w:val="20"/>
          <w:szCs w:val="20"/>
          <w:color w:val="auto"/>
        </w:rPr>
      </w:pPr>
      <w:r>
        <w:rPr>
          <w:rFonts w:ascii="Arial" w:cs="Arial" w:eastAsia="Arial" w:hAnsi="Arial"/>
          <w:sz w:val="17"/>
          <w:szCs w:val="17"/>
          <w:color w:val="auto"/>
        </w:rPr>
        <w:t>We are currently evaluating CTI-1601 in a single ascending dose, or SAD, Phase 1 clinical trial in patients with Friedreich’s Ataxia. The first two cohorts of patients have completed the SAD clinical trial; however, due to the continued impact of coronavirus, or COVID-19, we have delayed initiation of the next cohort in the SAD clinical trial. We are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our clinical trial site for dosing. Due to the uncertainty surrounding COVID-19, we cannot estimate when the next cohort of patients will begin the clinical trial. While top line results from the SAD and the planned multiple ascending dose, or MAD, clinical trials were originally expected by the end of 2020, the delay in the clinical trial timeline caused by the ongoing impact of COVID-19 has resulted in top line results being expected in first half of 2021.</w:t>
      </w:r>
    </w:p>
    <w:p>
      <w:pPr>
        <w:spacing w:after="0" w:line="181" w:lineRule="exact"/>
        <w:rPr>
          <w:sz w:val="20"/>
          <w:szCs w:val="20"/>
          <w:color w:val="auto"/>
        </w:rPr>
      </w:pPr>
    </w:p>
    <w:p>
      <w:pPr>
        <w:ind w:left="300" w:firstLine="959"/>
        <w:spacing w:after="0" w:line="273" w:lineRule="auto"/>
        <w:rPr>
          <w:sz w:val="20"/>
          <w:szCs w:val="20"/>
          <w:color w:val="auto"/>
        </w:rPr>
      </w:pPr>
      <w:r>
        <w:rPr>
          <w:rFonts w:ascii="Arial" w:cs="Arial" w:eastAsia="Arial" w:hAnsi="Arial"/>
          <w:sz w:val="17"/>
          <w:szCs w:val="17"/>
          <w:color w:val="auto"/>
        </w:rPr>
        <w:t>We intend to work closely with regulatory authorities in the design of our clinical program for CTI-1601. Regulatory authorities in the United States and European Union have not issued definitive guidance as to how to measure and achieve efficacy in treatments for Friedreich’s Ataxia. As a result, the design and conduct of clinical trials of CTI-1601 may take longer or be more costly due to the novelty of development in Friedreich’s Ataxia. We may use new or novel endpoints or methodologies, which regulatory authorities may disagree with. Even if applicable regulatory authorities do not object to our proposed endpoints in an earlier stage clinical trial, such regulatory authorities may require evaluation of additional or different clinical endpoints in a later-stage clinical trial.</w:t>
      </w:r>
    </w:p>
    <w:p>
      <w:pPr>
        <w:spacing w:after="0" w:line="178" w:lineRule="exact"/>
        <w:rPr>
          <w:sz w:val="20"/>
          <w:szCs w:val="20"/>
          <w:color w:val="auto"/>
        </w:rPr>
      </w:pPr>
    </w:p>
    <w:p>
      <w:pPr>
        <w:ind w:left="300" w:right="60" w:firstLine="959"/>
        <w:spacing w:after="0" w:line="254" w:lineRule="auto"/>
        <w:rPr>
          <w:sz w:val="20"/>
          <w:szCs w:val="20"/>
          <w:color w:val="auto"/>
        </w:rPr>
      </w:pPr>
      <w:r>
        <w:rPr>
          <w:rFonts w:ascii="Arial" w:cs="Arial" w:eastAsia="Arial" w:hAnsi="Arial"/>
          <w:sz w:val="18"/>
          <w:szCs w:val="18"/>
          <w:color w:val="auto"/>
        </w:rPr>
        <w:t>In addition to its Phase 1 clinical trials, we are also evaluating CTI-1601 in good laboratory practices, or GLP, toxicology studies, including 90-day GLP toxicity studies in rats and non-human primates, or NHPs. These studies are ongoing and the results of these studies are intended to be used to support the initiation of clinical trials that require the administration of CTI-1601 for longer than 28 days. During the course of the NHP study, we observed occasional transient rigidity immediately after dosing in certain NHPs. These NHPs required no intervention and the NHPs completed the in-life portion of the study. As this study is ongoing, we and our consultants are conducting additional analysis and awaiting certain results. The results from this study as well as the results from other toxicology studies could affect the timing and design of the development program for CTI-1601.</w:t>
      </w:r>
    </w:p>
    <w:p>
      <w:pPr>
        <w:spacing w:after="0" w:line="195" w:lineRule="exact"/>
        <w:rPr>
          <w:sz w:val="20"/>
          <w:szCs w:val="20"/>
          <w:color w:val="auto"/>
        </w:rPr>
      </w:pPr>
    </w:p>
    <w:p>
      <w:pPr>
        <w:ind w:left="300" w:right="300" w:firstLine="959"/>
        <w:spacing w:after="0" w:line="277" w:lineRule="auto"/>
        <w:rPr>
          <w:sz w:val="20"/>
          <w:szCs w:val="20"/>
          <w:color w:val="auto"/>
        </w:rPr>
      </w:pPr>
      <w:r>
        <w:rPr>
          <w:rFonts w:ascii="Arial" w:cs="Arial" w:eastAsia="Arial" w:hAnsi="Arial"/>
          <w:sz w:val="18"/>
          <w:szCs w:val="18"/>
          <w:color w:val="auto"/>
        </w:rPr>
        <w:t>We are dependent on certain intellectual property licensed from Wake Forest University Health Sciences, or WFUHS, and Indiana University, or IU, for the development and, if approved, commercialization of CTI-1601.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02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8021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Merger, Reverse Stock Split and Name Change</w:t>
      </w:r>
    </w:p>
    <w:p>
      <w:pPr>
        <w:spacing w:after="0" w:line="121" w:lineRule="exact"/>
        <w:rPr>
          <w:sz w:val="20"/>
          <w:szCs w:val="20"/>
          <w:color w:val="auto"/>
        </w:rPr>
      </w:pPr>
    </w:p>
    <w:p>
      <w:pPr>
        <w:ind w:left="300" w:right="40" w:firstLine="959"/>
        <w:spacing w:after="0" w:line="279" w:lineRule="auto"/>
        <w:rPr>
          <w:sz w:val="20"/>
          <w:szCs w:val="20"/>
          <w:color w:val="auto"/>
        </w:rPr>
      </w:pPr>
      <w:r>
        <w:rPr>
          <w:rFonts w:ascii="Arial" w:cs="Arial" w:eastAsia="Arial" w:hAnsi="Arial"/>
          <w:sz w:val="17"/>
          <w:szCs w:val="17"/>
          <w:color w:val="auto"/>
        </w:rPr>
        <w:t>On May 28, 2020, we completed our business combination with Chondrial Therapeutics, Inc., or Chondrial, in accordance with the terms of the Agreement and Plan of Merger, dated as of December 17, 2019, as amended, or the Merger Agreement, by and among us, Chondrial, a wholly-owned subsidiary of ours, or Merger Sub, and Chondrial Holdings, LLC, or Holdings, the sole stockholder of Chondrial, pursuant to which Merger Sub merged with and into Chondrial, with Chondrial surviving as a wholly-owned subsidiary of ours, or the Merger.</w:t>
      </w:r>
    </w:p>
    <w:p>
      <w:pPr>
        <w:spacing w:after="0" w:line="171" w:lineRule="exact"/>
        <w:rPr>
          <w:sz w:val="20"/>
          <w:szCs w:val="20"/>
          <w:color w:val="auto"/>
        </w:rPr>
      </w:pPr>
    </w:p>
    <w:p>
      <w:pPr>
        <w:ind w:left="300" w:firstLine="959"/>
        <w:spacing w:after="0" w:line="291" w:lineRule="auto"/>
        <w:rPr>
          <w:sz w:val="20"/>
          <w:szCs w:val="20"/>
          <w:color w:val="auto"/>
        </w:rPr>
      </w:pPr>
      <w:r>
        <w:rPr>
          <w:rFonts w:ascii="Arial" w:cs="Arial" w:eastAsia="Arial" w:hAnsi="Arial"/>
          <w:sz w:val="16"/>
          <w:szCs w:val="16"/>
          <w:color w:val="auto"/>
        </w:rPr>
        <w:t>In connection with, and immediately prior to the completion of the Merger, we effected a reverse stock split of our common stock, at a ratio of 1-for-12, or the Reverse Stock Split. Under the terms of the Merger Agreement, we issued common stock to Holdings at an exchange ratio of 60,912.5005 shares of common stock, after taking into account the Reverse Stock Split, for each share of Chondrial’s common stock outstanding immediately prior to the Merger. Holdings subsequently distributed the shares of our common stock it received in the Merger to its members. Immediately after the completion of the Merger, we changed our name from “Zafgen, Inc.” to “Larimar Therapeutics, Inc.,” Chondrial was determined to be the accounting acquirer, our historical financials will be those of Chondrial and the business conducted by us became the business conducted by Chondrial. Our global headquarters are located at Three Bala Plaza East, Suite 506, Bala Cynwyd, Pennsylvania 19004.</w:t>
      </w:r>
    </w:p>
    <w:p>
      <w:pPr>
        <w:spacing w:after="0" w:line="166" w:lineRule="exact"/>
        <w:rPr>
          <w:sz w:val="20"/>
          <w:szCs w:val="20"/>
          <w:color w:val="auto"/>
        </w:rPr>
      </w:pPr>
    </w:p>
    <w:p>
      <w:pPr>
        <w:ind w:left="300" w:right="80" w:firstLine="959"/>
        <w:spacing w:after="0" w:line="290" w:lineRule="auto"/>
        <w:rPr>
          <w:sz w:val="20"/>
          <w:szCs w:val="20"/>
          <w:color w:val="auto"/>
        </w:rPr>
      </w:pPr>
      <w:r>
        <w:rPr>
          <w:rFonts w:ascii="Arial" w:cs="Arial" w:eastAsia="Arial" w:hAnsi="Arial"/>
          <w:sz w:val="16"/>
          <w:szCs w:val="16"/>
          <w:color w:val="auto"/>
        </w:rPr>
        <w:t>Pursuant to the Merger Agreement, we agreed to file, no later than 30 days after the closing of the Merger, a registration statement with the SEC covering the resale of the shares acquired by the members of Holdings, or the Members, in connection with the Merger, and to use commercially reasonable efforts to have the registration statement declared effective as soon as practicable after the filing. We also entered into a Registration Rights Agreement, or the Merger Registration Rights Agreement, with the Members pursuant to which we agreed to maintain the effectiveness of the registration statement for a period that will terminate upon the date on which all of the shares of our common stock covered by such registration statement may be sold without restriction or limitation pursuant to Rule 144 of the Securities Act of 1933, as amended, or the Securities Act, and without the requirement to be in compliance with Rule 144(c)(1) (or any successor thereto) promulgated under the Securities Act during any ninety (90) day period, or the Effectiveness Period. This prospectus is part of that registration statement.</w:t>
      </w:r>
    </w:p>
    <w:p>
      <w:pPr>
        <w:spacing w:after="0" w:line="165" w:lineRule="exact"/>
        <w:rPr>
          <w:sz w:val="20"/>
          <w:szCs w:val="20"/>
          <w:color w:val="auto"/>
        </w:rPr>
      </w:pPr>
    </w:p>
    <w:p>
      <w:pPr>
        <w:ind w:left="300" w:firstLine="959"/>
        <w:spacing w:after="0" w:line="271" w:lineRule="auto"/>
        <w:rPr>
          <w:sz w:val="20"/>
          <w:szCs w:val="20"/>
          <w:color w:val="auto"/>
        </w:rPr>
      </w:pPr>
      <w:r>
        <w:rPr>
          <w:rFonts w:ascii="Arial" w:cs="Arial" w:eastAsia="Arial" w:hAnsi="Arial"/>
          <w:sz w:val="17"/>
          <w:szCs w:val="17"/>
          <w:color w:val="auto"/>
        </w:rPr>
        <w:t>The description of the Merger Agreement and the Merger Registration Rights Agreement are not complete and are qualified in their entirety by reference to the Merger Agreement, which has been filed as an exhibit to our Annual Report on Form 10-K, filed on March 5, 2020, and to the Merger Registration Rights Agreement, which has been filed as an exhibit to the registration statement of which this prospectus is a part. See “Where You Can Find More Information” and “Information Incorporated by Reference.” The representations, warranties and covenants made by us in such agreements were made solely for the benefit of the parties to such agreements, including, in some cases, for the purpose of allocating risk among the parties thereto,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Private Placement of Common Stock and Pre-Funded Warrants</w:t>
      </w:r>
    </w:p>
    <w:p>
      <w:pPr>
        <w:spacing w:after="0" w:line="121" w:lineRule="exact"/>
        <w:rPr>
          <w:sz w:val="20"/>
          <w:szCs w:val="20"/>
          <w:color w:val="auto"/>
        </w:rPr>
      </w:pPr>
    </w:p>
    <w:p>
      <w:pPr>
        <w:ind w:left="300" w:firstLine="959"/>
        <w:spacing w:after="0" w:line="254" w:lineRule="auto"/>
        <w:rPr>
          <w:sz w:val="20"/>
          <w:szCs w:val="20"/>
          <w:color w:val="auto"/>
        </w:rPr>
      </w:pPr>
      <w:r>
        <w:rPr>
          <w:rFonts w:ascii="Arial" w:cs="Arial" w:eastAsia="Arial" w:hAnsi="Arial"/>
          <w:sz w:val="18"/>
          <w:szCs w:val="18"/>
          <w:color w:val="auto"/>
        </w:rPr>
        <w:t>On May 28, 2020, we entered into a Securities Purchase Agreement, or the Purchase Agreement, with certain investors listed therein, or the Investors, which provided for the sale and issuance in a private placement, promptly after the consummation of the Merger, of 6,105,359 shares of our common stock, and pre-funded warrants to purchase an aggregate of 628,403 shares of our common stock, or the Pre-Funded Warrants, at a per share purchase price of $11.88 per share of common stock (which price is equal to the closing price of our common stock on May 28, 2020, after taking into account the Reverse Stock Split) and $11.87 per Pre-Funded Warrant, or the Private Placement. The aggregate gross proceeds for the sale of the shares of common stock was $80 million, and after deducting certain of our expenses, the net proceeds received by us in the Private Placement was $75.5 million.</w:t>
      </w:r>
    </w:p>
    <w:p>
      <w:pPr>
        <w:spacing w:after="0" w:line="195" w:lineRule="exact"/>
        <w:rPr>
          <w:sz w:val="20"/>
          <w:szCs w:val="20"/>
          <w:color w:val="auto"/>
        </w:rPr>
      </w:pPr>
    </w:p>
    <w:p>
      <w:pPr>
        <w:ind w:left="300" w:right="200" w:firstLine="959"/>
        <w:spacing w:after="0" w:line="257" w:lineRule="auto"/>
        <w:rPr>
          <w:sz w:val="20"/>
          <w:szCs w:val="20"/>
          <w:color w:val="auto"/>
        </w:rPr>
      </w:pPr>
      <w:r>
        <w:rPr>
          <w:rFonts w:ascii="Arial" w:cs="Arial" w:eastAsia="Arial" w:hAnsi="Arial"/>
          <w:sz w:val="18"/>
          <w:szCs w:val="18"/>
          <w:color w:val="auto"/>
        </w:rPr>
        <w:t>Concurrently with the execution of the Purchase Agreement, we entered into a Registration Rights Agreement, or the Private Placement Registration Rights Agreement, pursuant to which we agreed to file, no later than 30 days after the closing of the Private Placement, a registration statement with the SEC covering the resale of the shares sold to the Investors in the Private Placement, and to use commercially reasonable efforts to have the registration statement declared effective as soon as practicable after the filing. This prospectus is part of that registration statement.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18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2618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959"/>
        <w:spacing w:after="0" w:line="263" w:lineRule="auto"/>
        <w:rPr>
          <w:sz w:val="20"/>
          <w:szCs w:val="20"/>
          <w:color w:val="auto"/>
        </w:rPr>
      </w:pPr>
      <w:r>
        <w:rPr>
          <w:rFonts w:ascii="Arial" w:cs="Arial" w:eastAsia="Arial" w:hAnsi="Arial"/>
          <w:sz w:val="18"/>
          <w:szCs w:val="18"/>
          <w:color w:val="auto"/>
        </w:rPr>
        <w:t>Under the Private Placement Registration Rights Agreement, we also agreed to maintain the effectiveness of the registration statement until the earliest to occur of: (i) the second anniversary of the effective date of the Private Placement Registration Rights Agreement, or (ii) the Effectiveness Period.</w:t>
      </w:r>
    </w:p>
    <w:p>
      <w:pPr>
        <w:spacing w:after="0" w:line="184" w:lineRule="exact"/>
        <w:rPr>
          <w:sz w:val="20"/>
          <w:szCs w:val="20"/>
          <w:color w:val="auto"/>
        </w:rPr>
      </w:pPr>
    </w:p>
    <w:p>
      <w:pPr>
        <w:ind w:left="300" w:right="40" w:firstLine="959"/>
        <w:spacing w:after="0" w:line="291" w:lineRule="auto"/>
        <w:rPr>
          <w:sz w:val="20"/>
          <w:szCs w:val="20"/>
          <w:color w:val="auto"/>
        </w:rPr>
      </w:pPr>
      <w:r>
        <w:rPr>
          <w:rFonts w:ascii="Arial" w:cs="Arial" w:eastAsia="Arial" w:hAnsi="Arial"/>
          <w:sz w:val="16"/>
          <w:szCs w:val="16"/>
          <w:color w:val="auto"/>
        </w:rPr>
        <w:t>The description of the Purchase Agreement and the Private Placement Registration Rights Agreement are not complete and are qualified in their entirety by reference to the Purchase Agreement and the Private Placement Registration Rights Agreement, each of which have been filed as an exhibit to our Current Report on Form 8-K filed on June 2, 2020. See “Where You Can Find More Information” and “Information Incorporated by Reference.” The representations, warranties and covenants made by us in such agreements were made solely for the benefit of the parties to such agreements, including, in some cases, for the purpose of allocating risk among the parties thereto,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Description of Placement Agent Shares</w:t>
      </w:r>
    </w:p>
    <w:p>
      <w:pPr>
        <w:spacing w:after="0" w:line="121" w:lineRule="exact"/>
        <w:rPr>
          <w:sz w:val="20"/>
          <w:szCs w:val="20"/>
          <w:color w:val="auto"/>
        </w:rPr>
      </w:pPr>
    </w:p>
    <w:p>
      <w:pPr>
        <w:ind w:left="300" w:right="300" w:firstLine="959"/>
        <w:spacing w:after="0" w:line="263" w:lineRule="auto"/>
        <w:rPr>
          <w:sz w:val="20"/>
          <w:szCs w:val="20"/>
          <w:color w:val="auto"/>
        </w:rPr>
      </w:pPr>
      <w:r>
        <w:rPr>
          <w:rFonts w:ascii="Arial" w:cs="Arial" w:eastAsia="Arial" w:hAnsi="Arial"/>
          <w:sz w:val="18"/>
          <w:szCs w:val="18"/>
          <w:color w:val="auto"/>
        </w:rPr>
        <w:t>MTS Health Partners served as placement agent to us in connection with the Private Placement. As partial compensation for these services, we issued MTS Health Partners 35,260 shares of our common stock. We have agreed to register such shares in connection with the registration statement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Investing in our securities involves a high degree of risk. You should carefully consider the risk factors set forth under “Risk Factors” in</w:t>
      </w:r>
    </w:p>
    <w:p>
      <w:pPr>
        <w:spacing w:after="0" w:line="46" w:lineRule="exact"/>
        <w:rPr>
          <w:sz w:val="20"/>
          <w:szCs w:val="20"/>
          <w:color w:val="auto"/>
        </w:rPr>
      </w:pPr>
    </w:p>
    <w:p>
      <w:pPr>
        <w:ind w:left="120" w:right="100" w:hanging="4"/>
        <w:spacing w:after="0" w:line="26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2019, (ii) our Quarterly Report on Form 10-Q for the three months ended March 31, 2020 and (iii) our current report on Form 8-K/A filed on June 26, 2020, each of which is incorporated by reference in this prospectus, together with all other information contained or incorporated by reference in this prospectus, as updated by our subsequent filings under the Exchange Act, and the risk factors and other information contained in any applicable prospectus supplement, before deciding whether to purchase any of the securities being registered pursuant to the registration statement of which this prospectus is a part. The risks and uncertainties we describe in the documents incorporated by reference herein are not the only ones we face. Additional risks and uncertainties not presently known to us could adversely affect our business, operating results and financial condition, as well as adversely affect the value of an investment in our securities, and the occurrence of any of these risks might cause you to lose all or part of your investment.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number of shares being registered for sale is significant in relation to the number of outstanding shares of our Common Stock.</w:t>
      </w:r>
    </w:p>
    <w:p>
      <w:pPr>
        <w:spacing w:after="0" w:line="1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filed a registration statement of which this prospectus is a part to register the shares offered hereunder for sale into the public market by the selling stockholders. Upon registration of the shares of common stock offered hereunder, 6,769,022 shares of the common stock registered hereunder may be resold in the public market immediately without restriction. The remaining 6,091,250 shares of the common stock registered hereunder are currently restricted as a result of lock-up agreements but will be freely tradeable 180 days after May 28, 2020, the closing date of the Merger. These shares represent a large number of shares of our common stock, and if sold in the market all at once or at about the same time, could depress the market price of our common stock during the period the registration statement remains effective and could also affect our ability to raise equity capital.</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80" w:firstLine="991"/>
        <w:spacing w:after="0" w:line="293" w:lineRule="auto"/>
        <w:rPr>
          <w:sz w:val="20"/>
          <w:szCs w:val="20"/>
          <w:color w:val="auto"/>
        </w:rPr>
      </w:pPr>
      <w:r>
        <w:rPr>
          <w:rFonts w:ascii="Arial" w:cs="Arial" w:eastAsia="Arial" w:hAnsi="Arial"/>
          <w:sz w:val="16"/>
          <w:szCs w:val="16"/>
          <w:color w:val="auto"/>
        </w:rPr>
        <w:t>This prospectus and the documents incorporated by reference into this prospectus may contain forward-looking statements within the meaning of Section 27A of the Securities Act, and Section 21E of the Exchange Act, about us and our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but are not limited to, statements concerning:</w:t>
      </w:r>
    </w:p>
    <w:p>
      <w:pPr>
        <w:spacing w:after="0" w:line="70" w:lineRule="exact"/>
        <w:rPr>
          <w:sz w:val="20"/>
          <w:szCs w:val="20"/>
          <w:color w:val="auto"/>
        </w:rPr>
      </w:pPr>
    </w:p>
    <w:p>
      <w:pPr>
        <w:ind w:left="108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and cash equivalents;</w:t>
      </w:r>
    </w:p>
    <w:p>
      <w:pPr>
        <w:spacing w:after="0" w:line="130" w:lineRule="exact"/>
        <w:rPr>
          <w:rFonts w:ascii="Arial" w:cs="Arial" w:eastAsia="Arial" w:hAnsi="Arial"/>
          <w:sz w:val="18"/>
          <w:szCs w:val="18"/>
          <w:color w:val="auto"/>
        </w:rPr>
      </w:pPr>
    </w:p>
    <w:p>
      <w:pPr>
        <w:ind w:left="1080" w:right="32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any value from CTI-1601 and any other product candidate we may develop in the future and preclinical programs being developed and anticipated to be developed in light of inherent risks and difficulties involved in successfully bringing product candidates to market and the risk that products will not achieve broad market acceptance;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our anticipated clinical timelines and milestones for CTI-1601 associated with COVID-19;</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 obtaining successful clinical results for CTI-1601 or any other product candidate that we may develop in the future and unexpected costs that may result therefrom;</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regulatory schemes applicable to our business and other regulatory developments in the United States and foreign countries;</w:t>
      </w:r>
    </w:p>
    <w:p>
      <w:pPr>
        <w:spacing w:after="0" w:line="75" w:lineRule="exact"/>
        <w:rPr>
          <w:rFonts w:ascii="Arial" w:cs="Arial" w:eastAsia="Arial" w:hAnsi="Arial"/>
          <w:sz w:val="18"/>
          <w:szCs w:val="18"/>
          <w:color w:val="auto"/>
        </w:rPr>
      </w:pPr>
    </w:p>
    <w:p>
      <w:pPr>
        <w:ind w:left="1080" w:right="260" w:hanging="532"/>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51" w:lineRule="exact"/>
        <w:rPr>
          <w:rFonts w:ascii="Arial" w:cs="Arial" w:eastAsia="Arial" w:hAnsi="Arial"/>
          <w:sz w:val="17"/>
          <w:szCs w:val="17"/>
          <w:color w:val="auto"/>
        </w:rPr>
      </w:pPr>
    </w:p>
    <w:p>
      <w:pPr>
        <w:ind w:left="1080" w:right="16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75" w:lineRule="exact"/>
        <w:rPr>
          <w:rFonts w:ascii="Arial" w:cs="Arial" w:eastAsia="Arial" w:hAnsi="Arial"/>
          <w:sz w:val="18"/>
          <w:szCs w:val="18"/>
          <w:color w:val="auto"/>
        </w:rPr>
      </w:pPr>
    </w:p>
    <w:p>
      <w:pPr>
        <w:jc w:val="both"/>
        <w:ind w:left="1080" w:right="16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that we may develop in the future and our ability to serve those markets;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and products that are or become available;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third-parties upon which we depend, including third-party contract research organizations, and third-party suppliers, manufacturers, group purchasing organizations, distributors and logistics providers;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relationships, profitability and contracts with our key commercial partners;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recruit or retain key scientific, technical, commercial, and management personnel or to retain our executive officers;</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stringent U.S. and foreign government regulation in the manufacture of pharmaceutical products, including good manufacturing practice compliance and other relevant regulatory authorities;</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75" w:lineRule="exact"/>
        <w:rPr>
          <w:rFonts w:ascii="Arial" w:cs="Arial" w:eastAsia="Arial" w:hAnsi="Arial"/>
          <w:sz w:val="18"/>
          <w:szCs w:val="18"/>
          <w:color w:val="auto"/>
        </w:rPr>
      </w:pPr>
    </w:p>
    <w:p>
      <w:pPr>
        <w:ind w:left="1080" w:right="220" w:hanging="532"/>
        <w:spacing w:after="0" w:line="308"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other risks, uncertainties and factors discussed under the heading “Risk Factors” in our most recent Proxy Statement on Form DEFM 14-A, as revised and supplemented by those risks described from time to time in other reports which we file with the SEC.</w:t>
      </w:r>
    </w:p>
    <w:p>
      <w:pPr>
        <w:spacing w:after="0" w:line="146" w:lineRule="exact"/>
        <w:rPr>
          <w:sz w:val="20"/>
          <w:szCs w:val="20"/>
          <w:color w:val="auto"/>
        </w:rPr>
      </w:pPr>
    </w:p>
    <w:p>
      <w:pPr>
        <w:jc w:val="both"/>
        <w:ind w:left="120" w:right="40" w:firstLine="991"/>
        <w:spacing w:after="0" w:line="293" w:lineRule="auto"/>
        <w:rPr>
          <w:sz w:val="20"/>
          <w:szCs w:val="20"/>
          <w:color w:val="auto"/>
        </w:rPr>
      </w:pPr>
      <w:r>
        <w:rPr>
          <w:rFonts w:ascii="Arial" w:cs="Arial" w:eastAsia="Arial" w:hAnsi="Arial"/>
          <w:sz w:val="16"/>
          <w:szCs w:val="16"/>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64"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We will not receive any of the proceeds from the sale of our common stock by the selling stockholders named in this prospectus. All proceeds from the resale of the shares of our common stock offered by this prospectus will belong to the selling stockholders identified in this prospectus under “Selling Stockholders.”</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40"/>
          </w:cols>
          <w:pgMar w:left="320" w:top="459" w:right="9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firstLine="991"/>
        <w:spacing w:after="0" w:line="290" w:lineRule="auto"/>
        <w:rPr>
          <w:sz w:val="20"/>
          <w:szCs w:val="20"/>
          <w:color w:val="auto"/>
        </w:rPr>
      </w:pPr>
      <w:r>
        <w:rPr>
          <w:rFonts w:ascii="Arial" w:cs="Arial" w:eastAsia="Arial" w:hAnsi="Arial"/>
          <w:sz w:val="16"/>
          <w:szCs w:val="16"/>
          <w:color w:val="auto"/>
        </w:rPr>
        <w:t>This prospectus relates to the sale or other disposition of up to 12,860,272 shares of our common stock by the selling stockholders named below, and their donees, pledgees, transferees or other successors-in-interest selling shares of common stock or interests in shares of common stock received after the date of this prospectus from a selling stockholder as a gift, pledge, partnership distribution or other transfer, collectively, the selling stockholders. These shares consist of (i) 6,091,250 shares issued to certain of the selling stockholders pursuant to the Merger Agreement; (ii) 6,105,359 shares that were issued to certain of the selling stockholders in the Private Placement; (iii) 628,403 shares that are issuable upon exercise of the Pre-Funded Warrants; and (iv) 35,260 shares that were issued as compensation to a placement agent for services rendered to Larimar in connection with the Private Placement. See “Prospectus Summary–The Merger, Reverse Stock Split and Name Change,” “Prospectus Summary–Private Placement of Common Stock and Pre-Funded Warrants” and “Prospectus Summary-Description of Placement Agent Compensation.”</w:t>
      </w:r>
    </w:p>
    <w:p>
      <w:pPr>
        <w:spacing w:after="0" w:line="165"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The table below sets forth information as of the date of this prospectus, to our knowledge, the selling stockholders and other information regarding the beneficial ownership (as determined under Section 13(d) of the Exchange Act and the rules and regulations thereunder) of the shares of common stock held by the selling stockholders. The second column lists the number of shares of common stock beneficially owned by the selling stockholders, as of June 26, 2020. The third column lists the maximum number of shares of common stock that may be sold or otherwise disposed of by the selling stockholders pursuant to the registration statement of which this prospectus forms a part. The selling stockholders may sell or otherwise dispose of some, all or none of their shares. Pursuant to Rules 13d-3 and 13d-5 of the Exchange Act, beneficial ownership includes any shares of our common stock as to which a stockholder has sole or shared voting power or investment power, and also any shares of our common stock which the stockholder has the right to acquire within 60 days of June 26, 2020. The percent of beneficial ownership for the selling stockholders is based on 15,356,206 shares of our common stock outstanding as of June 26, 2020 (which does not include the 628,403 shares of common stock issuable upon exercise of the Pre-Funded Warrants). Except as described below, to our knowledge, none of the selling stockholders have been an officer or director of ours or of our affiliates within the past three years or had any material relationship with us or our affiliates within the past three years. Our knowledge is based on information provided by the selling stockholders in investor questionnaires in connection with the Merger and Private Placement, as well as information obtained from relevant Schedule 13D and 13G filings.</w:t>
      </w:r>
    </w:p>
    <w:p>
      <w:pPr>
        <w:spacing w:after="0" w:line="174" w:lineRule="exact"/>
        <w:rPr>
          <w:sz w:val="20"/>
          <w:szCs w:val="20"/>
          <w:color w:val="auto"/>
        </w:rPr>
      </w:pPr>
    </w:p>
    <w:p>
      <w:pPr>
        <w:ind w:left="120" w:right="500" w:firstLine="991"/>
        <w:spacing w:after="0" w:line="259" w:lineRule="auto"/>
        <w:rPr>
          <w:sz w:val="20"/>
          <w:szCs w:val="20"/>
          <w:color w:val="auto"/>
        </w:rPr>
      </w:pPr>
      <w:r>
        <w:rPr>
          <w:rFonts w:ascii="Arial" w:cs="Arial" w:eastAsia="Arial" w:hAnsi="Arial"/>
          <w:sz w:val="18"/>
          <w:szCs w:val="18"/>
          <w:color w:val="auto"/>
        </w:rPr>
        <w:t>The shares of common stock being covered hereby may be sold or otherwise disposed of from time to time during the period the registration statement of which this prospectus is a part remains effective, by or for the account of the selling stockholders. After the date of effectiveness, the selling stockholders may have sold or transferred, in transactions covered by this prospectus or in transactions exempt from the registration requirements of the Securities Act, some or all of their common stock.</w:t>
      </w:r>
    </w:p>
    <w:p>
      <w:pPr>
        <w:spacing w:after="0" w:line="187" w:lineRule="exact"/>
        <w:rPr>
          <w:sz w:val="20"/>
          <w:szCs w:val="20"/>
          <w:color w:val="auto"/>
        </w:rPr>
      </w:pPr>
    </w:p>
    <w:p>
      <w:pPr>
        <w:ind w:left="120" w:right="420" w:firstLine="991"/>
        <w:spacing w:after="0" w:line="277" w:lineRule="auto"/>
        <w:rPr>
          <w:sz w:val="20"/>
          <w:szCs w:val="20"/>
          <w:color w:val="auto"/>
        </w:rPr>
      </w:pPr>
      <w:r>
        <w:rPr>
          <w:rFonts w:ascii="Arial" w:cs="Arial" w:eastAsia="Arial" w:hAnsi="Arial"/>
          <w:sz w:val="18"/>
          <w:szCs w:val="18"/>
          <w:color w:val="auto"/>
        </w:rPr>
        <w:t>Information about the selling stockholders may change over time. Any changed information will be set forth in an amendment to the registration statement or supplement to this prospectus, to the extent required by law.</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440" w:type="dxa"/>
            <w:vAlign w:val="bottom"/>
            <w:gridSpan w:val="4"/>
          </w:tcPr>
          <w:p>
            <w:pPr>
              <w:jc w:val="center"/>
              <w:ind w:right="710"/>
              <w:spacing w:after="0"/>
              <w:rPr>
                <w:sz w:val="20"/>
                <w:szCs w:val="20"/>
                <w:color w:val="auto"/>
              </w:rPr>
            </w:pPr>
            <w:r>
              <w:rPr>
                <w:rFonts w:ascii="Arial" w:cs="Arial" w:eastAsia="Arial" w:hAnsi="Arial"/>
                <w:sz w:val="14"/>
                <w:szCs w:val="14"/>
                <w:b w:val="1"/>
                <w:bCs w:val="1"/>
                <w:color w:val="auto"/>
                <w:w w:val="92"/>
              </w:rPr>
              <w:t>Number of Shares of</w:t>
            </w: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Number of Shares of</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440" w:type="dxa"/>
            <w:vAlign w:val="bottom"/>
            <w:gridSpan w:val="4"/>
          </w:tcPr>
          <w:p>
            <w:pPr>
              <w:jc w:val="center"/>
              <w:ind w:right="71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60" w:type="dxa"/>
            <w:vAlign w:val="bottom"/>
            <w:gridSpan w:val="2"/>
          </w:tcPr>
          <w:p>
            <w:pPr>
              <w:jc w:val="center"/>
              <w:ind w:left="392"/>
              <w:spacing w:after="0" w:line="149" w:lineRule="exact"/>
              <w:rPr>
                <w:sz w:val="20"/>
                <w:szCs w:val="20"/>
                <w:color w:val="auto"/>
              </w:rPr>
            </w:pPr>
            <w:r>
              <w:rPr>
                <w:rFonts w:ascii="Arial" w:cs="Arial" w:eastAsia="Arial" w:hAnsi="Arial"/>
                <w:sz w:val="14"/>
                <w:szCs w:val="14"/>
                <w:b w:val="1"/>
                <w:bCs w:val="1"/>
                <w:color w:val="auto"/>
                <w:w w:val="94"/>
              </w:rPr>
              <w:t>Owned</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Maximum Number of</w:t>
            </w:r>
          </w:p>
        </w:tc>
        <w:tc>
          <w:tcPr>
            <w:tcW w:w="960" w:type="dxa"/>
            <w:vAlign w:val="bottom"/>
            <w:gridSpan w:val="2"/>
          </w:tcPr>
          <w:p>
            <w:pPr>
              <w:jc w:val="center"/>
              <w:ind w:left="432"/>
              <w:spacing w:after="0" w:line="149" w:lineRule="exact"/>
              <w:rPr>
                <w:sz w:val="20"/>
                <w:szCs w:val="20"/>
                <w:color w:val="auto"/>
              </w:rPr>
            </w:pPr>
            <w:r>
              <w:rPr>
                <w:rFonts w:ascii="Arial" w:cs="Arial" w:eastAsia="Arial" w:hAnsi="Arial"/>
                <w:sz w:val="14"/>
                <w:szCs w:val="14"/>
                <w:b w:val="1"/>
                <w:bCs w:val="1"/>
                <w:color w:val="auto"/>
                <w:w w:val="94"/>
              </w:rPr>
              <w:t>Owned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440" w:type="dxa"/>
            <w:vAlign w:val="bottom"/>
            <w:gridSpan w:val="4"/>
          </w:tcPr>
          <w:p>
            <w:pPr>
              <w:jc w:val="center"/>
              <w:ind w:right="710"/>
              <w:spacing w:after="0" w:line="149" w:lineRule="exact"/>
              <w:rPr>
                <w:sz w:val="20"/>
                <w:szCs w:val="20"/>
                <w:color w:val="auto"/>
              </w:rPr>
            </w:pPr>
            <w:r>
              <w:rPr>
                <w:rFonts w:ascii="Arial" w:cs="Arial" w:eastAsia="Arial" w:hAnsi="Arial"/>
                <w:sz w:val="14"/>
                <w:szCs w:val="14"/>
                <w:b w:val="1"/>
                <w:bCs w:val="1"/>
                <w:color w:val="auto"/>
                <w:w w:val="96"/>
              </w:rPr>
              <w:t>Prior to Offering</w:t>
            </w:r>
          </w:p>
        </w:tc>
        <w:tc>
          <w:tcPr>
            <w:tcW w:w="1740" w:type="dxa"/>
            <w:vAlign w:val="bottom"/>
            <w:gridSpan w:val="2"/>
            <w:vMerge w:val="continue"/>
          </w:tcPr>
          <w:p>
            <w:pPr>
              <w:spacing w:after="0"/>
              <w:rPr>
                <w:sz w:val="12"/>
                <w:szCs w:val="12"/>
                <w:color w:val="auto"/>
              </w:rPr>
            </w:pPr>
          </w:p>
        </w:tc>
        <w:tc>
          <w:tcPr>
            <w:tcW w:w="17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After Offering (1)</w:t>
            </w:r>
          </w:p>
        </w:tc>
        <w:tc>
          <w:tcPr>
            <w:tcW w:w="0" w:type="dxa"/>
            <w:vAlign w:val="bottom"/>
          </w:tcPr>
          <w:p>
            <w:pPr>
              <w:spacing w:after="0"/>
              <w:rPr>
                <w:sz w:val="1"/>
                <w:szCs w:val="1"/>
                <w:color w:val="auto"/>
              </w:rPr>
            </w:pPr>
          </w:p>
        </w:tc>
      </w:tr>
      <w:tr>
        <w:trPr>
          <w:trHeight w:val="23"/>
        </w:trPr>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Shares of Common</w:t>
            </w: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Name of Selling Stockholder</w:t>
            </w:r>
          </w:p>
        </w:tc>
        <w:tc>
          <w:tcPr>
            <w:tcW w:w="3360" w:type="dxa"/>
            <w:vAlign w:val="bottom"/>
            <w:vMerge w:val="restart"/>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Number</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w:t>
            </w: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to be Sold Pursuant</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3"/>
        </w:trPr>
        <w:tc>
          <w:tcPr>
            <w:tcW w:w="1760" w:type="dxa"/>
            <w:vAlign w:val="bottom"/>
            <w:tcBorders>
              <w:bottom w:val="single" w:sz="8" w:color="auto"/>
            </w:tcBorders>
            <w:gridSpan w:val="2"/>
            <w:vMerge w:val="continue"/>
          </w:tcPr>
          <w:p>
            <w:pPr>
              <w:spacing w:after="0"/>
              <w:rPr>
                <w:sz w:val="13"/>
                <w:szCs w:val="13"/>
                <w:color w:val="auto"/>
              </w:rPr>
            </w:pPr>
          </w:p>
        </w:tc>
        <w:tc>
          <w:tcPr>
            <w:tcW w:w="336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7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8"/>
              </w:rPr>
              <w:t>to this Prospectus</w:t>
            </w:r>
          </w:p>
        </w:tc>
        <w:tc>
          <w:tcPr>
            <w:tcW w:w="9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Deerfield Private Design Fund IV</w:t>
            </w:r>
          </w:p>
        </w:tc>
        <w:tc>
          <w:tcPr>
            <w:tcW w:w="7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2%(2)</w:t>
            </w:r>
          </w:p>
        </w:tc>
        <w:tc>
          <w:tcPr>
            <w:tcW w:w="13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3"/>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1,714,852</w:t>
            </w:r>
          </w:p>
        </w:tc>
        <w:tc>
          <w:tcPr>
            <w:tcW w:w="38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11.</w:t>
            </w:r>
          </w:p>
        </w:tc>
        <w:tc>
          <w:tcPr>
            <w:tcW w:w="800" w:type="dxa"/>
            <w:vAlign w:val="bottom"/>
            <w:vMerge w:val="continue"/>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1,714,852</w:t>
            </w:r>
          </w:p>
        </w:tc>
        <w:tc>
          <w:tcPr>
            <w:tcW w:w="3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60" w:type="dxa"/>
            <w:vAlign w:val="bottom"/>
            <w:vMerge w:val="continue"/>
            <w:shd w:val="clear" w:color="auto" w:fill="CCEEFF"/>
          </w:tcPr>
          <w:p>
            <w:pPr>
              <w:spacing w:after="0"/>
              <w:rPr>
                <w:sz w:val="17"/>
                <w:szCs w:val="17"/>
                <w:color w:val="auto"/>
              </w:rPr>
            </w:pPr>
          </w:p>
        </w:tc>
        <w:tc>
          <w:tcPr>
            <w:tcW w:w="760" w:type="dxa"/>
            <w:vAlign w:val="bottom"/>
            <w:tcBorders>
              <w:left w:val="single" w:sz="8" w:color="CCEEFF"/>
            </w:tcBorders>
            <w:gridSpan w:val="2"/>
            <w:shd w:val="clear" w:color="auto" w:fill="CCEEFF"/>
          </w:tcPr>
          <w:p>
            <w:pPr>
              <w:ind w:left="4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Deerfield Healthcare Innovation Fund, L.P.</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1,714,850</w:t>
            </w: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11.2%(3)</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1,714,850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Deerfield Private Design Fund III,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1,714,837</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11.2%(4)</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1,714,837</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FA Life Sciences Inc.</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159,433</w:t>
            </w: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1%(5)</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159,433</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Carole Ben-Maimon</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120,215</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25,083</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95,132</w:t>
            </w:r>
          </w:p>
        </w:tc>
        <w:tc>
          <w:tcPr>
            <w:tcW w:w="76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Steven Plump</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119,832</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118,999</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833</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Payne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99,270</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99,270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Thomas Hamilton</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133,420</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133,420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Wake Forest University Health Sciences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11,263</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11,263</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Matt Neff</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25,248</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24,373</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875</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Wake Forest Technology Development Program</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13,013</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13,013</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Indiana University Research and Technology Corporation</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2,809</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2,809</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Cowen Healthcare Investments II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797,558</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5.2%(9)</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797,558</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Cowen Healthcare Investments III LP</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1,242,520</w:t>
            </w:r>
          </w:p>
        </w:tc>
        <w:tc>
          <w:tcPr>
            <w:tcW w:w="1280" w:type="dxa"/>
            <w:vAlign w:val="bottom"/>
            <w:gridSpan w:val="2"/>
          </w:tcPr>
          <w:p>
            <w:pPr>
              <w:jc w:val="right"/>
              <w:ind w:right="270"/>
              <w:spacing w:after="0"/>
              <w:rPr>
                <w:sz w:val="20"/>
                <w:szCs w:val="20"/>
                <w:color w:val="auto"/>
              </w:rPr>
            </w:pPr>
            <w:r>
              <w:rPr>
                <w:rFonts w:ascii="Arial" w:cs="Arial" w:eastAsia="Arial" w:hAnsi="Arial"/>
                <w:sz w:val="18"/>
                <w:szCs w:val="18"/>
                <w:color w:val="auto"/>
              </w:rPr>
              <w:t>8.1%(10)</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1,242,520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 EF II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59,676</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*(11)</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59,676</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CHI EF III LP</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43,797</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*(12)</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43,797</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 Capital Healthcare Fund,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1,515,151</w:t>
            </w:r>
          </w:p>
        </w:tc>
        <w:tc>
          <w:tcPr>
            <w:tcW w:w="12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9.9%(13)</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1,515,151</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Logos Global Master Fund LP</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252,525</w:t>
            </w:r>
          </w:p>
        </w:tc>
        <w:tc>
          <w:tcPr>
            <w:tcW w:w="1280" w:type="dxa"/>
            <w:vAlign w:val="bottom"/>
            <w:gridSpan w:val="2"/>
          </w:tcPr>
          <w:p>
            <w:pPr>
              <w:jc w:val="right"/>
              <w:ind w:right="270"/>
              <w:spacing w:after="0"/>
              <w:rPr>
                <w:sz w:val="20"/>
                <w:szCs w:val="20"/>
                <w:color w:val="auto"/>
              </w:rPr>
            </w:pPr>
            <w:r>
              <w:rPr>
                <w:rFonts w:ascii="Arial" w:cs="Arial" w:eastAsia="Arial" w:hAnsi="Arial"/>
                <w:sz w:val="18"/>
                <w:szCs w:val="18"/>
                <w:color w:val="auto"/>
              </w:rPr>
              <w:t>1.6%(14)</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252,525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Acuta Capital Fund,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656,942</w:t>
            </w:r>
          </w:p>
        </w:tc>
        <w:tc>
          <w:tcPr>
            <w:tcW w:w="12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4.3%(15)</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579,545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77,397</w:t>
            </w:r>
          </w:p>
        </w:tc>
        <w:tc>
          <w:tcPr>
            <w:tcW w:w="76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Acuta Opportunity Fund, LP</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154,382</w:t>
            </w:r>
          </w:p>
        </w:tc>
        <w:tc>
          <w:tcPr>
            <w:tcW w:w="1280" w:type="dxa"/>
            <w:vAlign w:val="bottom"/>
            <w:gridSpan w:val="2"/>
          </w:tcPr>
          <w:p>
            <w:pPr>
              <w:jc w:val="right"/>
              <w:ind w:right="270"/>
              <w:spacing w:after="0"/>
              <w:rPr>
                <w:sz w:val="20"/>
                <w:szCs w:val="20"/>
                <w:color w:val="auto"/>
              </w:rPr>
            </w:pPr>
            <w:r>
              <w:rPr>
                <w:rFonts w:ascii="Arial" w:cs="Arial" w:eastAsia="Arial" w:hAnsi="Arial"/>
                <w:sz w:val="18"/>
                <w:szCs w:val="18"/>
                <w:color w:val="auto"/>
              </w:rPr>
              <w:t>1.0%(16)</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135,942</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18,440</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Soleus Capital Master Fund,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243,836</w:t>
            </w:r>
          </w:p>
        </w:tc>
        <w:tc>
          <w:tcPr>
            <w:tcW w:w="12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1.6%(17)</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151,515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92,321</w:t>
            </w:r>
          </w:p>
        </w:tc>
        <w:tc>
          <w:tcPr>
            <w:tcW w:w="76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DAFNA Lifescience Select LP</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31,565</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*(18)</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31,565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DAFNA Lifescience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94,696</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*(18)</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94,696</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Altium Growth Fund, LP</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252,525</w:t>
            </w:r>
          </w:p>
        </w:tc>
        <w:tc>
          <w:tcPr>
            <w:tcW w:w="1280" w:type="dxa"/>
            <w:vAlign w:val="bottom"/>
            <w:gridSpan w:val="2"/>
          </w:tcPr>
          <w:p>
            <w:pPr>
              <w:jc w:val="right"/>
              <w:ind w:right="270"/>
              <w:spacing w:after="0"/>
              <w:rPr>
                <w:sz w:val="20"/>
                <w:szCs w:val="20"/>
                <w:color w:val="auto"/>
              </w:rPr>
            </w:pPr>
            <w:r>
              <w:rPr>
                <w:rFonts w:ascii="Arial" w:cs="Arial" w:eastAsia="Arial" w:hAnsi="Arial"/>
                <w:sz w:val="18"/>
                <w:szCs w:val="18"/>
                <w:color w:val="auto"/>
              </w:rPr>
              <w:t>1.6%(19)</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252,525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OrbiMed Genesis Master Fund,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201,637</w:t>
            </w:r>
          </w:p>
        </w:tc>
        <w:tc>
          <w:tcPr>
            <w:tcW w:w="12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1.3%(20)</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109,427</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92,210</w:t>
            </w:r>
          </w:p>
        </w:tc>
        <w:tc>
          <w:tcPr>
            <w:tcW w:w="76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OrbiMed Partners Master Fund Limited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732,323</w:t>
            </w:r>
          </w:p>
        </w:tc>
        <w:tc>
          <w:tcPr>
            <w:tcW w:w="1280" w:type="dxa"/>
            <w:vAlign w:val="bottom"/>
            <w:gridSpan w:val="2"/>
          </w:tcPr>
          <w:p>
            <w:pPr>
              <w:jc w:val="right"/>
              <w:ind w:right="270"/>
              <w:spacing w:after="0"/>
              <w:rPr>
                <w:sz w:val="20"/>
                <w:szCs w:val="20"/>
                <w:color w:val="auto"/>
              </w:rPr>
            </w:pPr>
            <w:r>
              <w:rPr>
                <w:rFonts w:ascii="Arial" w:cs="Arial" w:eastAsia="Arial" w:hAnsi="Arial"/>
                <w:sz w:val="18"/>
                <w:szCs w:val="18"/>
                <w:color w:val="auto"/>
              </w:rPr>
              <w:t>4.8%(21)</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732,323</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Sio Partners Master Fund,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62,516</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*(22)</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25,925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36,591</w:t>
            </w:r>
          </w:p>
        </w:tc>
        <w:tc>
          <w:tcPr>
            <w:tcW w:w="76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Compass MAV LLC</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64,676</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*(22)</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25,757</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38,919</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Compass Offshore MAV Limited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41,388</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*(22)</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16,498</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24,890</w:t>
            </w:r>
          </w:p>
        </w:tc>
        <w:tc>
          <w:tcPr>
            <w:tcW w:w="760" w:type="dxa"/>
            <w:vAlign w:val="bottom"/>
            <w:tcBorders>
              <w:lef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Sio Partners LP</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98,592</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*(22)</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41,245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57,347</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Reza Keshavarz</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4,208</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4,208</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Serrado Opportunity Fund LLC</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16,835</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*(23)</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16,835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Vivo Opportunity Fund,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653,779</w:t>
            </w:r>
          </w:p>
        </w:tc>
        <w:tc>
          <w:tcPr>
            <w:tcW w:w="12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4.3%(24)</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653,779</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Vivo Capital Fund IX, L.P.</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145,883</w:t>
            </w:r>
          </w:p>
        </w:tc>
        <w:tc>
          <w:tcPr>
            <w:tcW w:w="1280" w:type="dxa"/>
            <w:vAlign w:val="bottom"/>
            <w:gridSpan w:val="2"/>
          </w:tcPr>
          <w:p>
            <w:pPr>
              <w:jc w:val="right"/>
              <w:ind w:right="270"/>
              <w:spacing w:after="0"/>
              <w:rPr>
                <w:sz w:val="20"/>
                <w:szCs w:val="20"/>
                <w:color w:val="auto"/>
              </w:rPr>
            </w:pPr>
            <w:r>
              <w:rPr>
                <w:rFonts w:ascii="Arial" w:cs="Arial" w:eastAsia="Arial" w:hAnsi="Arial"/>
                <w:sz w:val="18"/>
                <w:szCs w:val="18"/>
                <w:color w:val="auto"/>
              </w:rPr>
              <w:t>1.0%(25)</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145,883</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Janus Henderson Biotech Innovation Master Fund Limited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154,608</w:t>
            </w:r>
          </w:p>
        </w:tc>
        <w:tc>
          <w:tcPr>
            <w:tcW w:w="12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1.0%(26)</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154,608</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5120" w:type="dxa"/>
            <w:vAlign w:val="bottom"/>
            <w:gridSpan w:val="3"/>
          </w:tcPr>
          <w:p>
            <w:pPr>
              <w:spacing w:after="0" w:line="201" w:lineRule="exact"/>
              <w:rPr>
                <w:sz w:val="20"/>
                <w:szCs w:val="20"/>
                <w:color w:val="auto"/>
              </w:rPr>
            </w:pPr>
            <w:r>
              <w:rPr>
                <w:rFonts w:ascii="Arial" w:cs="Arial" w:eastAsia="Arial" w:hAnsi="Arial"/>
                <w:sz w:val="18"/>
                <w:szCs w:val="18"/>
                <w:color w:val="auto"/>
              </w:rPr>
              <w:t>Janus Henderson Horizon Fund – Biotechnology Fund Care of</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BNP Paribas RCC</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9,299</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*(27)</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9,299</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MTS Health Partners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35,260</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35,260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76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5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2"/>
          </w:tcPr>
          <w:p>
            <w:pPr>
              <w:ind w:left="280"/>
              <w:spacing w:after="0"/>
              <w:rPr>
                <w:sz w:val="20"/>
                <w:szCs w:val="20"/>
                <w:color w:val="auto"/>
              </w:rPr>
            </w:pPr>
            <w:r>
              <w:rPr>
                <w:rFonts w:ascii="Arial" w:cs="Arial" w:eastAsia="Arial" w:hAnsi="Arial"/>
                <w:sz w:val="18"/>
                <w:szCs w:val="18"/>
                <w:color w:val="auto"/>
              </w:rPr>
              <w:t>Less than 1%</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sale of all shares offered pursuant to this prospectus.</w:t>
      </w:r>
    </w:p>
    <w:p>
      <w:pPr>
        <w:spacing w:after="0" w:line="23"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Deerfield Mgmt IV, L.P is the general partner of Deerfield Private Design Fund IV, L.P. Deerfield Management Company, L.P. is the investment manager of Deerfield Private Design Fund IV, L.P. Mr. James E. Flynn is the sole member of the general partner of each of Deerfield Mgmt IV, L.P. and Deerfield Management Company, L.P. Deerfield Mgmt IV, L.P., Deerfield Management Company, L.P. and Mr. James E. Flynn may be deemed to beneficially own the securities held by Deerfield Private Design Fund IV, L.P. Jonathan Leff, a partner of Deerfield Management Company, L.P., who served on the Chondrial board of directors since December 2016, was appointed to serve on the Company’s board of directors upon consummation of the Merger and continues to serve in such capacity. Bryan Sendrowski and William Slattery, also partners of Deerfield Management Company, L.P., served on the Chondrial board of directors until the consummation of the Merger. Prior to the Merger, Chondrial was a wholly-owned subsidiary of Holdings. Deerfield Private Design Fund III, L.P., Deerfield Private Design Fund IV, L.P. and Deerfield Healthcare Innovations Fund, L.P. collectively own in excess of 50% of the Series A Preferred Units, Bridge Units and Series B Bridge Units of Holdings. Messrs. Leff, Sendrowski and Slattery serve on the board of managers of Holdings. Prior to the consummation of the Merger, employees of Deerfield Management Company, L.P. provided certain operational support services to, and at time served as officers of, Chondrial and Holdings. The address of Deerfield Private Design Fund IV, L.P. is c/o Deerfield Management Company, L.P., 780 Third Avenue, 37th Floor, New York, NY 10017.</w:t>
      </w:r>
    </w:p>
    <w:p>
      <w:pPr>
        <w:spacing w:after="0" w:line="2" w:lineRule="exact"/>
        <w:rPr>
          <w:rFonts w:ascii="Arial" w:cs="Arial" w:eastAsia="Arial" w:hAnsi="Arial"/>
          <w:sz w:val="17"/>
          <w:szCs w:val="17"/>
          <w:color w:val="auto"/>
        </w:rPr>
      </w:pPr>
    </w:p>
    <w:p>
      <w:pPr>
        <w:jc w:val="both"/>
        <w:ind w:left="540" w:right="500" w:hanging="424"/>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Deerfield Mgmt HIF, L.P is the general partner of Deerfield Healthcare Innovations Fund, L.P. Deerfield Management Company, L.P. is the investment manager of Deerfield Healthcare Innovations Fund, L.P. Mr. James E. Flynn is the sole member of the general partner of each of Deerfield Mgmt HIF, L.P. and Deerfield Management Company, L.P. Deerfield Mgmt HIF, L.P., Deerfield Management Company, L.P. and</w:t>
      </w:r>
    </w:p>
    <w:p>
      <w:pPr>
        <w:spacing w:after="0" w:line="1" w:lineRule="exact"/>
        <w:rPr>
          <w:rFonts w:ascii="Arial" w:cs="Arial" w:eastAsia="Arial" w:hAnsi="Arial"/>
          <w:sz w:val="16"/>
          <w:szCs w:val="16"/>
          <w:color w:val="auto"/>
        </w:rPr>
      </w:pPr>
    </w:p>
    <w:p>
      <w:pPr>
        <w:ind w:left="540"/>
        <w:spacing w:after="0" w:line="265" w:lineRule="auto"/>
        <w:rPr>
          <w:rFonts w:ascii="Arial" w:cs="Arial" w:eastAsia="Arial" w:hAnsi="Arial"/>
          <w:sz w:val="16"/>
          <w:szCs w:val="16"/>
          <w:color w:val="auto"/>
        </w:rPr>
      </w:pPr>
      <w:r>
        <w:rPr>
          <w:rFonts w:ascii="Arial" w:cs="Arial" w:eastAsia="Arial" w:hAnsi="Arial"/>
          <w:sz w:val="17"/>
          <w:szCs w:val="17"/>
          <w:color w:val="auto"/>
        </w:rPr>
        <w:t>Mr. James E. Flynn may be deemed to beneficially own the securities held by Deerfield Healthcare Innovations Fund, L.P. Jonathan Leff, a partner of Deerfield Management Company, L.P., who served on the Chondrial board of directors since December 2016, was appointed to serve on the Company’s board of directors upon consummation of the Merger and continues to serve in such capacity. Bryan Sendrowski and William Slattery, also partners of Deerfield Management Company, L.P., served on the Chondrial board of directors until the consummation of the Merger. Prior to the Merger, Chondrial was a wholly-owned subsidiary of Holdings. Deerfield Private Design Fund III, L.P., Deerfield Private Design Fund IV, L.P. and Deerfield Healthcare Innovations Fund, L.P. collectively own in excess of 50% of the Series A Preferred Units, Bridge Units and Series B Bridge Units of Holdings. Messrs. Leff, Sendrowski and Slattery serve on the board of managers of Holdings. Prior to the consummation of the Merger, employees of Deerfield Management Company, L.P. provided certain operational support services to, and at time served as officers of, Chondrial and Holdings. The address of Deerfield Healthcare Innovations Fund, L.P. is c/o Deerfield Management Company, L.P., 780 Third Avenue, 37th Floor, New York, NY 10017.</w:t>
      </w:r>
    </w:p>
    <w:p>
      <w:pPr>
        <w:spacing w:after="0" w:line="1" w:lineRule="exact"/>
        <w:rPr>
          <w:rFonts w:ascii="Arial" w:cs="Arial" w:eastAsia="Arial" w:hAnsi="Arial"/>
          <w:sz w:val="16"/>
          <w:szCs w:val="16"/>
          <w:color w:val="auto"/>
        </w:rPr>
      </w:pPr>
    </w:p>
    <w:p>
      <w:pPr>
        <w:ind w:left="540" w:hanging="424"/>
        <w:spacing w:after="0" w:line="267"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Deerfield Mgmt III, L.P is the general partner of Deerfield Private Design Fund III, L.P. Deerfield Management Company, L.P. is the investment manager of Deerfield Private Design Fund III, L.P. Mr. James E. Flynn is the sole member of the general partner of each of Deerfield Mgmt III, L.P. and Deerfield Management Company, L.P. Deerfield Mgmt III, L.P., Deerfield Management Company, L.P. and Mr. James E. Flynn may be deemed to beneficially own the securities held by Deerfield Private Design Fund III, L.P. Jonathan Leff, a partner of Deerfield Management Company, L.P., who served on the Chondrial board of directors since December 2016, was appointed to serve on the Company’s board of directors upon consummation of the Merger and continues to serve in such capacity. Bryan Sendrowski and William Slattery, also partners of Deerfield Management Company, L.P., served on the Chondrial board of directors until the consummation of the Merger. Prior to the Merger, Chondrial was a wholly-owned subsidiary of Holdings. Deerfield Private Design Fund III, L.P., Deerfield Private Design Fund IV, L.P. and Deerfield Healthcare Innovations Fund, L.P. collectively own in excess of 50% of the Series A Preferred Units, Bridge Units and Series B Bridge Units of Holdings. Messrs. Leff, Sendrowski and Slattery serve on the board of managers of Holdings. Prior to the consummation of the Merger, employees of Deerfield Management Company, L.P. provided certain operational support services to, and at time served as officers of, Chondrial and Holdings. The address of Deerfield Private Design Fund III, L.P. is c/o Deerfield Management Company, L.P., 780 Third Avenue, 37th Floor, New York, NY 10017.</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hanging="424"/>
        <w:spacing w:after="0" w:line="25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directly held by FA Life Sciences Inc. are indirectly beneficially owned by Thomas Hamilton, a member of our Board of Directors and the board of managers of Holdings, its managing member. Tom Hamilton disclaims beneficial ownership of the shares held by Friedreich’s Ataxia Life Sciences except to the extent of his pecuniary interest therein. The business address for Friedreich’s Ataxa Life Sciences is 211 Stuyvesant Ave., Rye, NY 10580.</w:t>
      </w:r>
    </w:p>
    <w:p>
      <w:pPr>
        <w:spacing w:after="0" w:line="2"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95,132 shares of common stock issuable upon exercise of an equal number of options that are currently exercisable or will be exercisable within 60 days of June 26, 2020. Carole Ben-Maimon is our President and Chief Executive Officer and a member of our Board of Directors, and serves as President and Chief Executive Officer and as a member of the board of managers of Holdings. Prior to the Merger, Dr. Ben-Maimon was the President and Chief Executive Officer of Chondrial.</w:t>
      </w:r>
    </w:p>
    <w:p>
      <w:pPr>
        <w:spacing w:after="0" w:line="1" w:lineRule="exact"/>
        <w:rPr>
          <w:rFonts w:ascii="Arial" w:cs="Arial" w:eastAsia="Arial" w:hAnsi="Arial"/>
          <w:sz w:val="18"/>
          <w:szCs w:val="18"/>
          <w:color w:val="auto"/>
        </w:rPr>
      </w:pPr>
    </w:p>
    <w:p>
      <w:pPr>
        <w:ind w:left="540" w:right="50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 Payne was a co-founder of Chondrial and previously served as its Chief Scientific Officer. Mr. Payne is also a member of the board of managers of Holdings.</w:t>
      </w: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Hamilton is a member of our Board of Directors and serves as a member of the board of managers of Holdings.</w:t>
      </w:r>
    </w:p>
    <w:p>
      <w:pPr>
        <w:spacing w:after="0" w:line="9"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(i) 132,579 shares of common stock distributed in connection with the Merger, (ii) 430,812 shares of common stock issued in the Private Placement, and (iii) 234,167 shares of common stock issuable upon exercise of a Pre-Funded Warrant that was issued in the Private Placement. CHI Advisors LLC is the investment manager of Cowen Healthcare Investments II LP and has voting and investment power with respect to the securities held by Cowen Healthcare Investments II LP. Under the terms of the Pre-Funded Warrant, Cowen Healthcare Investments</w:t>
      </w:r>
    </w:p>
    <w:p>
      <w:pPr>
        <w:spacing w:after="0" w:line="2" w:lineRule="exact"/>
        <w:rPr>
          <w:rFonts w:ascii="Arial" w:cs="Arial" w:eastAsia="Arial" w:hAnsi="Arial"/>
          <w:sz w:val="16"/>
          <w:szCs w:val="16"/>
          <w:color w:val="auto"/>
        </w:rPr>
      </w:pPr>
    </w:p>
    <w:p>
      <w:pPr>
        <w:ind w:left="540" w:firstLine="8"/>
        <w:spacing w:after="0" w:line="265" w:lineRule="auto"/>
        <w:tabs>
          <w:tab w:leader="none" w:pos="705" w:val="left"/>
        </w:tabs>
        <w:numPr>
          <w:ilvl w:val="1"/>
          <w:numId w:val="7"/>
        </w:numPr>
        <w:rPr>
          <w:rFonts w:ascii="Arial" w:cs="Arial" w:eastAsia="Arial" w:hAnsi="Arial"/>
          <w:sz w:val="17"/>
          <w:szCs w:val="17"/>
          <w:color w:val="auto"/>
        </w:rPr>
      </w:pPr>
      <w:r>
        <w:rPr>
          <w:rFonts w:ascii="Arial" w:cs="Arial" w:eastAsia="Arial" w:hAnsi="Arial"/>
          <w:sz w:val="17"/>
          <w:szCs w:val="17"/>
          <w:color w:val="auto"/>
        </w:rPr>
        <w:t>LP is prohibited from exercising such warrant if exercise would cause the number of shares then owned by Cowen Healthcare Investments II LP and its affiliates to exceed 9.99% of the total number of shares of the Company’s common stock then outstanding, or the Ownership Cap. Accordingly, Cowen Healthcare Investments II LP and CHI Advisors LLC disclaim beneficial ownership of the shares of common stock issuable upon exercise of the Pre-Funded Warrant to the extent that upon such exercise the number of shares beneficially owned by Cowen Healthcare Investments II LP and its affiliates, in the aggregate, would exceed the Ownership Cap. The business address for Cowen Healthcare Investments II LP is c/o CHI Advisors LLC, 599 Lexington Avenue, 19</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w:t>
      </w:r>
    </w:p>
    <w:p>
      <w:pPr>
        <w:ind w:left="54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(i) 200,989 shares of common stock distributed in connection with the Merger, (ii) 674,763 shares of common stock issued in the Private Placement, and (iii) 366,768 shares of common stock issuable upon exercise of a Pre-Funded Warrant that was issued in the Private Placement. CHI Advisors LLC is the investment manager of Cowen Healthcare Investments III LP and has voting and investment power with respect to the securities held by Cowen Healthcare Investments III LP. Under the terms of the Pre-Funded Warrant, Cowen Healthcare Investments</w:t>
      </w:r>
    </w:p>
    <w:p>
      <w:pPr>
        <w:spacing w:after="0" w:line="2" w:lineRule="exact"/>
        <w:rPr>
          <w:rFonts w:ascii="Arial" w:cs="Arial" w:eastAsia="Arial" w:hAnsi="Arial"/>
          <w:sz w:val="16"/>
          <w:szCs w:val="16"/>
          <w:color w:val="auto"/>
        </w:rPr>
      </w:pPr>
    </w:p>
    <w:p>
      <w:pPr>
        <w:ind w:left="540" w:right="60" w:firstLine="8"/>
        <w:spacing w:after="0" w:line="250"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LP is prohibited from exercising such warrant if exercise would cause the number of shares then owned by Cowen Healthcare Investments III LP and its affiliates to exceed the Ownership Cap. Accordingly, Cowen Healthcare Investments III LP and CHI Advisors LLC disclaim beneficial ownership of the shares of common stock issuable upon exercise of the Pre-Funded Warrant to the extent that upon such exercise the number of shares beneficially owned by Cowen Healthcare Investments III LP and its affiliates, in the aggregate, would exceed the Ownership Cap. The business address for Cowen Healthcare Investments III LP is c/o CHI Advisors LLC, 599 Lexington Avenue, 19</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of (i) 10,850 shares of common stock distributed in connection with the Merger, (ii) 31,632 shares of common stock issued in the Private Placement, and (iii) 17,194 shares of common stock issuable upon exercise of a Pre-Funded Warrant that was issued in the Private Placement. CHI Advisors LLC is the investment manager of CHI EF II LP and has voting and investment power with respect to the securities held by CHI EF II LP. Under the terms of the Pre-Funded Warrant, CHI EF II LP is prohibited from exercising such warrant if exercise would cause the number of shares then owned by CHI EF II LP and its affiliates to exceed the Ownership Cap. Accordingly, CHI EF II LP and CHI Advisors LLC disclaim beneficial ownership of the shares of common stock issuable upon exercise of the Pre-Funded Warrant to the extent that upon such exercise the number of shares beneficially owned by CHI EF II LP and its affiliates, in the aggregate, would exceed the Ownership Cap. The business address for CHI EF II LP is c/o CHI Advisors LLC, 599 Lexington Avenue, 19</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4" w:lineRule="exact"/>
        <w:rPr>
          <w:rFonts w:ascii="Arial" w:cs="Arial" w:eastAsia="Arial" w:hAnsi="Arial"/>
          <w:sz w:val="16"/>
          <w:szCs w:val="16"/>
          <w:color w:val="auto"/>
        </w:rPr>
      </w:pPr>
    </w:p>
    <w:p>
      <w:pPr>
        <w:ind w:left="540" w:hanging="424"/>
        <w:spacing w:after="0" w:line="295"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of (i) 14,622 shares of common stock distributed in connection with the Merger, (ii) 18,901 shares of common stock issued in the Private Placement, and (iii) 10,274 shares of common stock issuable upon exercise of a Pre-Funded Warrant that was issued in the Private Placement. CHI Advisors LLC is the investment manager of CHI EF III LP and has voting and investment power with respect to the securities held by CHI EF III LP. Under the terms of the Pre-Funded Warrant, CHI EF III LP is prohibited from exercising such warrant if exercise would cause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86" w:lineRule="auto"/>
        <w:rPr>
          <w:sz w:val="20"/>
          <w:szCs w:val="20"/>
          <w:color w:val="auto"/>
        </w:rPr>
      </w:pPr>
      <w:r>
        <w:rPr>
          <w:rFonts w:ascii="Arial" w:cs="Arial" w:eastAsia="Arial" w:hAnsi="Arial"/>
          <w:sz w:val="16"/>
          <w:szCs w:val="16"/>
          <w:color w:val="auto"/>
        </w:rPr>
        <w:t>the number of shares then owned by CHI EF III LP and its affiliates to exceed the Ownership Cap. Accordingly, CHI EF III LP and CHI Advisors LLC disclaim beneficial ownership of the shares of common stock issuable upon exercise of the Pre-Funded Warrant to the extent that upon such exercise the number of shares beneficially owned by CHI EF III LP and its affiliates, in the aggregate, would exceed the Ownership Cap. The business address for CHI EF III LP is c/o CHI Advisors LLC, 599 Lexington Avenue, 19</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1" w:lineRule="exact"/>
        <w:rPr>
          <w:sz w:val="20"/>
          <w:szCs w:val="20"/>
          <w:color w:val="auto"/>
        </w:rPr>
      </w:pPr>
    </w:p>
    <w:p>
      <w:pPr>
        <w:ind w:left="540" w:right="260" w:hanging="424"/>
        <w:spacing w:after="0" w:line="265"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 Capital Management, L.P., or RA Capital, is the investment adviser of the RA Healthcare Fund, L.P., or RA Healthcare Fund. The general partner of RA Capital is RA Capital Management GP, LLC, or RA Capital GP, of which Peter Kolchinsky, Ph.D. and Rajeev Shah are the managing members. RA Capital Healthcare Fund GP, LLC is the general partner of RA Healthcare Fund. RA Healthcare Fund has delegated to RA Capital voting and investment power over the shares held by RA Healthcare Fund. The business address for RA Healthcare Fund is c/o RA Capital Management, L.P., 200 Berkeley Street, 18</w:t>
      </w:r>
      <w:r>
        <w:rPr>
          <w:rFonts w:ascii="Arial" w:cs="Arial" w:eastAsia="Arial" w:hAnsi="Arial"/>
          <w:sz w:val="14"/>
          <w:szCs w:val="14"/>
          <w:color w:val="auto"/>
        </w:rPr>
        <w:t>th</w:t>
      </w:r>
      <w:r>
        <w:rPr>
          <w:rFonts w:ascii="Arial" w:cs="Arial" w:eastAsia="Arial" w:hAnsi="Arial"/>
          <w:sz w:val="17"/>
          <w:szCs w:val="17"/>
          <w:color w:val="auto"/>
        </w:rPr>
        <w:t xml:space="preserve"> Floor, Boston, Massachusetts 02116.</w:t>
      </w:r>
    </w:p>
    <w:p>
      <w:pPr>
        <w:ind w:left="540" w:hanging="424"/>
        <w:spacing w:after="0" w:line="25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Logos GP LLC is the general partner of Logos Global Master Fund LP. Logos Global Management, L.P. is the investment advisor of Logos Global Master Fund LP. The voting members of Logos GP LLC are Arsani William, Graham Walmsley, Edward Zhong and Yanni Souroutzidis, none of whom has individual voting or investment power with respect to these shares of common stock and each of whom disclaims beneficial ownership of such shares except to the extent of his or her pecuniary interests therein. The business address for Logos Global Master Fund LP is 1 Letterman Drive, Building D, Suite D3-700, San Francisco, California 94129.</w:t>
      </w:r>
    </w:p>
    <w:p>
      <w:pPr>
        <w:spacing w:after="0" w:line="1" w:lineRule="exact"/>
        <w:rPr>
          <w:rFonts w:ascii="Arial" w:cs="Arial" w:eastAsia="Arial" w:hAnsi="Arial"/>
          <w:sz w:val="18"/>
          <w:szCs w:val="18"/>
          <w:color w:val="auto"/>
        </w:rPr>
      </w:pPr>
    </w:p>
    <w:p>
      <w:pPr>
        <w:ind w:left="540" w:right="180" w:hanging="424"/>
        <w:spacing w:after="0" w:line="265"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Acuta Capital Partners, LLC is the general partner of Acuta Capital Fund, LP. Anupam Dalal is the Chief Investment Officer and Manfred Yu is the Manager of Acuta Capital Partners, LLC. Both Mr. Dalal and Mr. Yu have voting and investment authority over all of the shares held by Actual Capital Fund, LP. Each of Acuta Capital Partners, LLC, Mr. Dalal and Mr. Yu disclaims beneficial ownership of the shares of common stock held by Acuta Capital Fund, LP except to the extent of their pecuniary interest therein. The business address for Acuta Capital Fund, LP is c/o Acuta Capital Partners, LLC, 1301 Shoreway Road, Suite 350, Belmont, California 94002.</w:t>
      </w:r>
    </w:p>
    <w:p>
      <w:pPr>
        <w:ind w:left="540" w:hanging="424"/>
        <w:spacing w:after="0" w:line="265"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Acuta Capital Partners, LLC is the general partner of Acuta Opportunity Fund, LP. Anupam Dalal is the Chief Investment Officer and Manfred Yu is the Manager of Acuta Capital Partners, LLC. Both Mr. Dalal and Mr. Yu have voting and investment authority over all of the shares held by Actual Opportunity Fund, LP. Each of Acuta Capital Partners, LLC, Mr. Dalal and Mr. Yu disclaims beneficial ownership of the shares of common stock held by Acuta Opportunity Fund, LP except to the extent of their pecuniary interest therein. The business address for Acuta Opportunity Fund, LP is c/o Acuta Capital Partners, LLC, 1301 Shoreway Road, Suite 350, Belmont, California 94002.</w:t>
      </w:r>
    </w:p>
    <w:p>
      <w:pPr>
        <w:ind w:left="540" w:right="220" w:hanging="424"/>
        <w:spacing w:after="0" w:line="265"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shares reflected as beneficially owned by Soleus Capital Master Fund, L.P., or Soleus Master Fund, in the table above. Mr. Guy Levy is the sole managing member of Soleus Capital Group, LLC, or Soleus Group, which is the sole managing member of Soleus Capital, LLC, together with Soleus Group, the Soleus Funds, which is the general partner of Soleus Master Fund. Accordingly, Mr. Levy and Soleus Funds may be deemed the beneficial owners of shares of common stock held by Soleus Master Fund. Each of Mr. Levy and Soleus Funds disclaims beneficial ownership of shares held by any of the entities named herein pursuant to Rule 13d-4 under the Exchange Act. The business address for Soleus Master Fund is 104 Field Point Road, 2nd Floor, Greenwich, Connecticut 06830.</w:t>
      </w:r>
    </w:p>
    <w:p>
      <w:pPr>
        <w:ind w:left="540" w:right="60" w:hanging="424"/>
        <w:spacing w:after="0" w:line="25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DAFNA Capital Management, LLC is the sole general partner of DAFNA Lifescience LP and DAFNA Lifescience Select LP, collectively, the DAFNA Funds. Nathan Fischel is the Chief Executive Officer and Fariba Ghodsian is the Chief Investment Officer of DAFNA Capital Management LLC and they may be deemed to have shared voting and investment power with respect to the securities held by the DAFNA Funds. Each of Dr. Fischel and Dr. Fariba disclaim beneficial ownership of such shares, except to the extent of his or her pecuniary interest therein. The address for DAFNA Lifescience LP and DAFNA Lifescience Select LP is c/o DAFNA Capital Management, 10990 Wilshire Boulevard, Suite 1400, Los Angeles, California 90024.</w:t>
      </w:r>
    </w:p>
    <w:p>
      <w:pPr>
        <w:spacing w:after="0" w:line="2" w:lineRule="exact"/>
        <w:rPr>
          <w:rFonts w:ascii="Arial" w:cs="Arial" w:eastAsia="Arial" w:hAnsi="Arial"/>
          <w:sz w:val="18"/>
          <w:szCs w:val="18"/>
          <w:color w:val="auto"/>
        </w:rPr>
      </w:pPr>
    </w:p>
    <w:p>
      <w:pPr>
        <w:ind w:left="540" w:right="100" w:hanging="424"/>
        <w:spacing w:after="0" w:line="25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Altium Capital Management, LP, the investment manager of Altium Growth Fund, LP, has voting and investment power over these securities. Jacob Gottlieb is the managing member of Altium Capital Growth GP, LLC, which is the general partner of Altium Growth Fund, LP. Each of Altium Growth Fund, LP and Jacob Gottlieb disclaims beneficial ownership over these securities. The business address for Altium Growth Fund, LP is 152 West 57th Street, Floor 20, New York, New York 10019.</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52"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OrbiMed Genesis GP LLC, or Genesis GP, is the general partner of OrbiMed Genesis Master Fund, L.P. OrbiMed Advisors LLC, or OrbiMed Advisors, is the managing member of Genesis GP. By virtue of such relationships, Genesis GP and OrbiMed Advisors may be deemed to have voting and investment power over the securities held by OrbiMed Genesis Master Fund, L.P.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OrbiMed Genesis Master Fund, L.P. The business address for OrbiMed Genesis Master Fund, L.P. is c/o OrbiMed Advisors LLC, 601 Lexington Avenue, 54</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spacing w:after="0" w:line="5"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OrbiMed Capital LLC, or OrbiMed Capital, is the investment advisor for OrbiMed Partners Master Fund Limited. OrbiMed Capital is a relying advisor of OrbiMed Advisors. OrbiMed Advisors and OrbiMed Capital exercise voting and investment power through a management committee comprised of Carl L. Gordon, Sven H. Borho, and Jonathan T. Silverstein, each of whom disclaims beneficial ownership of the shares held by OrbiMed Partners Master Fund Limited. The business address for OrbiMed Partners Master Fund Limited is c/o OrbiMed Advisors LLC, 601 Lexington Avenue, 54</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Sio Capital Management, LLC, or Sio Capital Management, is the investment manager of Sio Partners LP, Sio Partners Master Fund LP, Compass MAV LLC and Compass Offshore MAV Limited. Sio GP LLC, or Sio GP, is the general partner of Sio Partners LP and Sio Partners Master Fund LP. Michael Castor is the managing member of Sio Capital Management and Sio GP. Each of Sio Capital Management, Sio GP and Michael Castor disclaims beneficial ownership over the shares of common stock held by each of Sio Partners LP, Sio Partners Master Fund LP, Compass MAV LLC and Compass Offshore MAV Limited, respectively. The business address of Sio Partners LP, Sio Partners Master Fund LP, Compass MAV LLC and Compass Offshore MAV Limited is c/o Sio Capital Management, LLC, 600 Third Avenue, 2</w:t>
      </w:r>
      <w:r>
        <w:rPr>
          <w:rFonts w:ascii="Arial" w:cs="Arial" w:eastAsia="Arial" w:hAnsi="Arial"/>
          <w:sz w:val="13"/>
          <w:szCs w:val="13"/>
          <w:color w:val="auto"/>
        </w:rPr>
        <w:t>nd</w:t>
      </w:r>
      <w:r>
        <w:rPr>
          <w:rFonts w:ascii="Arial" w:cs="Arial" w:eastAsia="Arial" w:hAnsi="Arial"/>
          <w:sz w:val="16"/>
          <w:szCs w:val="16"/>
          <w:color w:val="auto"/>
        </w:rPr>
        <w:t xml:space="preserve"> Floor, New York, New York 10016.</w:t>
      </w:r>
    </w:p>
    <w:p>
      <w:pPr>
        <w:spacing w:after="0" w:line="3"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Serrado Capital LLC, or Serrado Capital, is the investment manager of Serrado Opportunity Fund LLC. Stewart J. Hen is the managing member of Serrado Capital. Serrado Capital and Mr. Hen exercise voting and investment power with respect to the securities held by Serrado Opportunity Fund LLC. Each of Serrado Capital and Mr. Hen disclaims beneficial ownership over the shares of common stock held by Serrado Opportunity Fund LLC except to the extent of its or his pecuniary interest therein. The business address of Serrado Opportunity Fund LLC is 25 North Moore Street, #15A, New York, New York 10013.</w:t>
      </w:r>
    </w:p>
    <w:p>
      <w:pPr>
        <w:spacing w:after="0" w:line="1" w:lineRule="exact"/>
        <w:rPr>
          <w:rFonts w:ascii="Arial" w:cs="Arial" w:eastAsia="Arial" w:hAnsi="Arial"/>
          <w:sz w:val="18"/>
          <w:szCs w:val="18"/>
          <w:color w:val="auto"/>
        </w:rPr>
      </w:pPr>
    </w:p>
    <w:p>
      <w:pPr>
        <w:ind w:left="540" w:right="240" w:hanging="424"/>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Vivo Opportunity, LLC is the general partner of Vivo Opportunity Fund, L.P. The voting members of Vivo Opportunity, LLC are Albert Cha, Gaurav Aggarwal, Shan Fu, Frank Kung and Michael Chang, none of whom has individual voting or investment power with respect to these shares of common stock and each of whom disclaims beneficial ownership of such shares except to the extent of his pecuniary interests therein. The business address for Vivo Opportunity Fund, L.P. is c/o Vivo Capital LLC, 192 Lytton Avenue, Palo Alto, California 94301.</w:t>
      </w:r>
    </w:p>
    <w:p>
      <w:pPr>
        <w:spacing w:after="0" w:line="2" w:lineRule="exact"/>
        <w:rPr>
          <w:rFonts w:ascii="Arial" w:cs="Arial" w:eastAsia="Arial" w:hAnsi="Arial"/>
          <w:sz w:val="16"/>
          <w:szCs w:val="16"/>
          <w:color w:val="auto"/>
        </w:rPr>
      </w:pPr>
    </w:p>
    <w:p>
      <w:pPr>
        <w:ind w:left="540" w:right="40" w:hanging="424"/>
        <w:spacing w:after="0" w:line="265"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Vivo Capital IX, LLC is the general partner of Vivo Capital Fund IX, L.P. The voting members of Vivo Capital IX, LLC are Frank Kung, Albert Cha, Edgar Engleman, Chen Yu and Shan Fu, none of whom has individual voting or investment power with respect to these shares of common stock and each of whom disclaims beneficial ownership of such shares except to the extent of his pecuniary interests therein. The business address for Vivo Capital Fund IX, L.P. is c/o Vivo Capital LLC, 192 Lytton Avenue, Palo Alto, California 94301.</w:t>
      </w:r>
    </w:p>
    <w:p>
      <w:pPr>
        <w:ind w:left="540" w:right="28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Janus Capital Management LLC, or Janus Capital Management, is the investment adviser to Janus Henderson Biotech Innovation Master Fund Limited. Janus Capital Management may be deemed to have voting and dispositive power over the shares held by Janus Henderson Biotech Innovation Master Fund Limited. The business address of Janus Henderson Biotech Innovation Master Fund Limited is c/o Janus Capital Management LLC, 151 Detroit Street, Denver, Colorado 80206.</w:t>
      </w:r>
    </w:p>
    <w:p>
      <w:pPr>
        <w:spacing w:after="0" w:line="1" w:lineRule="exact"/>
        <w:rPr>
          <w:rFonts w:ascii="Arial" w:cs="Arial" w:eastAsia="Arial" w:hAnsi="Arial"/>
          <w:sz w:val="18"/>
          <w:szCs w:val="18"/>
          <w:color w:val="auto"/>
        </w:rPr>
      </w:pPr>
    </w:p>
    <w:p>
      <w:pPr>
        <w:jc w:val="both"/>
        <w:ind w:left="540" w:right="20" w:hanging="424"/>
        <w:spacing w:after="0" w:line="30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Janus Capital Management is the investment adviser to Janus Henderson Horizon Fund – Biotechnology Fund. Janus Capital Management may be deemed to have voting and dispositive power over the shares held by Janus Henderson Horizon Fund – Biotechnology Fund. The business address of Janus Henderson Horizon Fund – Biotechnology Fund Care of BNP Paribas RCC is 151 Detroit Street, Denver, Colorado 80206.</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short sales effected after the date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or supplement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(supplemented or amended as necessary to reflect such transaction).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warrants.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selling stockholders also may resell all or a portion of the shares in open market transactions in reliance upon Rule 144 under the Securities Act.</w:t>
      </w:r>
    </w:p>
    <w:p>
      <w:pPr>
        <w:spacing w:after="0" w:line="24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selling stockholders and any underwriters, broker-dealers or agents that participate in the sale of the common stock or interests therein may be deemed to be “underwriters” within the meaning of Section 2(11) of the Securities Act. Any discounts, commissions, concessions or profit they earn on any resale of the shares may be underwriting discounts and commissions under the Securities Act.</w:t>
      </w:r>
    </w:p>
    <w:p>
      <w:pPr>
        <w:spacing w:after="0" w:line="184"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any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agreed with the selling stockholders to keep the registration statement of which this prospectus constitutes a part effective until the earlier of</w:t>
      </w:r>
    </w:p>
    <w:p>
      <w:pPr>
        <w:spacing w:after="0" w:line="46" w:lineRule="exact"/>
        <w:rPr>
          <w:sz w:val="20"/>
          <w:szCs w:val="20"/>
          <w:color w:val="auto"/>
        </w:rPr>
      </w:pPr>
    </w:p>
    <w:p>
      <w:pPr>
        <w:ind w:left="380" w:hanging="264"/>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time as all of the shares covered by this prospectus have been disposed of pursuant to and in accordance with such registration statement or</w:t>
      </w:r>
    </w:p>
    <w:p>
      <w:pPr>
        <w:spacing w:after="0" w:line="32" w:lineRule="exact"/>
        <w:rPr>
          <w:rFonts w:ascii="Arial" w:cs="Arial" w:eastAsia="Arial" w:hAnsi="Arial"/>
          <w:sz w:val="16"/>
          <w:szCs w:val="16"/>
          <w:color w:val="auto"/>
        </w:rPr>
      </w:pPr>
    </w:p>
    <w:p>
      <w:pPr>
        <w:ind w:left="120" w:right="60" w:hanging="4"/>
        <w:spacing w:after="0" w:line="260" w:lineRule="auto"/>
        <w:tabs>
          <w:tab w:leader="none" w:pos="3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all of the shares may be sold by the selling stockholders without restriction (including any current public information requirement) pursuant to Rule 144 of the Securities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The following description of our common stock and preferred stock summarizes the material terms and provisions of our common stock and preferred stock. The following description of our capital stock does not purport to be complete and is subject to, and qualified in its entirety by, our ninth amended and restated certificate of incorporation, referred to in this section as the Charter, and our amended and restated by-laws, as may be amended, referred to in this section as the Bylaws, which are incorporated by reference to Exhibits 3.1 and 3.2, respectively, of our Annual Report on Form 10-K for the year ended December 31, 2019 as filed with the SEC on March 5, 2020 and by applicable law, and does not include changes resulting from the amendments to our Charter to effect a name change to Larimar Therapeutics, Inc. and to effect the Reverse Split (as defined below). The terms of our common stock and preferred stock may also be affected by Delaware law.</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b w:val="1"/>
          <w:bCs w:val="1"/>
          <w:i w:val="1"/>
          <w:iCs w:val="1"/>
          <w:color w:val="auto"/>
        </w:rPr>
        <w:t>Authorized Capital Stock</w:t>
      </w:r>
      <w:r>
        <w:rPr>
          <w:rFonts w:ascii="Arial" w:cs="Arial" w:eastAsia="Arial" w:hAnsi="Arial"/>
          <w:sz w:val="18"/>
          <w:szCs w:val="18"/>
          <w:color w:val="auto"/>
        </w:rPr>
        <w:t>. Our authorized capital stock consists of (i) 115,000,000 shares of common stock, par value $0.001 per share,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15,354,335 shares have been issued and are outstanding as of June 26, 2020, referred to as the capitalization date, and (ii) 5,000,000 shares of preferred stock, par value $0.001 per share, of which no shares have been issued and are outstanding as of the capitalization date. We do not hold any shares of our capital stock in its treasury.</w:t>
      </w:r>
    </w:p>
    <w:p>
      <w:pPr>
        <w:spacing w:after="0" w:line="187"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Holders of our common stock are entitled to one vote for each share held of record on all matters submitted to a vote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The holders of our common stock do not have any cumulative voting rights.</w:t>
      </w:r>
    </w:p>
    <w:p>
      <w:pPr>
        <w:spacing w:after="0" w:line="170"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Holders of our common stock are entitled to receive ratably any dividends declared by our Board of Directors, or Board, out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legally available for that purpose, subject to any preferential dividend rights of any outstanding preferred stock.</w:t>
      </w:r>
    </w:p>
    <w:p>
      <w:pPr>
        <w:spacing w:after="0" w:line="170" w:lineRule="exact"/>
        <w:rPr>
          <w:sz w:val="20"/>
          <w:szCs w:val="20"/>
          <w:color w:val="auto"/>
        </w:rPr>
      </w:pPr>
    </w:p>
    <w:p>
      <w:pPr>
        <w:ind w:left="120" w:right="300" w:firstLine="991"/>
        <w:spacing w:after="0" w:line="311" w:lineRule="auto"/>
        <w:rPr>
          <w:sz w:val="20"/>
          <w:szCs w:val="20"/>
          <w:color w:val="auto"/>
        </w:rPr>
      </w:pPr>
      <w:r>
        <w:rPr>
          <w:rFonts w:ascii="Arial" w:cs="Arial" w:eastAsia="Arial" w:hAnsi="Arial"/>
          <w:sz w:val="16"/>
          <w:szCs w:val="16"/>
          <w:b w:val="1"/>
          <w:bCs w:val="1"/>
          <w:i w:val="1"/>
          <w:iCs w:val="1"/>
          <w:color w:val="auto"/>
        </w:rPr>
        <w:t>No Preemptive or Similar Rights</w:t>
      </w:r>
      <w:r>
        <w:rPr>
          <w:rFonts w:ascii="Arial" w:cs="Arial" w:eastAsia="Arial" w:hAnsi="Arial"/>
          <w:sz w:val="16"/>
          <w:szCs w:val="16"/>
          <w:color w:val="auto"/>
        </w:rPr>
        <w:t>. Our common stock has no preemptive rights, conversion rights or other subscription rights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or sinking fund provisions. In the event of a liquidation, dissolution or winding up of us, holders of our common stock will be entitled to share ratably in all assets remaining after payment of all debts and other liabilities and any liquidation preference of any outstanding preferred stock.</w:t>
      </w:r>
    </w:p>
    <w:p>
      <w:pPr>
        <w:spacing w:after="0" w:line="149" w:lineRule="exact"/>
        <w:rPr>
          <w:sz w:val="20"/>
          <w:szCs w:val="20"/>
          <w:color w:val="auto"/>
        </w:rPr>
      </w:pPr>
    </w:p>
    <w:p>
      <w:pPr>
        <w:ind w:left="1100"/>
        <w:spacing w:after="0"/>
        <w:rPr>
          <w:sz w:val="20"/>
          <w:szCs w:val="20"/>
          <w:color w:val="auto"/>
        </w:rPr>
      </w:pPr>
      <w:r>
        <w:rPr>
          <w:rFonts w:ascii="Arial" w:cs="Arial" w:eastAsia="Arial" w:hAnsi="Arial"/>
          <w:sz w:val="17"/>
          <w:szCs w:val="17"/>
          <w:b w:val="1"/>
          <w:bCs w:val="1"/>
          <w:i w:val="1"/>
          <w:iCs w:val="1"/>
          <w:color w:val="auto"/>
        </w:rPr>
        <w:t>Transfer Agent and Registrar</w:t>
      </w:r>
      <w:r>
        <w:rPr>
          <w:rFonts w:ascii="Arial" w:cs="Arial" w:eastAsia="Arial" w:hAnsi="Arial"/>
          <w:sz w:val="17"/>
          <w:szCs w:val="17"/>
          <w:color w:val="auto"/>
        </w:rPr>
        <w:t>. The transfer agent and registrar for our common stock is Computershare Trust Company, N.A.</w:t>
      </w:r>
    </w:p>
    <w:p>
      <w:pPr>
        <w:spacing w:after="0" w:line="237" w:lineRule="exact"/>
        <w:rPr>
          <w:sz w:val="20"/>
          <w:szCs w:val="20"/>
          <w:color w:val="auto"/>
        </w:rPr>
      </w:pPr>
    </w:p>
    <w:p>
      <w:pPr>
        <w:ind w:left="120" w:right="100" w:firstLine="991"/>
        <w:spacing w:after="0" w:line="342" w:lineRule="auto"/>
        <w:rPr>
          <w:sz w:val="20"/>
          <w:szCs w:val="20"/>
          <w:color w:val="auto"/>
        </w:rPr>
      </w:pPr>
      <w:r>
        <w:rPr>
          <w:rFonts w:ascii="Arial" w:cs="Arial" w:eastAsia="Arial" w:hAnsi="Arial"/>
          <w:sz w:val="16"/>
          <w:szCs w:val="16"/>
          <w:b w:val="1"/>
          <w:bCs w:val="1"/>
          <w:i w:val="1"/>
          <w:iCs w:val="1"/>
          <w:color w:val="auto"/>
        </w:rPr>
        <w:t>Listing</w:t>
      </w:r>
      <w:r>
        <w:rPr>
          <w:rFonts w:ascii="Arial" w:cs="Arial" w:eastAsia="Arial" w:hAnsi="Arial"/>
          <w:sz w:val="16"/>
          <w:szCs w:val="16"/>
          <w:color w:val="auto"/>
        </w:rPr>
        <w:t>. Our common stock is listed on The Nasdaq Global Market under the symbol “LRMR.” On June 25, 2020, the last reported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 of our common stock on The Nasdaq Global Market was $14.04 per share. As of June 26, 2020, we had approximately 55 stockholders of record.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Split</w:t>
      </w:r>
    </w:p>
    <w:p>
      <w:pPr>
        <w:spacing w:after="0" w:line="121" w:lineRule="exact"/>
        <w:rPr>
          <w:sz w:val="20"/>
          <w:szCs w:val="20"/>
          <w:color w:val="auto"/>
        </w:rPr>
      </w:pPr>
    </w:p>
    <w:p>
      <w:pPr>
        <w:ind w:left="120" w:right="460" w:firstLine="991"/>
        <w:spacing w:after="0" w:line="342" w:lineRule="auto"/>
        <w:rPr>
          <w:sz w:val="20"/>
          <w:szCs w:val="20"/>
          <w:color w:val="auto"/>
        </w:rPr>
      </w:pPr>
      <w:r>
        <w:rPr>
          <w:rFonts w:ascii="Arial" w:cs="Arial" w:eastAsia="Arial" w:hAnsi="Arial"/>
          <w:sz w:val="16"/>
          <w:szCs w:val="16"/>
          <w:color w:val="auto"/>
        </w:rPr>
        <w:t>On May 28, 2020, we filed an amendment to our Charter in order to effect a 1-for-12 reverse stock split of our common stock, or the Reverse Split, effective for trading purposes on May 29, 2020. The number of authorized stock remained unchanged at 120,000,000 shares.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60" w:firstLine="991"/>
        <w:spacing w:after="0" w:line="291" w:lineRule="auto"/>
        <w:rPr>
          <w:sz w:val="20"/>
          <w:szCs w:val="20"/>
          <w:color w:val="auto"/>
        </w:rPr>
      </w:pPr>
      <w:r>
        <w:rPr>
          <w:rFonts w:ascii="Arial" w:cs="Arial" w:eastAsia="Arial" w:hAnsi="Arial"/>
          <w:sz w:val="16"/>
          <w:szCs w:val="16"/>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In connection with the Private Placement, we issued and sold pre-funded warrants to purchase 628,403 shares of our common stock, or the Pre-Funded Warrants, to certain investors, or the Investors. The Pre-Funded Warrants are exercisable immediately upon issuance at an exercise price of $0.01 and will be exercisable indefinitely. The Investors may exercise the Pre-Funded Warrants on a cashless basis in the event that there is no effective registration statement covering the resale of the shares of our common stock underlying the Pre-Funded Warrants, or the Warrant Shares, on the date in which we are required to deliver the shares.</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Pre-Funded Warrants may not be exercised by the holder to the extent that the holder would beneficially own, after such exercise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9.99% of the shares of our common stock then outstanding (subject to the right of the holder to increase or decrease such beneficial ownership limitation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upon notice to us, provided that such limitation cannot exceed 19.99%) and provided that any increase in the beneficial ownership limitation shall not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until 61 days after such notice is delivered.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Shortly after the Merger we entered into a Registration Rights Agreement, or Merger Registration Rights Agreement, with the members of Chondrial Holdings, LLC pursuant to which we have agreed that promptly, but no later than 30 calendar days from the closing of the Merger, we will file a registration statement with the SEC covering the shares of common stock issued to Chondrial Holdings, LLC in exchange for all of the shares of common stock of Chondrial Therapeutics, Inc. and subsequently distributed to its members. We will use our commercially reasonable efforts to ensure that the such registration statement is declared effective as soon as practicable after the filing. In addition, the Merger Registration Rights Agreement also provides the members of Chondrial Holdings, LLC with demand and “piggy-back” registration rights, subject to certain minimum requirements and customary conditions.</w:t>
      </w:r>
    </w:p>
    <w:p>
      <w:pPr>
        <w:spacing w:after="0" w:line="195" w:lineRule="exact"/>
        <w:rPr>
          <w:sz w:val="20"/>
          <w:szCs w:val="20"/>
          <w:color w:val="auto"/>
        </w:rPr>
      </w:pPr>
    </w:p>
    <w:p>
      <w:pPr>
        <w:ind w:left="120" w:right="100" w:firstLine="991"/>
        <w:spacing w:after="0" w:line="255" w:lineRule="auto"/>
        <w:rPr>
          <w:sz w:val="20"/>
          <w:szCs w:val="20"/>
          <w:color w:val="auto"/>
        </w:rPr>
      </w:pPr>
      <w:r>
        <w:rPr>
          <w:rFonts w:ascii="Arial" w:cs="Arial" w:eastAsia="Arial" w:hAnsi="Arial"/>
          <w:sz w:val="18"/>
          <w:szCs w:val="18"/>
          <w:color w:val="auto"/>
        </w:rPr>
        <w:t>In connection with the Private Placement, we entered into a Registration Rights Agreement, or the Private Placement Registration Rights Agreement, and collectively with the Merger Registration Rights Agreement, the Registration Rights Agreements, with our investors pursuant to which we have agreed that promptly, but no later than 30 calendar days from the final closing of the Private Placement, we will file a registration statement with the SEC covering (a) the shares of common stock issued in the Offering and (b) the shares of common stock underlying the Pre-Funded Warrants issued in the Private Placement. We will use our commercially reasonable efforts to ensure that such registration statement is declared effective as soon as practicable after the filing.</w:t>
      </w:r>
    </w:p>
    <w:p>
      <w:pPr>
        <w:spacing w:after="0" w:line="192"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These registration rights granted under the Registration Rights Agreements are subject to certain conditions, including our right to delay or withdraw a registration statement under certain circumstances. The registration rights granted in the Registration Rights Agreements are also subject to customary indemnification and contribution provisions.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Our Charter and Bylaws and Delaware Anti-Takeover Law</w:t>
      </w:r>
    </w:p>
    <w:p>
      <w:pPr>
        <w:spacing w:after="0" w:line="121"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Certain provisions of the Delaware General Corporation Law, or DGCL,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b w:val="1"/>
          <w:bCs w:val="1"/>
          <w:i w:val="1"/>
          <w:iCs w:val="1"/>
          <w:color w:val="auto"/>
        </w:rPr>
        <w:t>Board Composition and Filling Vacancies</w:t>
      </w:r>
      <w:r>
        <w:rPr>
          <w:rFonts w:ascii="Arial" w:cs="Arial" w:eastAsia="Arial" w:hAnsi="Arial"/>
          <w:sz w:val="18"/>
          <w:szCs w:val="18"/>
          <w:color w:val="auto"/>
        </w:rPr>
        <w:t>. Our Charter provides for the division of our Board into three classes serving staggered three-year terms, 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88" w:lineRule="exact"/>
        <w:rPr>
          <w:sz w:val="20"/>
          <w:szCs w:val="20"/>
          <w:color w:val="auto"/>
        </w:rPr>
      </w:pPr>
    </w:p>
    <w:p>
      <w:pPr>
        <w:ind w:left="120" w:right="840" w:firstLine="991"/>
        <w:spacing w:after="0" w:line="342" w:lineRule="auto"/>
        <w:rPr>
          <w:sz w:val="20"/>
          <w:szCs w:val="20"/>
          <w:color w:val="auto"/>
        </w:rPr>
      </w:pPr>
      <w:r>
        <w:rPr>
          <w:rFonts w:ascii="Arial" w:cs="Arial" w:eastAsia="Arial" w:hAnsi="Arial"/>
          <w:sz w:val="16"/>
          <w:szCs w:val="16"/>
          <w:b w:val="1"/>
          <w:bCs w:val="1"/>
          <w:i w:val="1"/>
          <w:iCs w:val="1"/>
          <w:color w:val="auto"/>
        </w:rPr>
        <w:t>No Written Consent of Stockholders</w:t>
      </w:r>
      <w:r>
        <w:rPr>
          <w:rFonts w:ascii="Arial" w:cs="Arial" w:eastAsia="Arial" w:hAnsi="Arial"/>
          <w:sz w:val="16"/>
          <w:szCs w:val="16"/>
          <w:color w:val="auto"/>
        </w:rPr>
        <w:t>. Our Charter provides that all stockholder actions are required to be taken by a vote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24" w:lineRule="exact"/>
        <w:rPr>
          <w:sz w:val="20"/>
          <w:szCs w:val="20"/>
          <w:color w:val="auto"/>
        </w:rPr>
      </w:pPr>
    </w:p>
    <w:p>
      <w:pPr>
        <w:ind w:left="120" w:right="220" w:firstLine="991"/>
        <w:spacing w:after="0" w:line="259" w:lineRule="auto"/>
        <w:rPr>
          <w:sz w:val="20"/>
          <w:szCs w:val="20"/>
          <w:color w:val="auto"/>
        </w:rPr>
      </w:pPr>
      <w:r>
        <w:rPr>
          <w:rFonts w:ascii="Arial" w:cs="Arial" w:eastAsia="Arial" w:hAnsi="Arial"/>
          <w:sz w:val="18"/>
          <w:szCs w:val="18"/>
          <w:b w:val="1"/>
          <w:bCs w:val="1"/>
          <w:i w:val="1"/>
          <w:iCs w:val="1"/>
          <w:color w:val="auto"/>
        </w:rPr>
        <w:t>Meetings of Stockholders</w:t>
      </w:r>
      <w:r>
        <w:rPr>
          <w:rFonts w:ascii="Arial" w:cs="Arial" w:eastAsia="Arial" w:hAnsi="Arial"/>
          <w:sz w:val="18"/>
          <w:szCs w:val="18"/>
          <w:color w:val="auto"/>
        </w:rPr>
        <w:t>. Our Charter and Bylaws provide that only a majority of the members of our Board then in office may call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87" w:lineRule="exact"/>
        <w:rPr>
          <w:sz w:val="20"/>
          <w:szCs w:val="20"/>
          <w:color w:val="auto"/>
        </w:rPr>
      </w:pPr>
    </w:p>
    <w:p>
      <w:pPr>
        <w:ind w:left="120" w:right="140" w:firstLine="991"/>
        <w:spacing w:after="0" w:line="296" w:lineRule="auto"/>
        <w:rPr>
          <w:sz w:val="20"/>
          <w:szCs w:val="20"/>
          <w:color w:val="auto"/>
        </w:rPr>
      </w:pPr>
      <w:r>
        <w:rPr>
          <w:rFonts w:ascii="Arial" w:cs="Arial" w:eastAsia="Arial" w:hAnsi="Arial"/>
          <w:sz w:val="16"/>
          <w:szCs w:val="16"/>
          <w:b w:val="1"/>
          <w:bCs w:val="1"/>
          <w:i w:val="1"/>
          <w:iCs w:val="1"/>
          <w:color w:val="auto"/>
        </w:rPr>
        <w:t>Advance Notice Requirements</w:t>
      </w:r>
      <w:r>
        <w:rPr>
          <w:rFonts w:ascii="Arial" w:cs="Arial" w:eastAsia="Arial" w:hAnsi="Arial"/>
          <w:sz w:val="16"/>
          <w:szCs w:val="16"/>
          <w:color w:val="auto"/>
        </w:rPr>
        <w:t>. Our Bylaws establish advance notice procedures with regard to stockholder proposals relating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61"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b w:val="1"/>
          <w:bCs w:val="1"/>
          <w:i w:val="1"/>
          <w:iCs w:val="1"/>
          <w:color w:val="auto"/>
        </w:rPr>
        <w:t>Amendment to Charter and Bylaws</w:t>
      </w:r>
      <w:r>
        <w:rPr>
          <w:rFonts w:ascii="Arial" w:cs="Arial" w:eastAsia="Arial" w:hAnsi="Arial"/>
          <w:sz w:val="17"/>
          <w:szCs w:val="17"/>
          <w:color w:val="auto"/>
        </w:rPr>
        <w:t>. As required by the DGCL, any amendment of our Charter must first be approved by a majority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81"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3" w:lineRule="exact"/>
        <w:rPr>
          <w:sz w:val="20"/>
          <w:szCs w:val="20"/>
          <w:color w:val="auto"/>
        </w:rPr>
      </w:pPr>
    </w:p>
    <w:p>
      <w:pPr>
        <w:ind w:left="2200" w:right="20" w:hanging="653"/>
        <w:spacing w:after="0" w:line="277" w:lineRule="auto"/>
        <w:tabs>
          <w:tab w:leader="none" w:pos="2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2200" w:right="80" w:hanging="653"/>
        <w:spacing w:after="0" w:line="257" w:lineRule="auto"/>
        <w:tabs>
          <w:tab w:leader="none" w:pos="2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0" w:hanging="653"/>
        <w:spacing w:after="0" w:line="263" w:lineRule="auto"/>
        <w:tabs>
          <w:tab w:leader="none" w:pos="2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2200" w:hanging="653"/>
        <w:spacing w:after="0"/>
        <w:tabs>
          <w:tab w:leader="none" w:pos="2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2200" w:right="20" w:hanging="653"/>
        <w:spacing w:after="0" w:line="342" w:lineRule="auto"/>
        <w:tabs>
          <w:tab w:leader="none" w:pos="2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29" w:lineRule="exact"/>
        <w:rPr>
          <w:rFonts w:ascii="Arial" w:cs="Arial" w:eastAsia="Arial" w:hAnsi="Arial"/>
          <w:sz w:val="16"/>
          <w:szCs w:val="16"/>
          <w:color w:val="auto"/>
        </w:rPr>
      </w:pPr>
    </w:p>
    <w:p>
      <w:pPr>
        <w:ind w:left="2200" w:right="720" w:hanging="653"/>
        <w:spacing w:after="0" w:line="277" w:lineRule="auto"/>
        <w:tabs>
          <w:tab w:leader="none" w:pos="2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2200" w:right="120" w:hanging="653"/>
        <w:spacing w:after="0" w:line="277" w:lineRule="auto"/>
        <w:tabs>
          <w:tab w:leader="none" w:pos="2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interested stockholder; and</w:t>
      </w:r>
    </w:p>
    <w:p>
      <w:pPr>
        <w:spacing w:after="0" w:line="75" w:lineRule="exact"/>
        <w:rPr>
          <w:rFonts w:ascii="Arial" w:cs="Arial" w:eastAsia="Arial" w:hAnsi="Arial"/>
          <w:sz w:val="18"/>
          <w:szCs w:val="18"/>
          <w:color w:val="auto"/>
        </w:rPr>
      </w:pPr>
    </w:p>
    <w:p>
      <w:pPr>
        <w:ind w:left="2200" w:right="560" w:hanging="653"/>
        <w:spacing w:after="0" w:line="277" w:lineRule="auto"/>
        <w:tabs>
          <w:tab w:leader="none" w:pos="2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420" w:firstLine="991"/>
        <w:spacing w:after="0" w:line="308"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validity of the shares of common stock offered in this prospectus has been passed upon for us by Pepper Hamilton LLP.</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20" w:firstLine="991"/>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of Zafgen, Inc.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84"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The audited historical financial statements of Chondrial Therapeutics, Inc. included in Exhibit 99.3 of Larimar Therapeutics, Inc.’s Current Report on Form 8-K/A filed June 26, 2020 have been so incorporated in reliance on the report (which contains an explanatory paragraph describing conditions that raise substantial doubt about Chondrial Therapeutics, Inc.’s ability to continue as a going concern as described in Note 2 to the financial statements) of PricewaterhouseCoopers LLP, an independent registered public accounting firm, given on the authority of said firm as experts in auditing and accounting.</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0" w:firstLine="991"/>
        <w:spacing w:after="0" w:line="279" w:lineRule="auto"/>
        <w:rPr>
          <w:sz w:val="20"/>
          <w:szCs w:val="20"/>
          <w:color w:val="auto"/>
        </w:rPr>
      </w:pPr>
      <w:r>
        <w:rPr>
          <w:rFonts w:ascii="Arial" w:cs="Arial" w:eastAsia="Arial" w:hAnsi="Arial"/>
          <w:sz w:val="17"/>
          <w:szCs w:val="17"/>
          <w:color w:val="auto"/>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71"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We are currently subject to the reporting requirements of the Exchange Act, and in accordance therewith files periodic reports, proxy statements and other information with the SEC. Our SEC filings are available to you on the SEC’s website at http://www.sec.gov and in the “Investor Relations” section of our website at www.larimartx.com. Our website and the information contained on that site, or connected to that site, are not incorporated into and are not a part of this prospectus.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8" w:lineRule="exact"/>
        <w:rPr>
          <w:sz w:val="20"/>
          <w:szCs w:val="20"/>
          <w:color w:val="auto"/>
        </w:rPr>
      </w:pPr>
    </w:p>
    <w:p>
      <w:pPr>
        <w:ind w:left="1540" w:hanging="439"/>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March 5, 2020;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5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2020, filed with the SEC on May 7, 2020;</w:t>
      </w:r>
    </w:p>
    <w:p>
      <w:pPr>
        <w:spacing w:after="0" w:line="130" w:lineRule="exact"/>
        <w:rPr>
          <w:rFonts w:ascii="Arial" w:cs="Arial" w:eastAsia="Arial" w:hAnsi="Arial"/>
          <w:sz w:val="18"/>
          <w:szCs w:val="18"/>
          <w:color w:val="auto"/>
        </w:rPr>
      </w:pPr>
    </w:p>
    <w:p>
      <w:pPr>
        <w:ind w:left="1540" w:right="100" w:hanging="439"/>
        <w:spacing w:after="0" w:line="286" w:lineRule="auto"/>
        <w:tabs>
          <w:tab w:leader="none" w:pos="1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Our Proxy Statement on </w:t>
      </w:r>
      <w:hyperlink r:id="rId52">
        <w:r>
          <w:rPr>
            <w:rFonts w:ascii="Arial" w:cs="Arial" w:eastAsia="Arial" w:hAnsi="Arial"/>
            <w:sz w:val="17"/>
            <w:szCs w:val="17"/>
            <w:u w:val="single" w:color="auto"/>
            <w:color w:val="0000EE"/>
          </w:rPr>
          <w:t>Form DEFM 14-A</w:t>
        </w:r>
      </w:hyperlink>
      <w:r>
        <w:rPr>
          <w:rFonts w:ascii="Arial" w:cs="Arial" w:eastAsia="Arial" w:hAnsi="Arial"/>
          <w:sz w:val="17"/>
          <w:szCs w:val="17"/>
          <w:color w:val="auto"/>
        </w:rPr>
        <w:t xml:space="preserve">, filed on April 29, 2020 (the Chondrial Therapeutics, Inc. financial statements and the report thereon from the Company’s independent registered public accounting firm have been superseded by the financial statements and report thereon included in Larimar Therapeutics, Inc.’s Current Report on Form 8-K/A filed on </w:t>
      </w:r>
      <w:hyperlink r:id="rId53">
        <w:r>
          <w:rPr>
            <w:rFonts w:ascii="Arial" w:cs="Arial" w:eastAsia="Arial" w:hAnsi="Arial"/>
            <w:sz w:val="17"/>
            <w:szCs w:val="17"/>
            <w:u w:val="single" w:color="auto"/>
            <w:color w:val="0000EE"/>
          </w:rPr>
          <w:t>June 26, 2020</w:t>
        </w:r>
      </w:hyperlink>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540" w:right="60" w:hanging="439"/>
        <w:spacing w:after="0" w:line="277" w:lineRule="auto"/>
        <w:tabs>
          <w:tab w:leader="none" w:pos="1540" w:val="left"/>
        </w:tabs>
        <w:numPr>
          <w:ilvl w:val="0"/>
          <w:numId w:val="17"/>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and 8-K/A filed with the SEC on June 26, 2020, </w:t>
      </w:r>
      <w:hyperlink r:id="rId54">
        <w:r>
          <w:rPr>
            <w:rFonts w:ascii="Arial" w:cs="Arial" w:eastAsia="Arial" w:hAnsi="Arial"/>
            <w:sz w:val="18"/>
            <w:szCs w:val="18"/>
            <w:u w:val="single" w:color="auto"/>
            <w:color w:val="0000EE"/>
          </w:rPr>
          <w:t>June 2, 2020</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April 24, 2020</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March 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7">
        <w:r>
          <w:rPr>
            <w:rFonts w:ascii="Arial" w:cs="Arial" w:eastAsia="Arial" w:hAnsi="Arial"/>
            <w:sz w:val="18"/>
            <w:szCs w:val="18"/>
            <w:u w:val="single" w:color="auto"/>
            <w:color w:val="0000EE"/>
          </w:rPr>
          <w:t>January 13, 2020</w:t>
        </w:r>
        <w:r>
          <w:rPr>
            <w:rFonts w:ascii="Arial" w:cs="Arial" w:eastAsia="Arial" w:hAnsi="Arial"/>
            <w:sz w:val="18"/>
            <w:szCs w:val="18"/>
            <w:color w:val="0000EE"/>
          </w:rPr>
          <w:t xml:space="preserve"> </w:t>
        </w:r>
      </w:hyperlink>
      <w:r>
        <w:rPr>
          <w:rFonts w:ascii="Arial" w:cs="Arial" w:eastAsia="Arial" w:hAnsi="Arial"/>
          <w:sz w:val="18"/>
          <w:szCs w:val="18"/>
          <w:color w:val="000000"/>
        </w:rPr>
        <w:t>(in</w:t>
      </w:r>
      <w:r>
        <w:rPr>
          <w:rFonts w:ascii="Arial" w:cs="Arial" w:eastAsia="Arial" w:hAnsi="Arial"/>
          <w:sz w:val="18"/>
          <w:szCs w:val="18"/>
          <w:color w:val="0000EE"/>
        </w:rPr>
        <w:t xml:space="preserve"> </w:t>
      </w:r>
      <w:r>
        <w:rPr>
          <w:rFonts w:ascii="Arial" w:cs="Arial" w:eastAsia="Arial" w:hAnsi="Arial"/>
          <w:sz w:val="18"/>
          <w:szCs w:val="18"/>
          <w:color w:val="000000"/>
        </w:rPr>
        <w:t>each case other than any portions thereof deemed furnished and not filed); and</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hanging="439"/>
        <w:spacing w:after="0" w:line="342" w:lineRule="auto"/>
        <w:tabs>
          <w:tab w:leader="none" w:pos="1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our registration statement on </w:t>
      </w:r>
      <w:hyperlink r:id="rId59">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 No. 001-36510) filed with the SEC on June 18, 2014, under the Exchange Act, including any amendment or report filed for the purpose of updating such description.</w:t>
      </w:r>
    </w:p>
    <w:p>
      <w:pPr>
        <w:spacing w:after="0" w:line="124" w:lineRule="exact"/>
        <w:rPr>
          <w:sz w:val="20"/>
          <w:szCs w:val="20"/>
          <w:color w:val="auto"/>
        </w:rPr>
      </w:pPr>
    </w:p>
    <w:p>
      <w:pPr>
        <w:ind w:left="120" w:firstLine="991"/>
        <w:spacing w:after="0" w:line="253" w:lineRule="auto"/>
        <w:rPr>
          <w:sz w:val="20"/>
          <w:szCs w:val="20"/>
          <w:color w:val="auto"/>
        </w:rPr>
      </w:pPr>
      <w:r>
        <w:rPr>
          <w:rFonts w:ascii="Arial" w:cs="Arial" w:eastAsia="Arial" w:hAnsi="Arial"/>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4"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Bala Cynwyd, Pennsylvania, 19004</w:t>
      </w:r>
    </w:p>
    <w:p>
      <w:pPr>
        <w:spacing w:after="0" w:line="9" w:lineRule="exact"/>
        <w:rPr>
          <w:sz w:val="20"/>
          <w:szCs w:val="20"/>
          <w:color w:val="auto"/>
        </w:rPr>
      </w:pPr>
    </w:p>
    <w:p>
      <w:pPr>
        <w:ind w:left="5480" w:right="4940" w:hanging="418"/>
        <w:spacing w:after="0" w:line="517" w:lineRule="auto"/>
        <w:tabs>
          <w:tab w:leader="none" w:pos="5502" w:val="left"/>
        </w:tabs>
        <w:numPr>
          <w:ilvl w:val="0"/>
          <w:numId w:val="19"/>
        </w:numPr>
        <w:rPr>
          <w:rFonts w:ascii="Arial" w:cs="Arial" w:eastAsia="Arial" w:hAnsi="Arial"/>
          <w:sz w:val="16"/>
          <w:szCs w:val="16"/>
          <w:color w:val="auto"/>
        </w:rPr>
      </w:pPr>
      <w:r>
        <w:rPr>
          <w:rFonts w:ascii="Arial" w:cs="Arial" w:eastAsia="Arial" w:hAnsi="Arial"/>
          <w:sz w:val="16"/>
          <w:szCs w:val="16"/>
          <w:color w:val="auto"/>
        </w:rPr>
        <w:t>414-2700 -22-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648970</wp:posOffset>
            </wp:positionV>
            <wp:extent cx="2580005" cy="1028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580005" cy="10287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12,860,272 Shares</w:t>
      </w:r>
    </w:p>
    <w:p>
      <w:pPr>
        <w:spacing w:after="0" w:line="200" w:lineRule="exact"/>
        <w:rPr>
          <w:sz w:val="20"/>
          <w:szCs w:val="20"/>
          <w:color w:val="auto"/>
        </w:rPr>
      </w:pPr>
    </w:p>
    <w:p>
      <w:pPr>
        <w:spacing w:after="0" w:line="291"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table sets forth an estimate of the fees and expenses payable by us in connection with the issuance and distribution of the shares of common stock being registered by this registration statement. None of the expenses listed below are to be borne by any of the selling stockholders named in the prospectus that forms a part of this registration statement. All the amounts shown are estimates, except for the Securities and Exchange Commission, or SEC, registration fee.</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Amount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Printing and Miscellaneous</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$182,185</w:t>
            </w:r>
          </w:p>
        </w:tc>
      </w:tr>
    </w:tbl>
    <w:p>
      <w:pPr>
        <w:spacing w:after="0" w:line="34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Our Ninth Amended and Restated Certificate of Incorporation, as amended, or the Charter, provides for the indemnification of directors to the fullest extent permissible under Delaware law. Accordingly, our directors will not be personally liable for monetary damages for breach of their fiduciary duty as directors, except for liabilities:</w:t>
      </w:r>
    </w:p>
    <w:p>
      <w:pPr>
        <w:spacing w:after="0" w:line="8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unlawful payments of dividends or unlawful stock repurchases or redemptions, as provided under Section 174 of the DGCL; or</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amended and restated bylaws, or the Bylaws, provide for the indemnification of officers, directors and third parties acting on our behalf if such persons act in good faith and in a manner reasonably believed to be in and not opposed to our best interest, and, with respect to any criminal action or proceeding, such indemnified party had no reason to believe his or her conduct was unlawful.</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certain of our executive officers. These agreements provide that we will indemnify each of our directors and certain of our executive officers to the fullest extent permitted by law. We intend to enter into indemnification agreements with any new directors and executive officers in the future.</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0"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We believe that the limitation of liability provision in the Charter and the indemnification agreements facilitate our ability to continue to attract and retain qualified individuals to serve as directors and officers. The limitation of liability and indemnification provisions in the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w:t>
      </w:r>
    </w:p>
    <w:p>
      <w:pPr>
        <w:sectPr>
          <w:pgSz w:w="11900" w:h="16838" w:orient="portrait"/>
          <w:cols w:equalWidth="0" w:num="1">
            <w:col w:w="11120"/>
          </w:cols>
          <w:pgMar w:left="320" w:top="459" w:right="459" w:bottom="1440" w:gutter="0" w:footer="0" w:header="0"/>
        </w:sect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Item 16.</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pacing w:after="0" w:line="200" w:lineRule="exact"/>
        <w:rPr>
          <w:sz w:val="20"/>
          <w:szCs w:val="20"/>
          <w:color w:val="auto"/>
        </w:rPr>
      </w:pPr>
    </w:p>
    <w:p>
      <w:pPr>
        <w:sectPr>
          <w:pgSz w:w="11900" w:h="16838" w:orient="portrait"/>
          <w:cols w:equalWidth="0" w:num="2">
            <w:col w:w="740" w:space="460"/>
            <w:col w:w="9920"/>
          </w:cols>
          <w:pgMar w:left="320" w:top="459" w:right="459" w:bottom="1440" w:gutter="0" w:footer="0" w:header="0"/>
          <w:type w:val="continuous"/>
        </w:sectPr>
      </w:pPr>
    </w:p>
    <w:p>
      <w:pPr>
        <w:spacing w:after="0" w:line="71"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Exhibit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ind w:right="4560"/>
        <w:spacing w:after="0"/>
        <w:rPr>
          <w:sz w:val="20"/>
          <w:szCs w:val="20"/>
          <w:color w:val="auto"/>
        </w:rPr>
      </w:pPr>
      <w:r>
        <w:rPr>
          <w:rFonts w:ascii="Arial" w:cs="Arial" w:eastAsia="Arial" w:hAnsi="Arial"/>
          <w:sz w:val="12"/>
          <w:szCs w:val="12"/>
          <w:b w:val="1"/>
          <w:bCs w:val="1"/>
          <w:color w:val="auto"/>
        </w:rPr>
        <w:t>Description</w:t>
      </w:r>
    </w:p>
    <w:p>
      <w:pPr>
        <w:spacing w:after="0" w:line="126" w:lineRule="exact"/>
        <w:rPr>
          <w:sz w:val="20"/>
          <w:szCs w:val="20"/>
          <w:color w:val="auto"/>
        </w:rPr>
      </w:pPr>
    </w:p>
    <w:p>
      <w:pPr>
        <w:sectPr>
          <w:pgSz w:w="11900" w:h="16838" w:orient="portrait"/>
          <w:cols w:equalWidth="0" w:num="2">
            <w:col w:w="5140" w:space="720"/>
            <w:col w:w="5260"/>
          </w:cols>
          <w:pgMar w:left="320" w:top="459" w:right="459" w:bottom="1440" w:gutter="0" w:footer="0" w:header="0"/>
          <w:type w:val="continuous"/>
        </w:sectPr>
      </w:pPr>
    </w:p>
    <w:p>
      <w:pPr>
        <w:ind w:left="1300" w:right="100" w:hanging="638"/>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70">
        <w:r>
          <w:rPr>
            <w:rFonts w:ascii="Arial" w:cs="Arial" w:eastAsia="Arial" w:hAnsi="Arial"/>
            <w:sz w:val="18"/>
            <w:szCs w:val="18"/>
            <w:u w:val="single" w:color="auto"/>
            <w:color w:val="0000EE"/>
          </w:rPr>
          <w:t>Agreement and Plan of Merger, dated as of December 17, 2019, by and among Zafgen, Inc., Chondrial Therapeutics, Inc., Chondrial</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Therapeutics Holdings, LLC, and Zordich Merger Sub, Inc. (incorporated by reference to Exhibit 2.1 of the Company’s Current Report</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on Form 8-K (File No. 001-36510) filed on December 18, 2019).</w:t>
        </w:r>
      </w:hyperlink>
    </w:p>
    <w:p>
      <w:pPr>
        <w:spacing w:after="0" w:line="76" w:lineRule="exact"/>
        <w:rPr>
          <w:rFonts w:ascii="Arial" w:cs="Arial" w:eastAsia="Arial" w:hAnsi="Arial"/>
          <w:sz w:val="18"/>
          <w:szCs w:val="18"/>
          <w:u w:val="single" w:color="auto"/>
          <w:color w:val="0000EE"/>
        </w:rPr>
      </w:pPr>
    </w:p>
    <w:p>
      <w:pPr>
        <w:ind w:left="1300" w:right="60" w:hanging="638"/>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71">
        <w:r>
          <w:rPr>
            <w:rFonts w:ascii="Arial" w:cs="Arial" w:eastAsia="Arial" w:hAnsi="Arial"/>
            <w:sz w:val="18"/>
            <w:szCs w:val="18"/>
            <w:u w:val="single" w:color="auto"/>
            <w:color w:val="0000EE"/>
          </w:rPr>
          <w:t>Ninth Amended and Restated Certificate of Incorporation of Larimar Therapeutics, Inc. (formerly known as Zafgen, Inc.) (incorporated</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by reference to Exhibit 3.1 of the Company’s Current Report on Form 8-K filed on June 24, 2014).</w:t>
        </w:r>
      </w:hyperlink>
    </w:p>
    <w:p>
      <w:pPr>
        <w:spacing w:after="0" w:line="62" w:lineRule="exact"/>
        <w:rPr>
          <w:sz w:val="20"/>
          <w:szCs w:val="20"/>
          <w:color w:val="auto"/>
        </w:rPr>
      </w:pPr>
    </w:p>
    <w:p>
      <w:pPr>
        <w:ind w:left="1300" w:right="120" w:hanging="638"/>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72">
        <w:r>
          <w:rPr>
            <w:rFonts w:ascii="Arial" w:cs="Arial" w:eastAsia="Arial" w:hAnsi="Arial"/>
            <w:sz w:val="18"/>
            <w:szCs w:val="18"/>
            <w:u w:val="single" w:color="auto"/>
            <w:color w:val="0000EE"/>
          </w:rPr>
          <w:t>Certificate of Amendment of Ninth Amended and Restated Certificate of Incorporation of Larimar Therapeutics, Inc. (formerly known</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as Zafgen, Inc.) related to the Reverse Stock Split, dated May 28, 2020 (incorporated by reference to Exhibit 3.1 of the Company’s</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Current Report on Form 8-K filed on June 2, 2020).</w:t>
        </w:r>
      </w:hyperlink>
    </w:p>
    <w:p>
      <w:pPr>
        <w:spacing w:after="0" w:line="76" w:lineRule="exact"/>
        <w:rPr>
          <w:rFonts w:ascii="Arial" w:cs="Arial" w:eastAsia="Arial" w:hAnsi="Arial"/>
          <w:sz w:val="18"/>
          <w:szCs w:val="18"/>
          <w:u w:val="single" w:color="auto"/>
          <w:color w:val="0000EE"/>
        </w:rPr>
      </w:pPr>
    </w:p>
    <w:p>
      <w:pPr>
        <w:jc w:val="both"/>
        <w:ind w:left="1300" w:right="120" w:hanging="638"/>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73">
        <w:r>
          <w:rPr>
            <w:rFonts w:ascii="Arial" w:cs="Arial" w:eastAsia="Arial" w:hAnsi="Arial"/>
            <w:sz w:val="18"/>
            <w:szCs w:val="18"/>
            <w:u w:val="single" w:color="auto"/>
            <w:color w:val="0000EE"/>
          </w:rPr>
          <w:t>Certificate of Amendment of Ninth Amended and Restated Certificate of Incorporation of Larimar Therapeutics, Inc. (formerly known</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as Zafgen, Inc.) related to the Name Change, dated May 28, 2020 (incorporated by reference to Exhibit 3.2 of the Company’s Current</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Report on Form 8-K filed on June 2, 2020).</w:t>
        </w:r>
      </w:hyperlink>
    </w:p>
    <w:p>
      <w:pPr>
        <w:spacing w:after="0" w:line="76" w:lineRule="exact"/>
        <w:rPr>
          <w:rFonts w:ascii="Arial" w:cs="Arial" w:eastAsia="Arial" w:hAnsi="Arial"/>
          <w:sz w:val="18"/>
          <w:szCs w:val="18"/>
          <w:u w:val="single" w:color="auto"/>
          <w:color w:val="0000EE"/>
        </w:rPr>
      </w:pPr>
    </w:p>
    <w:p>
      <w:pPr>
        <w:ind w:left="1300" w:hanging="638"/>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74">
        <w:r>
          <w:rPr>
            <w:rFonts w:ascii="Arial" w:cs="Arial" w:eastAsia="Arial" w:hAnsi="Arial"/>
            <w:sz w:val="18"/>
            <w:szCs w:val="18"/>
            <w:u w:val="single" w:color="auto"/>
            <w:color w:val="0000EE"/>
          </w:rPr>
          <w:t>Amended and Restated Bylaws of Larimar Therapeutics, Inc. (formerly known as Zafgen, Inc.) (incorporated by reference to Exhibit 3.2</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of the Company’s Current Report on Form 8-K filed on June 24, 2014).</w:t>
        </w:r>
      </w:hyperlink>
    </w:p>
    <w:p>
      <w:pPr>
        <w:spacing w:after="0" w:line="62"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75">
        <w:r>
          <w:rPr>
            <w:rFonts w:ascii="Arial" w:cs="Arial" w:eastAsia="Arial" w:hAnsi="Arial"/>
            <w:sz w:val="16"/>
            <w:szCs w:val="16"/>
            <w:u w:val="single" w:color="auto"/>
            <w:color w:val="0000EE"/>
          </w:rPr>
          <w:t>Form of Pre-Funded Warrant (incorporated by reference to Exhibit 4.1 of the Company’s Current Report on Form 8-K filed on June 2,</w:t>
        </w:r>
      </w:hyperlink>
    </w:p>
    <w:p>
      <w:pPr>
        <w:spacing w:after="0" w:line="23" w:lineRule="exact"/>
        <w:rPr>
          <w:sz w:val="20"/>
          <w:szCs w:val="20"/>
          <w:color w:val="auto"/>
        </w:rPr>
      </w:pPr>
    </w:p>
    <w:p>
      <w:pPr>
        <w:ind w:left="1300"/>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2020)</w:t>
        </w:r>
      </w:hyperlink>
    </w:p>
    <w:p>
      <w:pPr>
        <w:spacing w:after="0" w:line="103"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5.1 *</w:t>
      </w:r>
      <w:r>
        <w:rPr>
          <w:sz w:val="20"/>
          <w:szCs w:val="20"/>
          <w:color w:val="auto"/>
        </w:rPr>
        <w:tab/>
      </w:r>
      <w:hyperlink w:anchor="page34">
        <w:r>
          <w:rPr>
            <w:rFonts w:ascii="Arial" w:cs="Arial" w:eastAsia="Arial" w:hAnsi="Arial"/>
            <w:sz w:val="16"/>
            <w:szCs w:val="16"/>
            <w:u w:val="single" w:color="auto"/>
            <w:color w:val="0000EE"/>
          </w:rPr>
          <w:t>Opinion of Pepper Hamilton LLP</w:t>
        </w:r>
      </w:hyperlink>
    </w:p>
    <w:p>
      <w:pPr>
        <w:spacing w:after="0" w:line="117" w:lineRule="exact"/>
        <w:rPr>
          <w:sz w:val="20"/>
          <w:szCs w:val="20"/>
          <w:color w:val="auto"/>
        </w:rPr>
      </w:pPr>
    </w:p>
    <w:p>
      <w:pPr>
        <w:ind w:left="1300" w:right="200" w:hanging="728"/>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76">
        <w:r>
          <w:rPr>
            <w:rFonts w:ascii="Arial" w:cs="Arial" w:eastAsia="Arial" w:hAnsi="Arial"/>
            <w:sz w:val="18"/>
            <w:szCs w:val="18"/>
            <w:u w:val="single" w:color="auto"/>
            <w:color w:val="0000EE"/>
          </w:rPr>
          <w:t>Securities Purchase Agreement, dated as of May 28, 2020, by and among Larimar Therapeutics, Inc. and the investors listed on the</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Schedule of Investors attached thereto (incorporated by reference to Exhibit 10.1 of the Company’s Current Report on Form 8-K filed</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on June 2, 2020).</w:t>
        </w:r>
      </w:hyperlink>
    </w:p>
    <w:p>
      <w:pPr>
        <w:spacing w:after="0" w:line="116"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1300" w:right="60" w:hanging="728"/>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78">
        <w:r>
          <w:rPr>
            <w:rFonts w:ascii="Arial" w:cs="Arial" w:eastAsia="Arial" w:hAnsi="Arial"/>
            <w:sz w:val="18"/>
            <w:szCs w:val="18"/>
            <w:u w:val="single" w:color="auto"/>
            <w:color w:val="0000EE"/>
          </w:rPr>
          <w:t>Registration Rights Agreement, dated as of June 1, 2020, by and among Larimar Therapeutics, Inc. and certain Investors (incorporated</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by reference to Exhibit 10.2 of the Company’s Current Report on Form 8-K filed on June 2, 2020).</w:t>
        </w:r>
      </w:hyperlink>
    </w:p>
    <w:p>
      <w:pPr>
        <w:spacing w:after="0" w:line="62" w:lineRule="exact"/>
        <w:rPr>
          <w:sz w:val="20"/>
          <w:szCs w:val="20"/>
          <w:color w:val="auto"/>
        </w:rPr>
      </w:pPr>
    </w:p>
    <w:p>
      <w:pPr>
        <w:ind w:left="1300" w:right="280" w:hanging="728"/>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10.3 *</w:t>
      </w:r>
      <w:r>
        <w:rPr>
          <w:sz w:val="20"/>
          <w:szCs w:val="20"/>
          <w:color w:val="auto"/>
        </w:rPr>
        <w:tab/>
      </w:r>
      <w:hyperlink w:anchor="page36">
        <w:r>
          <w:rPr>
            <w:rFonts w:ascii="Arial" w:cs="Arial" w:eastAsia="Arial" w:hAnsi="Arial"/>
            <w:sz w:val="18"/>
            <w:szCs w:val="18"/>
            <w:u w:val="single" w:color="auto"/>
            <w:color w:val="0000EE"/>
          </w:rPr>
          <w:t>Registration Rights Agreement, dated as of June 8, 2020, by and among Larimar Therapeutics, Inc. and the investors set forth on the</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signature pages thereto</w:t>
        </w:r>
      </w:hyperlink>
    </w:p>
    <w:p>
      <w:pPr>
        <w:spacing w:after="0" w:line="62" w:lineRule="exact"/>
        <w:rPr>
          <w:sz w:val="20"/>
          <w:szCs w:val="20"/>
          <w:color w:val="auto"/>
        </w:rPr>
      </w:pPr>
    </w:p>
    <w:p>
      <w:pPr>
        <w:ind w:left="5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23.1 *</w:t>
      </w:r>
      <w:r>
        <w:rPr>
          <w:sz w:val="20"/>
          <w:szCs w:val="20"/>
          <w:color w:val="auto"/>
        </w:rPr>
        <w:tab/>
      </w:r>
      <w:hyperlink w:anchor="page34">
        <w:r>
          <w:rPr>
            <w:rFonts w:ascii="Arial" w:cs="Arial" w:eastAsia="Arial" w:hAnsi="Arial"/>
            <w:sz w:val="16"/>
            <w:szCs w:val="16"/>
            <w:u w:val="single" w:color="auto"/>
            <w:color w:val="0000EE"/>
          </w:rPr>
          <w:t>Consent of Pepper Hamilton LLP (included in Exhibit 5.1)</w:t>
        </w:r>
      </w:hyperlink>
    </w:p>
    <w:p>
      <w:pPr>
        <w:spacing w:after="0" w:line="117" w:lineRule="exact"/>
        <w:rPr>
          <w:sz w:val="20"/>
          <w:szCs w:val="20"/>
          <w:color w:val="auto"/>
        </w:rPr>
      </w:pPr>
    </w:p>
    <w:p>
      <w:pPr>
        <w:ind w:left="5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23.2 *</w:t>
      </w:r>
      <w:r>
        <w:rPr>
          <w:sz w:val="20"/>
          <w:szCs w:val="20"/>
          <w:color w:val="auto"/>
        </w:rPr>
        <w:tab/>
      </w:r>
      <w:hyperlink w:anchor="page58">
        <w:r>
          <w:rPr>
            <w:rFonts w:ascii="Arial" w:cs="Arial" w:eastAsia="Arial" w:hAnsi="Arial"/>
            <w:sz w:val="16"/>
            <w:szCs w:val="16"/>
            <w:u w:val="single" w:color="auto"/>
            <w:color w:val="0000EE"/>
          </w:rPr>
          <w:t>Consent of Independent Registered Public Accounting Firm PricewaterhouseCoopers LLP</w:t>
        </w:r>
      </w:hyperlink>
    </w:p>
    <w:p>
      <w:pPr>
        <w:spacing w:after="0" w:line="117" w:lineRule="exact"/>
        <w:rPr>
          <w:sz w:val="20"/>
          <w:szCs w:val="20"/>
          <w:color w:val="auto"/>
        </w:rPr>
      </w:pPr>
    </w:p>
    <w:p>
      <w:pPr>
        <w:ind w:left="5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23.3 *</w:t>
      </w:r>
      <w:r>
        <w:rPr>
          <w:sz w:val="20"/>
          <w:szCs w:val="20"/>
          <w:color w:val="auto"/>
        </w:rPr>
        <w:tab/>
      </w:r>
      <w:hyperlink w:anchor="page59">
        <w:r>
          <w:rPr>
            <w:rFonts w:ascii="Arial" w:cs="Arial" w:eastAsia="Arial" w:hAnsi="Arial"/>
            <w:sz w:val="16"/>
            <w:szCs w:val="16"/>
            <w:u w:val="single" w:color="auto"/>
            <w:color w:val="0000EE"/>
          </w:rPr>
          <w:t>Consent of Independent Registered Public Accounting Firm PricewaterhouseCoopers LLP</w:t>
        </w:r>
      </w:hyperlink>
    </w:p>
    <w:p>
      <w:pPr>
        <w:spacing w:after="0" w:line="117" w:lineRule="exact"/>
        <w:rPr>
          <w:sz w:val="20"/>
          <w:szCs w:val="20"/>
          <w:color w:val="auto"/>
        </w:rPr>
      </w:pPr>
    </w:p>
    <w:p>
      <w:pPr>
        <w:ind w:left="5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33">
        <w:r>
          <w:rPr>
            <w:rFonts w:ascii="Arial" w:cs="Arial" w:eastAsia="Arial" w:hAnsi="Arial"/>
            <w:sz w:val="16"/>
            <w:szCs w:val="16"/>
            <w:u w:val="single" w:color="auto"/>
            <w:color w:val="0000EE"/>
          </w:rPr>
          <w:t>Power of attorney (included on the signature page hereto)</w:t>
        </w:r>
      </w:hyperlink>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80" w:hanging="4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80" w:hanging="401"/>
        <w:spacing w:after="0"/>
        <w:tabs>
          <w:tab w:leader="none" w:pos="13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560" w:right="100" w:firstLine="419"/>
        <w:spacing w:after="0" w:line="254"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Arial" w:cs="Arial" w:eastAsia="Arial" w:hAnsi="Arial"/>
          <w:sz w:val="18"/>
          <w:szCs w:val="18"/>
          <w:color w:val="auto"/>
        </w:rPr>
      </w:pPr>
    </w:p>
    <w:p>
      <w:pPr>
        <w:ind w:left="560" w:right="200" w:firstLine="419"/>
        <w:spacing w:after="0" w:line="277" w:lineRule="auto"/>
        <w:tabs>
          <w:tab w:leader="none" w:pos="1474" w:val="left"/>
        </w:tabs>
        <w:numPr>
          <w:ilvl w:val="2"/>
          <w:numId w:val="2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7" w:lineRule="exact"/>
        <w:rPr>
          <w:sz w:val="20"/>
          <w:szCs w:val="20"/>
          <w:color w:val="auto"/>
        </w:rPr>
      </w:pPr>
    </w:p>
    <w:p>
      <w:pPr>
        <w:jc w:val="both"/>
        <w:ind w:left="120" w:right="100" w:firstLine="436"/>
        <w:spacing w:after="0" w:line="263" w:lineRule="auto"/>
        <w:tabs>
          <w:tab w:leader="none" w:pos="9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20" w:right="440" w:firstLine="436"/>
        <w:spacing w:after="0" w:line="277" w:lineRule="auto"/>
        <w:tabs>
          <w:tab w:leader="none" w:pos="9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900" w:hanging="3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registrant is relying on 430B:</w:t>
      </w:r>
    </w:p>
    <w:p>
      <w:pPr>
        <w:spacing w:after="0" w:line="117" w:lineRule="exact"/>
        <w:rPr>
          <w:rFonts w:ascii="Arial" w:cs="Arial" w:eastAsia="Arial" w:hAnsi="Arial"/>
          <w:sz w:val="18"/>
          <w:szCs w:val="18"/>
          <w:color w:val="auto"/>
        </w:rPr>
      </w:pPr>
    </w:p>
    <w:p>
      <w:pPr>
        <w:ind w:left="1100" w:firstLine="408"/>
        <w:spacing w:after="0" w:line="277" w:lineRule="auto"/>
        <w:tabs>
          <w:tab w:leader="none" w:pos="19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100" w:firstLine="408"/>
        <w:spacing w:after="0" w:line="269" w:lineRule="auto"/>
        <w:tabs>
          <w:tab w:leader="none" w:pos="1966"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0" w:lineRule="exact"/>
        <w:rPr>
          <w:rFonts w:ascii="Arial" w:cs="Arial" w:eastAsia="Arial" w:hAnsi="Arial"/>
          <w:sz w:val="17"/>
          <w:szCs w:val="17"/>
          <w:color w:val="auto"/>
        </w:rPr>
      </w:pPr>
    </w:p>
    <w:p>
      <w:pPr>
        <w:ind w:left="560" w:hanging="4"/>
        <w:spacing w:after="0" w:line="272"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sz w:val="20"/>
          <w:szCs w:val="20"/>
          <w:color w:val="auto"/>
        </w:rPr>
      </w:pPr>
    </w:p>
    <w:p>
      <w:pPr>
        <w:ind w:left="120" w:right="40" w:firstLine="436"/>
        <w:spacing w:after="0" w:line="257" w:lineRule="auto"/>
        <w:tabs>
          <w:tab w:leader="none" w:pos="9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120" w:right="80" w:firstLine="436"/>
        <w:spacing w:after="0" w:line="271" w:lineRule="auto"/>
        <w:tabs>
          <w:tab w:leader="none" w:pos="95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Unincorporated Community of Bala Cynwyd, Commonwealth of Pennsylvania, on June 26, 2020.</w:t>
      </w:r>
    </w:p>
    <w:p>
      <w:pPr>
        <w:spacing w:after="0" w:line="18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LARIMAR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Carole Ben-Maimon, M.D.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0940"/>
          </w:cols>
          <w:pgMar w:left="32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the undersigned officers and directors of Larimar Therapeutics, Inc., hereby severally constitute and appoint Carole Ben-Maimon and Michael Celano,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180" w:type="dxa"/>
            <w:vAlign w:val="bottom"/>
          </w:tcPr>
          <w:p>
            <w:pPr>
              <w:ind w:left="1800"/>
              <w:spacing w:after="0"/>
              <w:rPr>
                <w:sz w:val="20"/>
                <w:szCs w:val="20"/>
                <w:color w:val="auto"/>
              </w:rPr>
            </w:pPr>
            <w:r>
              <w:rPr>
                <w:rFonts w:ascii="Arial" w:cs="Arial" w:eastAsia="Arial" w:hAnsi="Arial"/>
                <w:sz w:val="14"/>
                <w:szCs w:val="14"/>
                <w:b w:val="1"/>
                <w:bCs w:val="1"/>
                <w:color w:val="auto"/>
              </w:rPr>
              <w:t>Signature</w:t>
            </w:r>
          </w:p>
        </w:tc>
        <w:tc>
          <w:tcPr>
            <w:tcW w:w="4500" w:type="dxa"/>
            <w:vAlign w:val="bottom"/>
          </w:tcPr>
          <w:p>
            <w:pPr>
              <w:ind w:left="2400"/>
              <w:spacing w:after="0"/>
              <w:rPr>
                <w:sz w:val="20"/>
                <w:szCs w:val="20"/>
                <w:color w:val="auto"/>
              </w:rPr>
            </w:pPr>
            <w:r>
              <w:rPr>
                <w:rFonts w:ascii="Arial" w:cs="Arial" w:eastAsia="Arial" w:hAnsi="Arial"/>
                <w:sz w:val="14"/>
                <w:szCs w:val="14"/>
                <w:b w:val="1"/>
                <w:bCs w:val="1"/>
                <w:color w:val="auto"/>
              </w:rPr>
              <w:t>Title</w:t>
            </w:r>
          </w:p>
        </w:tc>
        <w:tc>
          <w:tcPr>
            <w:tcW w:w="1960" w:type="dxa"/>
            <w:vAlign w:val="bottom"/>
          </w:tcPr>
          <w:p>
            <w:pPr>
              <w:jc w:val="center"/>
              <w:ind w:left="87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Ben-Maimon</w:t>
            </w:r>
          </w:p>
        </w:tc>
        <w:tc>
          <w:tcPr>
            <w:tcW w:w="450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960" w:type="dxa"/>
            <w:vAlign w:val="bottom"/>
          </w:tcPr>
          <w:p>
            <w:pPr>
              <w:jc w:val="center"/>
              <w:ind w:left="872"/>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Carole Ben-Maimon, M.D.</w:t>
            </w:r>
          </w:p>
        </w:tc>
        <w:tc>
          <w:tcPr>
            <w:tcW w:w="45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19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Celano</w:t>
            </w:r>
          </w:p>
        </w:tc>
        <w:tc>
          <w:tcPr>
            <w:tcW w:w="45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960" w:type="dxa"/>
            <w:vAlign w:val="bottom"/>
          </w:tcPr>
          <w:p>
            <w:pPr>
              <w:jc w:val="center"/>
              <w:ind w:left="872"/>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Michael Celano</w:t>
            </w:r>
          </w:p>
        </w:tc>
        <w:tc>
          <w:tcPr>
            <w:tcW w:w="450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9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Truitt</w:t>
            </w:r>
          </w:p>
        </w:tc>
        <w:tc>
          <w:tcPr>
            <w:tcW w:w="4500" w:type="dxa"/>
            <w:vAlign w:val="bottom"/>
          </w:tcPr>
          <w:p>
            <w:pPr>
              <w:ind w:left="120"/>
              <w:spacing w:after="0"/>
              <w:rPr>
                <w:sz w:val="20"/>
                <w:szCs w:val="20"/>
                <w:color w:val="auto"/>
              </w:rPr>
            </w:pPr>
            <w:r>
              <w:rPr>
                <w:rFonts w:ascii="Arial" w:cs="Arial" w:eastAsia="Arial" w:hAnsi="Arial"/>
                <w:sz w:val="18"/>
                <w:szCs w:val="18"/>
                <w:color w:val="auto"/>
              </w:rPr>
              <w:t>Chairman, Board of Directors</w:t>
            </w:r>
          </w:p>
        </w:tc>
        <w:tc>
          <w:tcPr>
            <w:tcW w:w="1960" w:type="dxa"/>
            <w:vAlign w:val="bottom"/>
          </w:tcPr>
          <w:p>
            <w:pPr>
              <w:jc w:val="center"/>
              <w:ind w:left="872"/>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Joseph Truitt</w:t>
            </w:r>
          </w:p>
        </w:tc>
        <w:tc>
          <w:tcPr>
            <w:tcW w:w="45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Barrett</w:t>
            </w:r>
          </w:p>
        </w:tc>
        <w:tc>
          <w:tcPr>
            <w:tcW w:w="4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tcPr>
          <w:p>
            <w:pPr>
              <w:jc w:val="center"/>
              <w:ind w:left="872"/>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Peter Barrett, Ph.D</w:t>
            </w:r>
          </w:p>
        </w:tc>
        <w:tc>
          <w:tcPr>
            <w:tcW w:w="45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O. Daniel</w:t>
            </w:r>
          </w:p>
        </w:tc>
        <w:tc>
          <w:tcPr>
            <w:tcW w:w="4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tcPr>
          <w:p>
            <w:pPr>
              <w:jc w:val="center"/>
              <w:ind w:left="872"/>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Thomas O. Daniel, M.D.</w:t>
            </w:r>
          </w:p>
        </w:tc>
        <w:tc>
          <w:tcPr>
            <w:tcW w:w="45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E. Thomas</w:t>
            </w:r>
          </w:p>
        </w:tc>
        <w:tc>
          <w:tcPr>
            <w:tcW w:w="4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tcPr>
          <w:p>
            <w:pPr>
              <w:jc w:val="center"/>
              <w:ind w:left="872"/>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Frank E. Thomas</w:t>
            </w:r>
          </w:p>
        </w:tc>
        <w:tc>
          <w:tcPr>
            <w:tcW w:w="45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Leff</w:t>
            </w:r>
          </w:p>
        </w:tc>
        <w:tc>
          <w:tcPr>
            <w:tcW w:w="4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tcPr>
          <w:p>
            <w:pPr>
              <w:jc w:val="center"/>
              <w:ind w:left="872"/>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Jonathan Leff</w:t>
            </w:r>
          </w:p>
        </w:tc>
        <w:tc>
          <w:tcPr>
            <w:tcW w:w="45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E. Hamilton</w:t>
            </w:r>
          </w:p>
        </w:tc>
        <w:tc>
          <w:tcPr>
            <w:tcW w:w="4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tcPr>
          <w:p>
            <w:pPr>
              <w:jc w:val="center"/>
              <w:ind w:left="872"/>
              <w:spacing w:after="0"/>
              <w:rPr>
                <w:sz w:val="20"/>
                <w:szCs w:val="20"/>
                <w:color w:val="auto"/>
              </w:rPr>
            </w:pPr>
            <w:r>
              <w:rPr>
                <w:rFonts w:ascii="Arial" w:cs="Arial" w:eastAsia="Arial" w:hAnsi="Arial"/>
                <w:sz w:val="18"/>
                <w:szCs w:val="18"/>
                <w:color w:val="auto"/>
                <w:w w:val="87"/>
              </w:rPr>
              <w:t>June 26, 2020</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Thomas E. Hamilton</w:t>
            </w:r>
          </w:p>
        </w:tc>
        <w:tc>
          <w:tcPr>
            <w:tcW w:w="450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71320" cy="351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16713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26,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Larimar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 Cynwyd, PA 19004</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Registered under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We have acted as counsel to Larimar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resale from time to time by the selling stockholders named in the Registration Statement on Form S-3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the date hereof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by the Company of the resale of an aggregate of 12,860,272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the Company, consisting of</w:t>
      </w:r>
    </w:p>
    <w:p>
      <w:pPr>
        <w:spacing w:after="0" w:line="63" w:lineRule="exact"/>
        <w:rPr>
          <w:sz w:val="20"/>
          <w:szCs w:val="20"/>
          <w:color w:val="auto"/>
        </w:rPr>
      </w:pPr>
    </w:p>
    <w:p>
      <w:pPr>
        <w:ind w:left="960" w:right="60" w:hanging="532"/>
        <w:spacing w:after="0" w:line="259"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6,091,250 shares of Common Stock (the “</w:t>
      </w:r>
      <w:r>
        <w:rPr>
          <w:rFonts w:ascii="Arial" w:cs="Arial" w:eastAsia="Arial" w:hAnsi="Arial"/>
          <w:sz w:val="18"/>
          <w:szCs w:val="18"/>
          <w:b w:val="1"/>
          <w:bCs w:val="1"/>
          <w:i w:val="1"/>
          <w:iCs w:val="1"/>
          <w:color w:val="auto"/>
        </w:rPr>
        <w:t>Merger Shares</w:t>
      </w:r>
      <w:r>
        <w:rPr>
          <w:rFonts w:ascii="Arial" w:cs="Arial" w:eastAsia="Arial" w:hAnsi="Arial"/>
          <w:sz w:val="18"/>
          <w:szCs w:val="18"/>
          <w:color w:val="auto"/>
        </w:rPr>
        <w:t>”) that were privately issued pursuant to an Agreement and Plan of Merger, dated as of December 17, 2019, as amended by and among the Company, Zordich Merger Sub, Inc., a wholly-owned subsidiary of the Company, Chondrial Therapeutics, Inc. and Chondrial Therapeutics Holdings, LLC, in connection with the Company’s merger with Chondrial Therapeutics, Inc.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960" w:right="400" w:hanging="532"/>
        <w:spacing w:after="0" w:line="342" w:lineRule="auto"/>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6,105,359 shares of Common Stock (the “</w:t>
      </w:r>
      <w:r>
        <w:rPr>
          <w:rFonts w:ascii="Arial" w:cs="Arial" w:eastAsia="Arial" w:hAnsi="Arial"/>
          <w:sz w:val="16"/>
          <w:szCs w:val="16"/>
          <w:b w:val="1"/>
          <w:bCs w:val="1"/>
          <w:i w:val="1"/>
          <w:iCs w:val="1"/>
          <w:color w:val="auto"/>
        </w:rPr>
        <w:t>Private Placement Shares</w:t>
      </w:r>
      <w:r>
        <w:rPr>
          <w:rFonts w:ascii="Arial" w:cs="Arial" w:eastAsia="Arial" w:hAnsi="Arial"/>
          <w:sz w:val="16"/>
          <w:szCs w:val="16"/>
          <w:color w:val="auto"/>
        </w:rPr>
        <w:t>”) that were issued in a private placement pursuant to a Securities Purchase Agreement, dated May 29, 2020 (the “</w:t>
      </w:r>
      <w:r>
        <w:rPr>
          <w:rFonts w:ascii="Arial" w:cs="Arial" w:eastAsia="Arial" w:hAnsi="Arial"/>
          <w:sz w:val="16"/>
          <w:szCs w:val="16"/>
          <w:b w:val="1"/>
          <w:bCs w:val="1"/>
          <w:i w:val="1"/>
          <w:iCs w:val="1"/>
          <w:color w:val="auto"/>
        </w:rPr>
        <w:t>Private Placement</w:t>
      </w:r>
      <w:r>
        <w:rPr>
          <w:rFonts w:ascii="Arial" w:cs="Arial" w:eastAsia="Arial" w:hAnsi="Arial"/>
          <w:sz w:val="16"/>
          <w:szCs w:val="16"/>
          <w:color w:val="auto"/>
        </w:rPr>
        <w:t>”), by and among the Company the investors listed therein;</w:t>
      </w:r>
    </w:p>
    <w:p>
      <w:pPr>
        <w:spacing w:after="0" w:line="29" w:lineRule="exact"/>
        <w:rPr>
          <w:rFonts w:ascii="Arial" w:cs="Arial" w:eastAsia="Arial" w:hAnsi="Arial"/>
          <w:sz w:val="16"/>
          <w:szCs w:val="16"/>
          <w:color w:val="auto"/>
        </w:rPr>
      </w:pPr>
    </w:p>
    <w:p>
      <w:pPr>
        <w:ind w:left="960" w:right="80" w:hanging="53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628,403 shares of Common Stock that are issuable upon exercise of pre-funded warrants (the “</w:t>
      </w:r>
      <w:r>
        <w:rPr>
          <w:rFonts w:ascii="Arial" w:cs="Arial" w:eastAsia="Arial" w:hAnsi="Arial"/>
          <w:sz w:val="18"/>
          <w:szCs w:val="18"/>
          <w:b w:val="1"/>
          <w:bCs w:val="1"/>
          <w:i w:val="1"/>
          <w:iCs w:val="1"/>
          <w:color w:val="auto"/>
        </w:rPr>
        <w:t>Pre-Funded Warrants</w:t>
      </w:r>
      <w:r>
        <w:rPr>
          <w:rFonts w:ascii="Arial" w:cs="Arial" w:eastAsia="Arial" w:hAnsi="Arial"/>
          <w:sz w:val="18"/>
          <w:szCs w:val="18"/>
          <w:color w:val="auto"/>
        </w:rPr>
        <w:t>”) to purchase shares of Common Stock that were issued in connection with the Private Placement (the “</w:t>
      </w:r>
      <w:r>
        <w:rPr>
          <w:rFonts w:ascii="Arial" w:cs="Arial" w:eastAsia="Arial" w:hAnsi="Arial"/>
          <w:sz w:val="18"/>
          <w:szCs w:val="18"/>
          <w:b w:val="1"/>
          <w:bCs w:val="1"/>
          <w:i w:val="1"/>
          <w:iCs w:val="1"/>
          <w:color w:val="auto"/>
        </w:rPr>
        <w:t>Warrant Shares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60" w:right="80" w:hanging="532"/>
        <w:spacing w:after="0" w:line="308"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35,260 shares of Common Stock that were issued as partial compensation to MTS Health Partners, the Company’s placement agent for the Private Placement, for services rendered in connection with the Private Placement (the “</w:t>
      </w:r>
      <w:r>
        <w:rPr>
          <w:rFonts w:ascii="Arial" w:cs="Arial" w:eastAsia="Arial" w:hAnsi="Arial"/>
          <w:sz w:val="17"/>
          <w:szCs w:val="17"/>
          <w:b w:val="1"/>
          <w:bCs w:val="1"/>
          <w:i w:val="1"/>
          <w:iCs w:val="1"/>
          <w:color w:val="auto"/>
        </w:rPr>
        <w:t>Financial Advisor Shares</w:t>
      </w:r>
      <w:r>
        <w:rPr>
          <w:rFonts w:ascii="Arial" w:cs="Arial" w:eastAsia="Arial" w:hAnsi="Arial"/>
          <w:sz w:val="17"/>
          <w:szCs w:val="17"/>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1"/>
              </w:rPr>
              <w:t>Philadelphia</w:t>
            </w:r>
          </w:p>
        </w:tc>
        <w:tc>
          <w:tcPr>
            <w:tcW w:w="1460" w:type="dxa"/>
            <w:vAlign w:val="bottom"/>
          </w:tcPr>
          <w:p>
            <w:pPr>
              <w:jc w:val="center"/>
              <w:ind w:left="70"/>
              <w:spacing w:after="0"/>
              <w:rPr>
                <w:sz w:val="20"/>
                <w:szCs w:val="20"/>
                <w:color w:val="auto"/>
              </w:rPr>
            </w:pPr>
            <w:r>
              <w:rPr>
                <w:rFonts w:ascii="Arial" w:cs="Arial" w:eastAsia="Arial" w:hAnsi="Arial"/>
                <w:sz w:val="18"/>
                <w:szCs w:val="18"/>
                <w:color w:val="auto"/>
                <w:w w:val="89"/>
              </w:rPr>
              <w:t>Boston</w:t>
            </w:r>
          </w:p>
        </w:tc>
        <w:tc>
          <w:tcPr>
            <w:tcW w:w="2180" w:type="dxa"/>
            <w:vAlign w:val="bottom"/>
          </w:tcPr>
          <w:p>
            <w:pPr>
              <w:jc w:val="center"/>
              <w:ind w:right="290"/>
              <w:spacing w:after="0"/>
              <w:rPr>
                <w:sz w:val="20"/>
                <w:szCs w:val="20"/>
                <w:color w:val="auto"/>
              </w:rPr>
            </w:pPr>
            <w:r>
              <w:rPr>
                <w:rFonts w:ascii="Arial" w:cs="Arial" w:eastAsia="Arial" w:hAnsi="Arial"/>
                <w:sz w:val="18"/>
                <w:szCs w:val="18"/>
                <w:color w:val="auto"/>
                <w:w w:val="90"/>
              </w:rPr>
              <w:t>Washington, D.C.</w:t>
            </w:r>
          </w:p>
        </w:tc>
        <w:tc>
          <w:tcPr>
            <w:tcW w:w="1680" w:type="dxa"/>
            <w:vAlign w:val="bottom"/>
          </w:tcPr>
          <w:p>
            <w:pPr>
              <w:jc w:val="center"/>
              <w:ind w:left="410"/>
              <w:spacing w:after="0"/>
              <w:rPr>
                <w:sz w:val="20"/>
                <w:szCs w:val="20"/>
                <w:color w:val="auto"/>
              </w:rPr>
            </w:pPr>
            <w:r>
              <w:rPr>
                <w:rFonts w:ascii="Arial" w:cs="Arial" w:eastAsia="Arial" w:hAnsi="Arial"/>
                <w:sz w:val="18"/>
                <w:szCs w:val="18"/>
                <w:color w:val="auto"/>
                <w:w w:val="90"/>
              </w:rPr>
              <w:t>Los Angeles</w:t>
            </w:r>
          </w:p>
        </w:tc>
        <w:tc>
          <w:tcPr>
            <w:tcW w:w="2220" w:type="dxa"/>
            <w:vAlign w:val="bottom"/>
          </w:tcPr>
          <w:p>
            <w:pPr>
              <w:ind w:left="1220"/>
              <w:spacing w:after="0"/>
              <w:rPr>
                <w:sz w:val="20"/>
                <w:szCs w:val="20"/>
                <w:color w:val="auto"/>
              </w:rPr>
            </w:pPr>
            <w:r>
              <w:rPr>
                <w:rFonts w:ascii="Arial" w:cs="Arial" w:eastAsia="Arial" w:hAnsi="Arial"/>
                <w:sz w:val="18"/>
                <w:szCs w:val="18"/>
                <w:color w:val="auto"/>
              </w:rPr>
              <w:t>New York</w:t>
            </w:r>
          </w:p>
        </w:tc>
        <w:tc>
          <w:tcPr>
            <w:tcW w:w="1720" w:type="dxa"/>
            <w:vAlign w:val="bottom"/>
          </w:tcPr>
          <w:p>
            <w:pPr>
              <w:ind w:left="200"/>
              <w:spacing w:after="0"/>
              <w:rPr>
                <w:sz w:val="20"/>
                <w:szCs w:val="20"/>
                <w:color w:val="auto"/>
              </w:rPr>
            </w:pPr>
            <w:r>
              <w:rPr>
                <w:rFonts w:ascii="Arial" w:cs="Arial" w:eastAsia="Arial" w:hAnsi="Arial"/>
                <w:sz w:val="18"/>
                <w:szCs w:val="18"/>
                <w:color w:val="auto"/>
              </w:rPr>
              <w:t>Pittsburgh   Detroit</w:t>
            </w:r>
          </w:p>
        </w:tc>
      </w:tr>
      <w:tr>
        <w:trPr>
          <w:trHeight w:val="108"/>
        </w:trPr>
        <w:tc>
          <w:tcPr>
            <w:tcW w:w="17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r>
      <w:tr>
        <w:trPr>
          <w:trHeight w:val="304"/>
        </w:trPr>
        <w:tc>
          <w:tcPr>
            <w:tcW w:w="1760" w:type="dxa"/>
            <w:vAlign w:val="bottom"/>
          </w:tcPr>
          <w:p>
            <w:pPr>
              <w:jc w:val="center"/>
              <w:spacing w:after="0"/>
              <w:rPr>
                <w:sz w:val="20"/>
                <w:szCs w:val="20"/>
                <w:color w:val="auto"/>
              </w:rPr>
            </w:pPr>
            <w:r>
              <w:rPr>
                <w:rFonts w:ascii="Arial" w:cs="Arial" w:eastAsia="Arial" w:hAnsi="Arial"/>
                <w:sz w:val="18"/>
                <w:szCs w:val="18"/>
                <w:color w:val="auto"/>
                <w:w w:val="96"/>
              </w:rPr>
              <w:t>Berwyn</w:t>
            </w:r>
          </w:p>
        </w:tc>
        <w:tc>
          <w:tcPr>
            <w:tcW w:w="1460" w:type="dxa"/>
            <w:vAlign w:val="bottom"/>
          </w:tcPr>
          <w:p>
            <w:pPr>
              <w:jc w:val="center"/>
              <w:ind w:left="70"/>
              <w:spacing w:after="0"/>
              <w:rPr>
                <w:sz w:val="20"/>
                <w:szCs w:val="20"/>
                <w:color w:val="auto"/>
              </w:rPr>
            </w:pPr>
            <w:r>
              <w:rPr>
                <w:rFonts w:ascii="Arial" w:cs="Arial" w:eastAsia="Arial" w:hAnsi="Arial"/>
                <w:sz w:val="18"/>
                <w:szCs w:val="18"/>
                <w:color w:val="auto"/>
                <w:w w:val="92"/>
              </w:rPr>
              <w:t>Harrisburg</w:t>
            </w:r>
          </w:p>
        </w:tc>
        <w:tc>
          <w:tcPr>
            <w:tcW w:w="2180" w:type="dxa"/>
            <w:vAlign w:val="bottom"/>
          </w:tcPr>
          <w:p>
            <w:pPr>
              <w:jc w:val="center"/>
              <w:ind w:right="310"/>
              <w:spacing w:after="0"/>
              <w:rPr>
                <w:sz w:val="20"/>
                <w:szCs w:val="20"/>
                <w:color w:val="auto"/>
              </w:rPr>
            </w:pPr>
            <w:r>
              <w:rPr>
                <w:rFonts w:ascii="Arial" w:cs="Arial" w:eastAsia="Arial" w:hAnsi="Arial"/>
                <w:sz w:val="18"/>
                <w:szCs w:val="18"/>
                <w:color w:val="auto"/>
                <w:w w:val="90"/>
              </w:rPr>
              <w:t>Orange County</w:t>
            </w:r>
          </w:p>
        </w:tc>
        <w:tc>
          <w:tcPr>
            <w:tcW w:w="1680" w:type="dxa"/>
            <w:vAlign w:val="bottom"/>
          </w:tcPr>
          <w:p>
            <w:pPr>
              <w:jc w:val="center"/>
              <w:ind w:left="390"/>
              <w:spacing w:after="0"/>
              <w:rPr>
                <w:sz w:val="20"/>
                <w:szCs w:val="20"/>
                <w:color w:val="auto"/>
              </w:rPr>
            </w:pPr>
            <w:r>
              <w:rPr>
                <w:rFonts w:ascii="Arial" w:cs="Arial" w:eastAsia="Arial" w:hAnsi="Arial"/>
                <w:sz w:val="18"/>
                <w:szCs w:val="18"/>
                <w:color w:val="auto"/>
                <w:w w:val="89"/>
              </w:rPr>
              <w:t>Princeton</w:t>
            </w:r>
          </w:p>
        </w:tc>
        <w:tc>
          <w:tcPr>
            <w:tcW w:w="2220" w:type="dxa"/>
            <w:vAlign w:val="bottom"/>
          </w:tcPr>
          <w:p>
            <w:pPr>
              <w:ind w:left="140"/>
              <w:spacing w:after="0"/>
              <w:rPr>
                <w:sz w:val="20"/>
                <w:szCs w:val="20"/>
                <w:color w:val="auto"/>
              </w:rPr>
            </w:pPr>
            <w:r>
              <w:rPr>
                <w:rFonts w:ascii="Arial" w:cs="Arial" w:eastAsia="Arial" w:hAnsi="Arial"/>
                <w:sz w:val="18"/>
                <w:szCs w:val="18"/>
                <w:color w:val="auto"/>
              </w:rPr>
              <w:t>Rochester   Silicon Valley</w:t>
            </w:r>
          </w:p>
        </w:tc>
        <w:tc>
          <w:tcPr>
            <w:tcW w:w="1720" w:type="dxa"/>
            <w:vAlign w:val="bottom"/>
          </w:tcPr>
          <w:p>
            <w:pPr>
              <w:ind w:left="140"/>
              <w:spacing w:after="0"/>
              <w:rPr>
                <w:sz w:val="20"/>
                <w:szCs w:val="20"/>
                <w:color w:val="auto"/>
              </w:rPr>
            </w:pPr>
            <w:r>
              <w:rPr>
                <w:rFonts w:ascii="Arial" w:cs="Arial" w:eastAsia="Arial" w:hAnsi="Arial"/>
                <w:sz w:val="18"/>
                <w:szCs w:val="18"/>
                <w:color w:val="auto"/>
              </w:rPr>
              <w:t>Wilmington</w:t>
            </w:r>
          </w:p>
        </w:tc>
      </w:tr>
      <w:tr>
        <w:trPr>
          <w:trHeight w:val="432"/>
        </w:trPr>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2"/>
          </w:tcPr>
          <w:p>
            <w:pPr>
              <w:ind w:left="1520"/>
              <w:spacing w:after="0"/>
              <w:rPr>
                <w:sz w:val="20"/>
                <w:szCs w:val="20"/>
                <w:color w:val="auto"/>
              </w:rPr>
            </w:pPr>
            <w:r>
              <w:rPr>
                <w:rFonts w:ascii="Arial" w:cs="Arial" w:eastAsia="Arial" w:hAnsi="Arial"/>
                <w:sz w:val="18"/>
                <w:szCs w:val="18"/>
                <w:color w:val="auto"/>
              </w:rPr>
              <w:t>www.pepperlaw.com</w:t>
            </w:r>
          </w:p>
        </w:tc>
        <w:tc>
          <w:tcPr>
            <w:tcW w:w="22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71320" cy="351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671320" cy="351155"/>
                    </a:xfrm>
                    <a:prstGeom prst="rect">
                      <a:avLst/>
                    </a:prstGeom>
                    <a:noFill/>
                  </pic:spPr>
                </pic:pic>
              </a:graphicData>
            </a:graphic>
          </wp:anchor>
        </w:drawing>
        <w:t>Page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pacing w:after="0" w:line="211"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any related Prospectus, other than as expressly stated herein with respect to the resale of the Shares.</w:t>
      </w:r>
    </w:p>
    <w:p>
      <w:pPr>
        <w:spacing w:after="0" w:line="184"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We are opining herein as to General Corporation Law of the State of Delaware, and we express no opinion with respect to any other laws.</w:t>
      </w:r>
    </w:p>
    <w:p>
      <w:pPr>
        <w:spacing w:after="0" w:line="178"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the Shares have been duly authorized by all necessary corporate action of the Company, the Merger Shares, Private Placement Shares and Financial Advisor Shares are validly issued, fully paid and nonassessable and the Warrant Shares, when issued and paid for in accordance with the terms of the Pre-Funded Warrants, will be validly issued, fully paid and nonassessable.</w:t>
      </w:r>
    </w:p>
    <w:p>
      <w:pPr>
        <w:spacing w:after="0" w:line="187"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related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Pepper Hamilton LLP</w:t>
      </w:r>
    </w:p>
    <w:p>
      <w:pPr>
        <w:sectPr>
          <w:pgSz w:w="11900" w:h="16838" w:orient="portrait"/>
          <w:cols w:equalWidth="0" w:num="1">
            <w:col w:w="10980"/>
          </w:cols>
          <w:pgMar w:left="440" w:top="1043" w:right="4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b w:val="1"/>
          <w:bCs w:val="1"/>
          <w:color w:val="auto"/>
        </w:rPr>
        <w:t xml:space="preserve">THIS REGISTRATION RIGHTS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June 8, 2020 (the “</w:t>
      </w:r>
      <w:r>
        <w:rPr>
          <w:rFonts w:ascii="Arial" w:cs="Arial" w:eastAsia="Arial" w:hAnsi="Arial"/>
          <w:sz w:val="18"/>
          <w:szCs w:val="18"/>
          <w:b w:val="1"/>
          <w:bCs w:val="1"/>
          <w:color w:val="auto"/>
        </w:rPr>
        <w:t>Effective Date</w:t>
      </w:r>
      <w:r>
        <w:rPr>
          <w:rFonts w:ascii="Arial" w:cs="Arial" w:eastAsia="Arial" w:hAnsi="Arial"/>
          <w:sz w:val="18"/>
          <w:szCs w:val="18"/>
          <w:color w:val="auto"/>
        </w:rPr>
        <w:t>”), is made and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by and among Larimar Therapeutics, Inc., a Delaware corporation (f/k/a Zafgen, Inc.)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investors set forth on the signature pages hereto (each, an “</w:t>
      </w:r>
      <w:r>
        <w:rPr>
          <w:rFonts w:ascii="Arial" w:cs="Arial" w:eastAsia="Arial" w:hAnsi="Arial"/>
          <w:sz w:val="18"/>
          <w:szCs w:val="18"/>
          <w:b w:val="1"/>
          <w:bCs w:val="1"/>
          <w:color w:val="auto"/>
        </w:rPr>
        <w:t>Investor</w:t>
      </w:r>
      <w:r>
        <w:rPr>
          <w:rFonts w:ascii="Arial" w:cs="Arial" w:eastAsia="Arial" w:hAnsi="Arial"/>
          <w:sz w:val="18"/>
          <w:szCs w:val="18"/>
          <w:color w:val="auto"/>
        </w:rPr>
        <w:t>”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76"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following the Effective Date, certain of the Investors will acquire shares of common stock (the “</w:t>
      </w:r>
      <w:r>
        <w:rPr>
          <w:rFonts w:ascii="Arial" w:cs="Arial" w:eastAsia="Arial" w:hAnsi="Arial"/>
          <w:sz w:val="16"/>
          <w:szCs w:val="16"/>
          <w:u w:val="single" w:color="auto"/>
          <w:color w:val="auto"/>
        </w:rPr>
        <w:t>Merger Shares</w:t>
      </w:r>
      <w:r>
        <w:rPr>
          <w:rFonts w:ascii="Arial" w:cs="Arial" w:eastAsia="Arial" w:hAnsi="Arial"/>
          <w:sz w:val="16"/>
          <w:szCs w:val="16"/>
          <w:color w:val="auto"/>
        </w:rPr>
        <w:t>”)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connection with the consummation of the transactions contemplated by that certain Agreement and Plan of Merger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dated as of December 17, 2019, by and among the Company, Zordich Merger Sub, Inc., a Delaware corporation and wholly owned subsidiary of the Company (“</w:t>
      </w:r>
      <w:r>
        <w:rPr>
          <w:rFonts w:ascii="Arial" w:cs="Arial" w:eastAsia="Arial" w:hAnsi="Arial"/>
          <w:sz w:val="16"/>
          <w:szCs w:val="16"/>
          <w:u w:val="single" w:color="auto"/>
          <w:color w:val="auto"/>
        </w:rPr>
        <w:t>Merger Sub</w:t>
      </w:r>
      <w:r>
        <w:rPr>
          <w:rFonts w:ascii="Arial" w:cs="Arial" w:eastAsia="Arial" w:hAnsi="Arial"/>
          <w:sz w:val="16"/>
          <w:szCs w:val="16"/>
          <w:color w:val="auto"/>
        </w:rPr>
        <w:t>”) and Chondrial Therapeutics, Inc. (“</w:t>
      </w:r>
      <w:r>
        <w:rPr>
          <w:rFonts w:ascii="Arial" w:cs="Arial" w:eastAsia="Arial" w:hAnsi="Arial"/>
          <w:sz w:val="16"/>
          <w:szCs w:val="16"/>
          <w:u w:val="single" w:color="auto"/>
          <w:color w:val="auto"/>
        </w:rPr>
        <w:t>Chondrial</w:t>
      </w:r>
      <w:r>
        <w:rPr>
          <w:rFonts w:ascii="Arial" w:cs="Arial" w:eastAsia="Arial" w:hAnsi="Arial"/>
          <w:sz w:val="16"/>
          <w:szCs w:val="16"/>
          <w:color w:val="auto"/>
        </w:rPr>
        <w:t>”), pursuant to which Merger Sub merged with and into Chondrial, with Chondrial surviving as a wholly owned subsidiary of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54" w:lineRule="exact"/>
        <w:rPr>
          <w:sz w:val="20"/>
          <w:szCs w:val="20"/>
          <w:color w:val="auto"/>
        </w:rPr>
      </w:pPr>
    </w:p>
    <w:p>
      <w:pPr>
        <w:jc w:val="center"/>
        <w:ind w:right="140"/>
        <w:spacing w:after="0" w:line="347" w:lineRule="auto"/>
        <w:rPr>
          <w:sz w:val="20"/>
          <w:szCs w:val="20"/>
          <w:color w:val="auto"/>
        </w:rPr>
      </w:pPr>
      <w:r>
        <w:rPr>
          <w:rFonts w:ascii="Arial" w:cs="Arial" w:eastAsia="Arial" w:hAnsi="Arial"/>
          <w:sz w:val="16"/>
          <w:szCs w:val="16"/>
          <w:b w:val="1"/>
          <w:bCs w:val="1"/>
          <w:color w:val="auto"/>
        </w:rPr>
        <w:t xml:space="preserve">NOW, THEREFORE, IN CONSIDERATION </w:t>
      </w:r>
      <w:r>
        <w:rPr>
          <w:rFonts w:ascii="Arial" w:cs="Arial" w:eastAsia="Arial" w:hAnsi="Arial"/>
          <w:sz w:val="16"/>
          <w:szCs w:val="16"/>
          <w:color w:val="auto"/>
        </w:rPr>
        <w:t>of the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 the following capitalized terms used herein shall have the following meanings:</w:t>
      </w:r>
    </w:p>
    <w:p>
      <w:pPr>
        <w:spacing w:after="0" w:line="221" w:lineRule="exact"/>
        <w:rPr>
          <w:sz w:val="20"/>
          <w:szCs w:val="20"/>
          <w:color w:val="auto"/>
        </w:rPr>
      </w:pPr>
    </w:p>
    <w:p>
      <w:pPr>
        <w:jc w:val="both"/>
        <w:ind w:right="4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 Trade</w:t>
      </w:r>
      <w:r>
        <w:rPr>
          <w:rFonts w:ascii="Arial" w:cs="Arial" w:eastAsia="Arial" w:hAnsi="Arial"/>
          <w:sz w:val="18"/>
          <w:szCs w:val="18"/>
          <w:color w:val="auto"/>
        </w:rPr>
        <w:t>” means an offering and/or sale of Registrable Securities by any Investor on a block trade or underwritten basis (whether firm commitment or otherwise) without substantial marketing efforts prior to pricing, including, without limitation, a same day trade, overnight trade or similar transaction.</w:t>
      </w:r>
    </w:p>
    <w:p>
      <w:pPr>
        <w:spacing w:after="0" w:line="17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ascribed to such term in the Merger Agreement.</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0"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116"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(i) the Merger Shares and (ii) any other securities issued or issuable with respect to or in exchange for Merger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a security shall cease</w:t>
      </w:r>
    </w:p>
    <w:p>
      <w:pPr>
        <w:sectPr>
          <w:pgSz w:w="11900" w:h="16838" w:orient="portrait"/>
          <w:cols w:equalWidth="0" w:num="1">
            <w:col w:w="11020"/>
          </w:cols>
          <w:pgMar w:left="440" w:top="121" w:right="439" w:bottom="1440" w:gutter="0" w:footer="0" w:header="0"/>
        </w:sectPr>
      </w:pPr>
    </w:p>
    <w:bookmarkStart w:id="36" w:name="page37"/>
    <w:bookmarkEnd w:id="36"/>
    <w:p>
      <w:pPr>
        <w:jc w:val="both"/>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a Registrable Security upon (A) sale pursuant to a Registration Statement or Rule 144 under the 1933 Act, or (B) such security becoming eligible for sale without restriction or limitation by such Investor (and any of its Affiliates whose shares must be aggregated with those of such Investor under Rule 144) pursuant to Rule 144 and without the requirement to be in compliance with Rule 144(c)(1) (or any successor thereto) promulgated under the 1933 Act.</w:t>
      </w:r>
    </w:p>
    <w:p>
      <w:pPr>
        <w:spacing w:after="0" w:line="183"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any registration statement filed by the Company under the 1933 Act and the rules and regulations promulgated thereunder that covers the resale of any of the Registrable Securities pursuant to the provisions of this Agreement, amendments and supplements to such Registration Statement, including post-effective amendments, and all exhibits to and all material incorporated by reference in such Registration Statement.</w:t>
      </w:r>
    </w:p>
    <w:p>
      <w:pPr>
        <w:spacing w:after="0" w:line="180"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Investors</w:t>
      </w:r>
      <w:r>
        <w:rPr>
          <w:rFonts w:ascii="Arial" w:cs="Arial" w:eastAsia="Arial" w:hAnsi="Arial"/>
          <w:sz w:val="18"/>
          <w:szCs w:val="18"/>
          <w:color w:val="auto"/>
        </w:rPr>
        <w:t>” means (i) the Investors holding a majority of the Registrable Securities outstanding from time to time and (ii) whether or not included in clause (i), any Investor that is (or is part of a group that collectively is) an “affiliate” (as such term is used under Rule 144 under the 1933 Act).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Investor</w:t>
      </w:r>
      <w:r>
        <w:rPr>
          <w:rFonts w:ascii="Arial" w:cs="Arial" w:eastAsia="Arial" w:hAnsi="Arial"/>
          <w:sz w:val="18"/>
          <w:szCs w:val="18"/>
          <w:color w:val="auto"/>
        </w:rPr>
        <w:t>” means any Investor electing to sell any of its Registrable Securities in a Registration.</w:t>
      </w:r>
    </w:p>
    <w:p>
      <w:pPr>
        <w:spacing w:after="0" w:line="225"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Investor Questionnaire</w:t>
      </w:r>
      <w:r>
        <w:rPr>
          <w:rFonts w:ascii="Arial" w:cs="Arial" w:eastAsia="Arial" w:hAnsi="Arial"/>
          <w:sz w:val="18"/>
          <w:szCs w:val="18"/>
          <w:color w:val="auto"/>
        </w:rPr>
        <w:t xml:space="preserve">” means a questionnaire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or such other form of questionnaire as may reasonably be adopted by the Company from time to time.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Common Stock is listed or quoted and traded on the Nasdaq Global Market.</w:t>
      </w:r>
    </w:p>
    <w:p>
      <w:pPr>
        <w:spacing w:after="0" w:line="225"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274" w:lineRule="exact"/>
        <w:rPr>
          <w:sz w:val="20"/>
          <w:szCs w:val="20"/>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24" w:hanging="384"/>
        <w:spacing w:after="0"/>
        <w:tabs>
          <w:tab w:leader="none" w:pos="82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 w:right="20" w:firstLine="987"/>
        <w:spacing w:after="0" w:line="272" w:lineRule="auto"/>
        <w:tabs>
          <w:tab w:leader="none" w:pos="1345" w:val="left"/>
        </w:tabs>
        <w:numPr>
          <w:ilvl w:val="2"/>
          <w:numId w:val="27"/>
        </w:numPr>
        <w:rPr>
          <w:rFonts w:ascii="Arial" w:cs="Arial" w:eastAsia="Arial" w:hAnsi="Arial"/>
          <w:sz w:val="17"/>
          <w:szCs w:val="17"/>
          <w:color w:val="auto"/>
        </w:rPr>
      </w:pPr>
      <w:r>
        <w:rPr>
          <w:rFonts w:ascii="Arial" w:cs="Arial" w:eastAsia="Arial" w:hAnsi="Arial"/>
          <w:sz w:val="17"/>
          <w:szCs w:val="17"/>
          <w:color w:val="auto"/>
        </w:rPr>
        <w:t>Promptly following the Effective Date but no later than thirty (30) days after the Closing Date (the “</w:t>
      </w:r>
      <w:r>
        <w:rPr>
          <w:rFonts w:ascii="Arial" w:cs="Arial" w:eastAsia="Arial" w:hAnsi="Arial"/>
          <w:sz w:val="17"/>
          <w:szCs w:val="17"/>
          <w:b w:val="1"/>
          <w:bCs w:val="1"/>
          <w:color w:val="auto"/>
        </w:rPr>
        <w:t>Filing Deadline</w:t>
      </w:r>
      <w:r>
        <w:rPr>
          <w:rFonts w:ascii="Arial" w:cs="Arial" w:eastAsia="Arial" w:hAnsi="Arial"/>
          <w:sz w:val="17"/>
          <w:szCs w:val="17"/>
          <w:color w:val="auto"/>
        </w:rPr>
        <w:t>”), the Company shall prepare and file with the SEC a Registration Statement covering the resale of all of the Registrable Securities for an offering to be made on a continuous basis pursuant to Rule 415 under the 1933 Act (</w:t>
      </w:r>
      <w:r>
        <w:rPr>
          <w:rFonts w:ascii="Arial" w:cs="Arial" w:eastAsia="Arial" w:hAnsi="Arial"/>
          <w:sz w:val="17"/>
          <w:szCs w:val="17"/>
          <w:b w:val="1"/>
          <w:bCs w:val="1"/>
          <w:color w:val="auto"/>
        </w:rPr>
        <w:t>“Rule 415</w:t>
      </w:r>
      <w:r>
        <w:rPr>
          <w:rFonts w:ascii="Arial" w:cs="Arial" w:eastAsia="Arial" w:hAnsi="Arial"/>
          <w:sz w:val="17"/>
          <w:szCs w:val="17"/>
          <w:color w:val="auto"/>
        </w:rPr>
        <w:t>”) or, if Rule 415 is not available for offers and sales of the Registrable Securities, by such other means of distribution of Registrable Securities as the Investors may reasonably specify (the “</w:t>
      </w:r>
      <w:r>
        <w:rPr>
          <w:rFonts w:ascii="Arial" w:cs="Arial" w:eastAsia="Arial" w:hAnsi="Arial"/>
          <w:sz w:val="17"/>
          <w:szCs w:val="17"/>
          <w:b w:val="1"/>
          <w:bCs w:val="1"/>
          <w:color w:val="auto"/>
        </w:rPr>
        <w:t>Initial Registration Statement</w:t>
      </w:r>
      <w:r>
        <w:rPr>
          <w:rFonts w:ascii="Arial" w:cs="Arial" w:eastAsia="Arial" w:hAnsi="Arial"/>
          <w:sz w:val="17"/>
          <w:szCs w:val="17"/>
          <w:color w:val="auto"/>
        </w:rPr>
        <w:t xml:space="preserve">”). The Initial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Arial" w:cs="Arial" w:eastAsia="Arial" w:hAnsi="Arial"/>
          <w:sz w:val="17"/>
          <w:szCs w:val="17"/>
          <w:u w:val="single" w:color="auto"/>
          <w:color w:val="auto"/>
        </w:rPr>
        <w:t>Section 2(a)(ii)</w:t>
      </w:r>
      <w:r>
        <w:rPr>
          <w:rFonts w:ascii="Arial" w:cs="Arial" w:eastAsia="Arial" w:hAnsi="Arial"/>
          <w:sz w:val="17"/>
          <w:szCs w:val="17"/>
          <w:color w:val="auto"/>
        </w:rPr>
        <w:t xml:space="preserve"> and shall contain (except if otherwise required pursuant to written comments received from the SEC upon review of such Registration Statement) a “Plan of Distribution” substantially in the form attached hereto as</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7" w:name="page38"/>
    <w:bookmarkEnd w:id="37"/>
    <w:p>
      <w:pPr>
        <w:ind w:left="4" w:right="200"/>
        <w:spacing w:after="0" w:line="275"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r>
        <w:rPr>
          <w:rFonts w:ascii="Arial" w:cs="Arial" w:eastAsia="Arial" w:hAnsi="Arial"/>
          <w:sz w:val="17"/>
          <w:szCs w:val="17"/>
          <w:color w:val="auto"/>
        </w:rPr>
        <w:t xml:space="preserve"> (which may be modified to respond to comments, if any, provided by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Investor shall be named as an Underwriter in such Registration Statement without the Investor’s prior written consent. In the event that the Company is not eligible to register the Registrable Securities on Form S-3 and instead registers the Registrable Securities on another form of registration statement pursuant to the 1933 Act, the Company shall convert or replace such registration statement with a registration statement on Form S-3 promptly following confirmation that the Company becomes eligible to use Form S-3 to register the Registrable Securities.</w:t>
      </w:r>
    </w:p>
    <w:p>
      <w:pPr>
        <w:spacing w:after="0" w:line="176" w:lineRule="exact"/>
        <w:rPr>
          <w:sz w:val="20"/>
          <w:szCs w:val="20"/>
          <w:color w:val="auto"/>
        </w:rPr>
      </w:pPr>
    </w:p>
    <w:p>
      <w:pPr>
        <w:ind w:left="4" w:firstLine="987"/>
        <w:spacing w:after="0" w:line="301" w:lineRule="auto"/>
        <w:tabs>
          <w:tab w:leader="none" w:pos="13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Such Registration Statement also shall cover, to the extent allowable under the 1933 Act and the rules promulgated thereunder (including Rule 416), such indeterminate number of additional shares of Common Stock resulting from stock splits, stock combinations, stock dividends or similar transactions with respect to the Registrable Securities. Such Registration Statement (and each amendment or supplement thereto, and each request for acceleration of effectiveness thereof) shall be provided in accordance with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to the Investors prior to its filing or other submission.</w:t>
      </w:r>
    </w:p>
    <w:p>
      <w:pPr>
        <w:spacing w:after="0" w:line="157" w:lineRule="exact"/>
        <w:rPr>
          <w:rFonts w:ascii="Arial" w:cs="Arial" w:eastAsia="Arial" w:hAnsi="Arial"/>
          <w:sz w:val="16"/>
          <w:szCs w:val="16"/>
          <w:color w:val="auto"/>
        </w:rPr>
      </w:pPr>
    </w:p>
    <w:p>
      <w:pPr>
        <w:ind w:left="4" w:firstLine="436"/>
        <w:spacing w:after="0" w:line="257" w:lineRule="auto"/>
        <w:tabs>
          <w:tab w:leader="none" w:pos="83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and the reasonable fees and expenses of one (1) counsel to the Investors (not to exceed $35,000), but excluding discounts, commissions, fees of underwriters, selling brokers, dealer managers or similar securities industry professionals with respect to the Registrable Securities being sold.</w:t>
      </w:r>
    </w:p>
    <w:p>
      <w:pPr>
        <w:spacing w:after="0" w:line="295" w:lineRule="exact"/>
        <w:rPr>
          <w:rFonts w:ascii="Arial" w:cs="Arial" w:eastAsia="Arial" w:hAnsi="Arial"/>
          <w:sz w:val="18"/>
          <w:szCs w:val="18"/>
          <w:color w:val="auto"/>
        </w:rPr>
      </w:pPr>
    </w:p>
    <w:p>
      <w:pPr>
        <w:ind w:left="824" w:hanging="384"/>
        <w:spacing w:after="0"/>
        <w:tabs>
          <w:tab w:leader="none" w:pos="82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987"/>
        <w:spacing w:after="0" w:line="301" w:lineRule="auto"/>
        <w:tabs>
          <w:tab w:leader="none" w:pos="1342"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have each Registration Statement declared effective as soon as practicable after the filing. The Company shall notify the Investors as promptly as practicable, and in any event, within twenty-four (24) hours, after the Registration Statement is declared effective and shall simultaneously or prior thereto file with the SEC pursuant to Rule 424(b) under the 1933 Act, and provide the Investors with copies of, any related Prospectus to be used in connection with the sale or other disposition of the securities covered thereby.</w:t>
      </w:r>
    </w:p>
    <w:p>
      <w:pPr>
        <w:spacing w:after="0" w:line="157" w:lineRule="exact"/>
        <w:rPr>
          <w:sz w:val="20"/>
          <w:szCs w:val="20"/>
          <w:color w:val="auto"/>
        </w:rPr>
      </w:pPr>
    </w:p>
    <w:p>
      <w:pPr>
        <w:ind w:left="4" w:right="80" w:firstLine="987"/>
        <w:spacing w:after="0" w:line="284" w:lineRule="auto"/>
        <w:tabs>
          <w:tab w:leader="none" w:pos="1395"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For not more than ten (10) consecutive days or for a total of not more than twenty (20) days in any twelve (12) month period, the Company may suspend the use of any Prospectus included in any Registration Statement contemplated by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any Misstatement (an “</w:t>
      </w:r>
      <w:r>
        <w:rPr>
          <w:rFonts w:ascii="Arial" w:cs="Arial" w:eastAsia="Arial" w:hAnsi="Arial"/>
          <w:sz w:val="16"/>
          <w:szCs w:val="16"/>
          <w:b w:val="1"/>
          <w:bCs w:val="1"/>
          <w:color w:val="auto"/>
        </w:rPr>
        <w:t>Allowed Delay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promptly (1) notify each Investor in writing of the commencement of an Allowed Delay, but shall not (without the prior written consent of an Investor) disclose to such Investor any material non-public information giving rise to an Allowed Delay,</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advise the Investors in writing to cease all sales under such Registration Statement until</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8" w:name="page39"/>
    <w:bookmarkEnd w:id="3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end of the Allowed Delay (but not, for the avoidance of doubt, any sale pursuant to Rule 144 or other applicable exemption under the 1933 Act) and</w:t>
      </w:r>
    </w:p>
    <w:p>
      <w:pPr>
        <w:spacing w:after="0" w:line="46" w:lineRule="exact"/>
        <w:rPr>
          <w:sz w:val="20"/>
          <w:szCs w:val="20"/>
          <w:color w:val="auto"/>
        </w:rPr>
      </w:pPr>
    </w:p>
    <w:p>
      <w:pPr>
        <w:ind w:left="264" w:hanging="264"/>
        <w:spacing w:after="0"/>
        <w:tabs>
          <w:tab w:leader="none" w:pos="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 commercially reasonable efforts to terminate an Allowed Delay as promptly as practicable.</w:t>
      </w:r>
    </w:p>
    <w:p>
      <w:pPr>
        <w:spacing w:after="0" w:line="210" w:lineRule="exact"/>
        <w:rPr>
          <w:rFonts w:ascii="Arial" w:cs="Arial" w:eastAsia="Arial" w:hAnsi="Arial"/>
          <w:sz w:val="18"/>
          <w:szCs w:val="18"/>
          <w:color w:val="auto"/>
        </w:rPr>
      </w:pPr>
    </w:p>
    <w:p>
      <w:pPr>
        <w:jc w:val="both"/>
        <w:ind w:left="4" w:right="200" w:firstLine="436"/>
        <w:spacing w:after="0" w:line="291" w:lineRule="auto"/>
        <w:tabs>
          <w:tab w:leader="none" w:pos="834"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Liquidated Damages</w:t>
      </w:r>
      <w:r>
        <w:rPr>
          <w:rFonts w:ascii="Arial" w:cs="Arial" w:eastAsia="Arial" w:hAnsi="Arial"/>
          <w:sz w:val="16"/>
          <w:szCs w:val="16"/>
          <w:color w:val="auto"/>
        </w:rPr>
        <w:t>. If: (i) the Registration Statement is not filed on or prior to the Filing Deadline, (ii) the Company fails to file with the SEC a request for acceleration of a Registration Statement in accordance with Rule 461 promulgated by the SEC pursuant to the 1933 Act, within five</w:t>
      </w:r>
    </w:p>
    <w:p>
      <w:pPr>
        <w:ind w:left="4" w:hanging="4"/>
        <w:spacing w:after="0" w:line="265" w:lineRule="auto"/>
        <w:tabs>
          <w:tab w:leader="none" w:pos="2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Trading Days of the date that the Company is notified (orally or in writing, whichever is earlier) by the SEC that such Registration Statement will not be “reviewed” or will not be subject to further review, (iii) prior to the effective date of a Registration Statement, the Company fails to file a pre-effective amendment and otherwise respond in writing to comments made by the SEC in respect of such Registration Statement within ten</w:t>
      </w:r>
    </w:p>
    <w:p>
      <w:pPr>
        <w:ind w:left="4" w:right="20" w:hanging="4"/>
        <w:spacing w:after="0" w:line="283" w:lineRule="auto"/>
        <w:tabs>
          <w:tab w:leader="none" w:pos="3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calendar days after the receipt of comments by or notice from the SEC that such amendment is required in order for such Registration Statement to be declared effective, or (iv) the Company fails to maintain the effectiveness of the Registration Statement during the Effectiveness Period other than in connection with an Allowed Delay, or the Allowed Delay is exceeded (any such failure or breach being referred to as an “</w:t>
      </w:r>
      <w:r>
        <w:rPr>
          <w:rFonts w:ascii="Arial" w:cs="Arial" w:eastAsia="Arial" w:hAnsi="Arial"/>
          <w:sz w:val="16"/>
          <w:szCs w:val="16"/>
          <w:b w:val="1"/>
          <w:bCs w:val="1"/>
          <w:color w:val="auto"/>
        </w:rPr>
        <w:t>Event</w:t>
      </w:r>
      <w:r>
        <w:rPr>
          <w:rFonts w:ascii="Arial" w:cs="Arial" w:eastAsia="Arial" w:hAnsi="Arial"/>
          <w:sz w:val="16"/>
          <w:szCs w:val="16"/>
          <w:color w:val="auto"/>
        </w:rPr>
        <w:t>”, and for purpose of clause (i), the date on which such Event occurs, and for purpose of clause (ii) the date on which such five (5) Trading Day period is exceeded, and for purpose of clause (iii) the date which such ten (10) calendar day period is exceeded, and for purpose of clause (iv) the date on which the Allowed Delay is exceeded being referred to as the “</w:t>
      </w:r>
      <w:r>
        <w:rPr>
          <w:rFonts w:ascii="Arial" w:cs="Arial" w:eastAsia="Arial" w:hAnsi="Arial"/>
          <w:sz w:val="16"/>
          <w:szCs w:val="16"/>
          <w:b w:val="1"/>
          <w:bCs w:val="1"/>
          <w:color w:val="auto"/>
        </w:rPr>
        <w:t>Event Date</w:t>
      </w:r>
      <w:r>
        <w:rPr>
          <w:rFonts w:ascii="Arial" w:cs="Arial" w:eastAsia="Arial" w:hAnsi="Arial"/>
          <w:sz w:val="16"/>
          <w:szCs w:val="16"/>
          <w:color w:val="auto"/>
        </w:rPr>
        <w:t>”), then, in addition to any other rights and remedies the Investors may have hereunder or under applicable law or in equity, on each such Event Date and on each monthly anniversary of each such Event Date (if the applicable Event shall not have been cured by such date) until the applicable Event is cured, the Company shall pay to each Investor an amount in cash, as partial liquidated damages and not as a penalty, equal to the product of 1.0% multiplied by the aggregate value of such Investor’s Merger Shares as of the date hereof. The amounts payable pursuant to the foregoing sentence are referred to collectively as “</w:t>
      </w:r>
      <w:r>
        <w:rPr>
          <w:rFonts w:ascii="Arial" w:cs="Arial" w:eastAsia="Arial" w:hAnsi="Arial"/>
          <w:sz w:val="16"/>
          <w:szCs w:val="16"/>
          <w:b w:val="1"/>
          <w:bCs w:val="1"/>
          <w:color w:val="auto"/>
        </w:rPr>
        <w:t>Liquidated Damages</w:t>
      </w:r>
      <w:r>
        <w:rPr>
          <w:rFonts w:ascii="Arial" w:cs="Arial" w:eastAsia="Arial" w:hAnsi="Arial"/>
          <w:sz w:val="16"/>
          <w:szCs w:val="16"/>
          <w:color w:val="auto"/>
        </w:rPr>
        <w:t>”. The parties agree that (1) notwithstanding anything to the contrary herein, no Liquidated Damages shall be payable with respect to any period after the expiration of the Effectiveness Period and in no event shall the aggregate amount of Liquidated Damages payable to an Investor pursuant to this Section 2.(d) exceed, in the aggregate, five percent (5%) of the aggregate value of such Investor’s Merger Shares as of the date hereof and (2) in no event shall the Company be liable in any thirty (30)-day period for Liquidated Damages under this Agreement in excess of one percent (1.0)% of the aggregate value of the Merger Shares as of the date hereof. If the Company fails to pay any Liquidated Damages pursuant to this Section 2(d) in full within seven (7) calendar days after the date payable, the Company will pay interest thereon at a rate of one percent (1.0%) per annum (or such lesser maximum amount that is permitted to be paid by applicable Law) to the Investor, accruing daily from the date such Liquidated Damages are due until such amounts, plus all such interest thereon, are paid in full. The Liquidated Damages pursuant to the terms hereof shall apply on a daily pro rata basis for any portion of a month prior to the cure of an Event. The Effectiveness Deadline for a Registration Statement shall be extended without default and without the payment of Liquidated Damages hereunder in the event that the Company’s failure to obtain the effectiveness of the Registration Statement on a timely basis results from the failure of an Investor to timely provide the Company with information reasonably requested by the Company and necessary to complete the Registration Statement in accordance with the requirements of the 1933 Act.</w:t>
      </w:r>
    </w:p>
    <w:p>
      <w:pPr>
        <w:spacing w:after="0" w:line="3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9" w:name="page40"/>
    <w:bookmarkEnd w:id="39"/>
    <w:p>
      <w:pPr>
        <w:ind w:left="4" w:right="40" w:firstLine="436"/>
        <w:spacing w:after="0" w:line="283" w:lineRule="auto"/>
        <w:tabs>
          <w:tab w:leader="none" w:pos="824"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to review and oversee any registration or matters pursuant to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including participation in any meetings or discussions with the SEC regarding the SEC’s position and to comment on any written submission made to the SEC with respect thereto, which counsel shall be designated by the holders of a majority of the Registrable Securities. No such written submission with respect to this matter shall be made to the SEC to which the Investors’ counsel reasonably objects. In the event that, despite the Company’s commercially reasonable efforts and compliance with the terms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the SEC refuses to alter its position, the Company shall</w:t>
      </w:r>
    </w:p>
    <w:p>
      <w:pPr>
        <w:spacing w:after="0" w:line="5" w:lineRule="exact"/>
        <w:rPr>
          <w:rFonts w:ascii="Arial" w:cs="Arial" w:eastAsia="Arial" w:hAnsi="Arial"/>
          <w:sz w:val="16"/>
          <w:szCs w:val="16"/>
          <w:color w:val="auto"/>
        </w:rPr>
      </w:pPr>
    </w:p>
    <w:p>
      <w:pPr>
        <w:ind w:left="4" w:hanging="4"/>
        <w:spacing w:after="0" w:line="284" w:lineRule="auto"/>
        <w:tabs>
          <w:tab w:leader="none" w:pos="219"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remove from such Registration Statement such portion of the Registrable Securities (the “</w:t>
      </w:r>
      <w:r>
        <w:rPr>
          <w:rFonts w:ascii="Arial" w:cs="Arial" w:eastAsia="Arial" w:hAnsi="Arial"/>
          <w:sz w:val="16"/>
          <w:szCs w:val="16"/>
          <w:b w:val="1"/>
          <w:bCs w:val="1"/>
          <w:color w:val="auto"/>
        </w:rPr>
        <w:t>Cut Back Shares</w:t>
      </w:r>
      <w:r>
        <w:rPr>
          <w:rFonts w:ascii="Arial" w:cs="Arial" w:eastAsia="Arial" w:hAnsi="Arial"/>
          <w:sz w:val="16"/>
          <w:szCs w:val="16"/>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6"/>
          <w:szCs w:val="16"/>
          <w:b w:val="1"/>
          <w:bCs w:val="1"/>
          <w:color w:val="auto"/>
        </w:rPr>
        <w:t>SEC Restrictions</w:t>
      </w:r>
      <w:r>
        <w:rPr>
          <w:rFonts w:ascii="Arial" w:cs="Arial" w:eastAsia="Arial" w:hAnsi="Arial"/>
          <w:sz w:val="16"/>
          <w:szCs w:val="16"/>
          <w:color w:val="auto"/>
        </w:rPr>
        <w:t xml:space="preserve">”); provided, however, that the Company shall not agree to name any Investor as an Underwriter in such Registration Statement without the prior written consent of such Investor. Any cut-back imposed on the Investors pursuant to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the first date on which the Company is able to effect the registration of such Cut Back Shares (such date, the “</w:t>
      </w:r>
      <w:r>
        <w:rPr>
          <w:rFonts w:ascii="Arial" w:cs="Arial" w:eastAsia="Arial" w:hAnsi="Arial"/>
          <w:sz w:val="16"/>
          <w:szCs w:val="16"/>
          <w:b w:val="1"/>
          <w:bCs w:val="1"/>
          <w:color w:val="auto"/>
        </w:rPr>
        <w:t>Restriction Termination Date</w:t>
      </w:r>
      <w:r>
        <w:rPr>
          <w:rFonts w:ascii="Arial" w:cs="Arial" w:eastAsia="Arial" w:hAnsi="Arial"/>
          <w:sz w:val="16"/>
          <w:szCs w:val="16"/>
          <w:color w:val="auto"/>
        </w:rPr>
        <w:t xml:space="preserve">”), all of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the Company’s obligations with respect to the filing of a Registration Statement and its obligations to use commercially reasonable efforts to have such Registration Statement declared effective within the time periods set forth herein) shall again be applicable to such Cut Back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Filing Deadline for such Registration Statement including such Cut Back Shares shall be ten (10) Business Days after the Restriction Termination Date, and (ii) the date by which the Company is required to obtain effectiveness with respect to such Cut Back Shares under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shall be the 30th day immediately after the Restriction Termination Date (or the 90th day if the SEC reviews such Registration Statement). Notwithstanding anything to the contrary in this Section 2, the Company shall not be liable for Liquidated Damages under this Agreement as to any Registrable Securities which are not permitted by the SEC to be included in a Registration Statement due solely to the SEC Restrictions. In such case, the Liquidated Damages shall be calculated to only apply to the percentage of Registrable Securities which are permitted in accordance with the SEC Restrictions to be included in such Registration Statement.</w:t>
      </w:r>
    </w:p>
    <w:p>
      <w:pPr>
        <w:spacing w:after="0" w:line="282" w:lineRule="exact"/>
        <w:rPr>
          <w:rFonts w:ascii="Arial" w:cs="Arial" w:eastAsia="Arial" w:hAnsi="Arial"/>
          <w:sz w:val="16"/>
          <w:szCs w:val="16"/>
          <w:color w:val="auto"/>
        </w:rPr>
      </w:pPr>
    </w:p>
    <w:p>
      <w:pPr>
        <w:ind w:left="804" w:hanging="364"/>
        <w:spacing w:after="0"/>
        <w:tabs>
          <w:tab w:leader="none" w:pos="80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60" w:firstLine="987"/>
        <w:spacing w:after="0" w:line="301" w:lineRule="auto"/>
        <w:tabs>
          <w:tab w:leader="none" w:pos="1345" w:val="left"/>
        </w:tabs>
        <w:numPr>
          <w:ilvl w:val="2"/>
          <w:numId w:val="36"/>
        </w:numPr>
        <w:rPr>
          <w:rFonts w:ascii="Arial" w:cs="Arial" w:eastAsia="Arial" w:hAnsi="Arial"/>
          <w:sz w:val="16"/>
          <w:szCs w:val="16"/>
          <w:color w:val="auto"/>
        </w:rPr>
      </w:pP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when there is no valid Registration Statement in effect, the Required Investors (the “</w:t>
      </w:r>
      <w:r>
        <w:rPr>
          <w:rFonts w:ascii="Arial" w:cs="Arial" w:eastAsia="Arial" w:hAnsi="Arial"/>
          <w:sz w:val="16"/>
          <w:szCs w:val="16"/>
          <w:b w:val="1"/>
          <w:bCs w:val="1"/>
          <w:color w:val="auto"/>
        </w:rPr>
        <w:t>Demanding Holders</w:t>
      </w:r>
      <w:r>
        <w:rPr>
          <w:rFonts w:ascii="Arial" w:cs="Arial" w:eastAsia="Arial" w:hAnsi="Arial"/>
          <w:sz w:val="16"/>
          <w:szCs w:val="16"/>
          <w:color w:val="auto"/>
        </w:rPr>
        <w:t>”) may make a written demand for registration under the 1933 Act of all or part of their Registrable Securities (a “</w:t>
      </w:r>
      <w:r>
        <w:rPr>
          <w:rFonts w:ascii="Arial" w:cs="Arial" w:eastAsia="Arial" w:hAnsi="Arial"/>
          <w:sz w:val="16"/>
          <w:szCs w:val="16"/>
          <w:b w:val="1"/>
          <w:bCs w:val="1"/>
          <w:color w:val="auto"/>
        </w:rPr>
        <w:t>Demand Registration</w:t>
      </w:r>
      <w:r>
        <w:rPr>
          <w:rFonts w:ascii="Arial" w:cs="Arial" w:eastAsia="Arial" w:hAnsi="Arial"/>
          <w:sz w:val="16"/>
          <w:szCs w:val="16"/>
          <w:color w:val="auto"/>
        </w:rPr>
        <w:t>”). Any demand for a Demand Registration shall specify the number of Registrable Securities proposed to be sold and the intended method(s) of distribution thereof. The Company will within ten (10) days of the Company’s receipt of the Demand</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40" w:name="page41"/>
    <w:bookmarkEnd w:id="40"/>
    <w:p>
      <w:pPr>
        <w:ind w:left="4"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Registration notify all holders of Registrable Securities of the demand, and each holder of Registrable Securities who wishes to include all or a portion of such holder’s Registrable Securities in the Demand Registration (each, a “</w:t>
      </w:r>
      <w:r>
        <w:rPr>
          <w:rFonts w:ascii="Arial" w:cs="Arial" w:eastAsia="Arial" w:hAnsi="Arial"/>
          <w:sz w:val="16"/>
          <w:szCs w:val="16"/>
          <w:b w:val="1"/>
          <w:bCs w:val="1"/>
          <w:color w:val="auto"/>
        </w:rPr>
        <w:t>Demand Requesting Holder</w:t>
      </w:r>
      <w:r>
        <w:rPr>
          <w:rFonts w:ascii="Arial" w:cs="Arial" w:eastAsia="Arial" w:hAnsi="Arial"/>
          <w:sz w:val="16"/>
          <w:szCs w:val="16"/>
          <w:color w:val="auto"/>
        </w:rPr>
        <w:t>”) shall so notify the Company within ten</w:t>
      </w:r>
    </w:p>
    <w:p>
      <w:pPr>
        <w:ind w:left="4" w:right="200" w:hanging="4"/>
        <w:spacing w:after="0" w:line="295" w:lineRule="auto"/>
        <w:tabs>
          <w:tab w:leader="none" w:pos="3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days after the receipt by the holder of the notice from the Company. Upon any such request, the Demanding Holders and the Demand Requesting Holders shall be entitled to have their Registrable Securities included in the Demand Registration, subject to Section 2(f)(iv) and Section 2(e), to be effected by the Company as soon as reasonably practicable, but in no event later than sixty (60) days after receipt of such Demand Registration. The Company shall not be obligated to effect more than an aggregate of two (2) Demand Registrations under this Section 2(f).</w:t>
      </w:r>
    </w:p>
    <w:p>
      <w:pPr>
        <w:spacing w:after="0" w:line="161" w:lineRule="exact"/>
        <w:rPr>
          <w:rFonts w:ascii="Arial" w:cs="Arial" w:eastAsia="Arial" w:hAnsi="Arial"/>
          <w:sz w:val="16"/>
          <w:szCs w:val="16"/>
          <w:color w:val="auto"/>
        </w:rPr>
      </w:pPr>
    </w:p>
    <w:p>
      <w:pPr>
        <w:ind w:left="4" w:right="40" w:firstLine="987"/>
        <w:spacing w:after="0" w:line="284" w:lineRule="auto"/>
        <w:tabs>
          <w:tab w:leader="none" w:pos="1395"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Effective Registration</w:t>
      </w:r>
      <w:r>
        <w:rPr>
          <w:rFonts w:ascii="Arial" w:cs="Arial" w:eastAsia="Arial" w:hAnsi="Arial"/>
          <w:sz w:val="16"/>
          <w:szCs w:val="16"/>
          <w:color w:val="auto"/>
        </w:rPr>
        <w:t xml:space="preserve">.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(a) such stop order or injunction is removed, rescinded or otherwise terminated, and (b) a majority-in-interest of the Demanding Holders who initiated such Demand Registration thereafter affirmatively elect to continue the offering and notify the Company thereof in writing, but in no event later than five</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days of such election.</w:t>
      </w:r>
    </w:p>
    <w:p>
      <w:pPr>
        <w:spacing w:after="0" w:line="210" w:lineRule="exact"/>
        <w:rPr>
          <w:rFonts w:ascii="Arial" w:cs="Arial" w:eastAsia="Arial" w:hAnsi="Arial"/>
          <w:sz w:val="18"/>
          <w:szCs w:val="18"/>
          <w:color w:val="auto"/>
        </w:rPr>
      </w:pPr>
    </w:p>
    <w:p>
      <w:pPr>
        <w:ind w:left="4" w:right="100" w:firstLine="987"/>
        <w:spacing w:after="0" w:line="291" w:lineRule="auto"/>
        <w:tabs>
          <w:tab w:leader="none" w:pos="1445"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Underwritten Offering</w:t>
      </w:r>
      <w:r>
        <w:rPr>
          <w:rFonts w:ascii="Arial" w:cs="Arial" w:eastAsia="Arial" w:hAnsi="Arial"/>
          <w:sz w:val="16"/>
          <w:szCs w:val="16"/>
          <w:color w:val="auto"/>
        </w:rPr>
        <w:t>. If a majority-in-interest of the Demanding Holders who initiate a Demand Registration so elect and such holders so advise the Company as part of their written demand for a Demand Registration, the offering of such Registrable Securities pursuant to such Demand Registration shall be in the form of an underwritten offering (which, for the avoidance of doubt, may be an underwritten Block Trade).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securities through such underwriting shall enter into an underwriting agreement in reasonable and customary form with the Underwriter or Underwriters selected for such underwriting by a majority-in-interest of the holders initiating the Demand Registration.</w:t>
      </w:r>
    </w:p>
    <w:p>
      <w:pPr>
        <w:spacing w:after="0" w:line="166" w:lineRule="exact"/>
        <w:rPr>
          <w:rFonts w:ascii="Arial" w:cs="Arial" w:eastAsia="Arial" w:hAnsi="Arial"/>
          <w:sz w:val="16"/>
          <w:szCs w:val="16"/>
          <w:color w:val="auto"/>
        </w:rPr>
      </w:pPr>
    </w:p>
    <w:p>
      <w:pPr>
        <w:ind w:left="4" w:firstLine="987"/>
        <w:spacing w:after="0" w:line="254" w:lineRule="auto"/>
        <w:tabs>
          <w:tab w:leader="none" w:pos="143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Demand Registration that is to be an underwritten offering, in good faith, advises the Company, the Demanding Holders and the Demand Requesting Holders that the dollar amount or number of shares of Registrable Securities which the Demanding Holders and Demand Requesting Holders (if any) desire to sell, taken together with all other shares of Common Stock or other securities which the Company desires to sell and the shares of Common Stock, if any, as to which Registration has been requested pursuant to registration rights held by other stockholders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8"/>
          <w:szCs w:val="18"/>
          <w:b w:val="1"/>
          <w:bCs w:val="1"/>
          <w:color w:val="auto"/>
        </w:rPr>
        <w:t>Maximum Number of</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1" w:name="page42"/>
    <w:bookmarkEnd w:id="41"/>
    <w:p>
      <w:pPr>
        <w:ind w:left="4"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then the Company shall include in such Registration: (i) the Registrable Securities as to which Demand Registration has been requested by the Demanding Holders and Demand Requesting Holders (if any) on a pro rata basis that can be sold without exceeding the Maximum Number of Shares;</w:t>
      </w:r>
    </w:p>
    <w:p>
      <w:pPr>
        <w:ind w:left="4" w:hanging="4"/>
        <w:spacing w:after="0" w:line="253" w:lineRule="auto"/>
        <w:tabs>
          <w:tab w:leader="none" w:pos="26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that the Maximum Number of Shares has not been reached under the foregoing clause (i), the shares of Common Stock or other securities that the Company desires to sell that can be sold without exceeding the Maximum Number of Shares and (iii) to the extent that the Maximum Number of Shares have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298" w:lineRule="exact"/>
        <w:rPr>
          <w:rFonts w:ascii="Arial" w:cs="Arial" w:eastAsia="Arial" w:hAnsi="Arial"/>
          <w:sz w:val="18"/>
          <w:szCs w:val="18"/>
          <w:color w:val="auto"/>
        </w:rPr>
      </w:pPr>
    </w:p>
    <w:p>
      <w:pPr>
        <w:ind w:left="824" w:hanging="384"/>
        <w:spacing w:after="0"/>
        <w:tabs>
          <w:tab w:leader="none" w:pos="82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987"/>
        <w:spacing w:after="0" w:line="284" w:lineRule="auto"/>
        <w:tabs>
          <w:tab w:leader="none" w:pos="1345"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hereof the Company proposes to file a Registration Statement under the 1933 Act with respect to an offering of equity securities, or securities or other obligations exercisable or exchangeable for, or convertible into, equity securities, by the Company for its own account or for stockholders of the Company for their account (or by the Company and by stockholders of the Company including, without limitation, pursuant to Section 2(f)), other than a Registration Statement (i) filed in connection with any employee stock option or other benefit plan, (ii) for an exchange offer or offering of securities solely to the Company’s existing stockholders, (iii) for an offering solely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xml:space="preserve">”). The Company shall, in good faith, cause such Registrable Securities to be included in such Registration and shall use its commercially reasonable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reasonable and customary form with the Underwriter or Underwriters selected for such Piggy-Back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no Investor including Registrable Securities in any underwritten offering shall be required to make any representations or warranties to the Company or the Underwriters, other than representations and warranties regarding such Investor or such Investor’s ownership of its Registrable Securities to be sold in the offering or to undertake any indemnification obligations to the Company or the underwriters with respect thereto except to the extent expressly set forth in Section 5(b) hereof.</w:t>
      </w:r>
    </w:p>
    <w:p>
      <w:pPr>
        <w:spacing w:after="0" w:line="181" w:lineRule="exact"/>
        <w:rPr>
          <w:rFonts w:ascii="Arial" w:cs="Arial" w:eastAsia="Arial" w:hAnsi="Arial"/>
          <w:sz w:val="16"/>
          <w:szCs w:val="16"/>
          <w:color w:val="auto"/>
        </w:rPr>
      </w:pPr>
    </w:p>
    <w:p>
      <w:pPr>
        <w:ind w:left="4" w:right="420" w:firstLine="987"/>
        <w:spacing w:after="0" w:line="277" w:lineRule="auto"/>
        <w:tabs>
          <w:tab w:leader="none" w:pos="1395"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2" w:name="page43"/>
    <w:bookmarkEnd w:id="42"/>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Holders of Registrable Securities that the dollar amount or number of shares of Common Stock which the Company desires to sell, taken together with shares of Common Stock, if any, as to which Registration has been demanded pursuant to separate written contractual arrangements with persons or entities other than the Holders of Registrable Securities hereunder, the Registrable Securities as to which Registration has been requested under this Section 2(g), and the shares of Common Stock, if any, as to which Registration has been requested pursuant to the written contractual piggy-back registration rights of other stockholders of the Company, exceeds the Maximum Number of Shares, then the Company shall include in any such Registration:</w:t>
      </w:r>
    </w:p>
    <w:p>
      <w:pPr>
        <w:spacing w:after="0" w:line="192" w:lineRule="exact"/>
        <w:rPr>
          <w:sz w:val="20"/>
          <w:szCs w:val="20"/>
          <w:color w:val="auto"/>
        </w:rPr>
      </w:pPr>
    </w:p>
    <w:p>
      <w:pPr>
        <w:ind w:firstLine="1428"/>
        <w:spacing w:after="0" w:line="271" w:lineRule="auto"/>
        <w:tabs>
          <w:tab w:leader="none" w:pos="1822" w:val="left"/>
        </w:tabs>
        <w:numPr>
          <w:ilvl w:val="1"/>
          <w:numId w:val="40"/>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the shares of Common Stock or other securities that the Company desires to sell for its own account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the Investors pursuant to Section 2(g)(i), on a pro rata basis, that can be sold without exceeding the Maximum Number of Shares; and (C) to the extent that the Maximum Number of Shares has not been reached under the foregoing clauses (A), (B) and (C), the shares of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78" w:lineRule="exact"/>
        <w:rPr>
          <w:rFonts w:ascii="Arial" w:cs="Arial" w:eastAsia="Arial" w:hAnsi="Arial"/>
          <w:sz w:val="17"/>
          <w:szCs w:val="17"/>
          <w:color w:val="auto"/>
        </w:rPr>
      </w:pPr>
    </w:p>
    <w:p>
      <w:pPr>
        <w:ind w:right="40" w:firstLine="1428"/>
        <w:spacing w:after="0" w:line="288" w:lineRule="auto"/>
        <w:tabs>
          <w:tab w:leader="none" w:pos="1822"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or entities other than the holders of Registrable Securities, (A) the shares of Common Stock or other securities for the account of the demanding persons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Holders under Section 2(g)(i), on a pro rata basis, that can be sold without exceeding the Maximum Number of Shares; (C) to the extent that the Maximum Number of Shares has not been reached under the foregoing clauses (A) and (B), the shares of Common Stock or other securities that the Company desires to sell for its own account that can be sold without exceeding the Maximum Number of Shares; and (D)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68" w:lineRule="exact"/>
        <w:rPr>
          <w:rFonts w:ascii="Arial" w:cs="Arial" w:eastAsia="Arial" w:hAnsi="Arial"/>
          <w:sz w:val="16"/>
          <w:szCs w:val="16"/>
          <w:color w:val="auto"/>
        </w:rPr>
      </w:pPr>
    </w:p>
    <w:p>
      <w:pPr>
        <w:ind w:right="220" w:firstLine="987"/>
        <w:spacing w:after="0" w:line="277" w:lineRule="auto"/>
        <w:tabs>
          <w:tab w:leader="none" w:pos="144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For purposes of clarity, any Registration effected pursuant to Section 2(g) hereof shall not be counted as a Registration pursuant to a Demand Registration effected under Section 2(f)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3" w:name="page44"/>
    <w:bookmarkEnd w:id="43"/>
    <w:p>
      <w:pPr>
        <w:ind w:left="4" w:right="440" w:hanging="4"/>
        <w:spacing w:after="0" w:line="277" w:lineRule="auto"/>
        <w:tabs>
          <w:tab w:leader="none" w:pos="31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OBLIGATIONS</w:t>
      </w:r>
      <w:r>
        <w:rPr>
          <w:rFonts w:ascii="Arial" w:cs="Arial" w:eastAsia="Arial" w:hAnsi="Arial"/>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170" w:lineRule="exact"/>
        <w:rPr>
          <w:rFonts w:ascii="Arial" w:cs="Arial" w:eastAsia="Arial" w:hAnsi="Arial"/>
          <w:sz w:val="18"/>
          <w:szCs w:val="18"/>
          <w:color w:val="auto"/>
        </w:rPr>
      </w:pPr>
    </w:p>
    <w:p>
      <w:pPr>
        <w:ind w:left="4" w:right="160" w:firstLine="436"/>
        <w:spacing w:after="0" w:line="257" w:lineRule="auto"/>
        <w:tabs>
          <w:tab w:leader="none" w:pos="8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use commercially reasonable efforts to cause such Registration Statement to become effective and to remain continuously effective for a period that will terminate upon the date on which all Registrable Securities covered by such Registration Statement may be sold without restriction or limitation pursuant to Rule 144 and without the requirement to be in compliance with Rule 144(c)(1) (or any successor thereto) promulgated under the 1933 Act during any ninety (90) day period (the “</w:t>
      </w:r>
      <w:r>
        <w:rPr>
          <w:rFonts w:ascii="Arial" w:cs="Arial" w:eastAsia="Arial" w:hAnsi="Arial"/>
          <w:sz w:val="18"/>
          <w:szCs w:val="18"/>
          <w:b w:val="1"/>
          <w:bCs w:val="1"/>
          <w:color w:val="auto"/>
        </w:rPr>
        <w:t>Effectiveness Period</w:t>
      </w:r>
      <w:r>
        <w:rPr>
          <w:rFonts w:ascii="Arial" w:cs="Arial" w:eastAsia="Arial" w:hAnsi="Arial"/>
          <w:sz w:val="18"/>
          <w:szCs w:val="18"/>
          <w:color w:val="auto"/>
        </w:rPr>
        <w:t>”) and advise the Investors promptly in writing when the Effectiveness Period has expired;</w:t>
      </w:r>
    </w:p>
    <w:p>
      <w:pPr>
        <w:spacing w:after="0" w:line="187" w:lineRule="exact"/>
        <w:rPr>
          <w:rFonts w:ascii="Arial" w:cs="Arial" w:eastAsia="Arial" w:hAnsi="Arial"/>
          <w:sz w:val="18"/>
          <w:szCs w:val="18"/>
          <w:color w:val="auto"/>
        </w:rPr>
      </w:pPr>
    </w:p>
    <w:p>
      <w:pPr>
        <w:ind w:left="4" w:right="20" w:firstLine="436"/>
        <w:spacing w:after="0" w:line="263" w:lineRule="auto"/>
        <w:tabs>
          <w:tab w:leader="none" w:pos="834"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83" w:lineRule="exact"/>
        <w:rPr>
          <w:rFonts w:ascii="Arial" w:cs="Arial" w:eastAsia="Arial" w:hAnsi="Arial"/>
          <w:sz w:val="18"/>
          <w:szCs w:val="18"/>
          <w:color w:val="auto"/>
        </w:rPr>
      </w:pPr>
    </w:p>
    <w:p>
      <w:pPr>
        <w:ind w:left="4" w:firstLine="436"/>
        <w:spacing w:after="0" w:line="291" w:lineRule="auto"/>
        <w:tabs>
          <w:tab w:leader="none" w:pos="824"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provide copies to and permit the Investors to review each Registration Statement and all amendments and supplements thereto not less than five (5) Trading Days prior to the filing of each Registration Statement and not less than one (1) Trading Day prior to the filing of any related Prospectus or any amendment or supplement thereto (except for Annual Reports on Form 10-K, Quarterly Reports on Form 10-Q and Current Reports on Form 8-K and any similar or successor reports) and not file any document to which such Investor reasonably objects in good faith (it being acknowledged and agreed that if an Investor does not object to or comment on the aforementioned documents within such five (5) Trading Day or one (1) Trading Day period, as the case may be, then the Investor shall be deemed to have consented to the use of such documents), provided that, the Company is notified of such objection in writing within the five (5) Trading Day or one (1) Trading Day period described in this </w:t>
      </w:r>
      <w:r>
        <w:rPr>
          <w:rFonts w:ascii="Arial" w:cs="Arial" w:eastAsia="Arial" w:hAnsi="Arial"/>
          <w:sz w:val="16"/>
          <w:szCs w:val="16"/>
          <w:u w:val="single" w:color="auto"/>
          <w:color w:val="auto"/>
        </w:rPr>
        <w:t>Section 3(c)</w:t>
      </w:r>
      <w:r>
        <w:rPr>
          <w:rFonts w:ascii="Arial" w:cs="Arial" w:eastAsia="Arial" w:hAnsi="Arial"/>
          <w:sz w:val="16"/>
          <w:szCs w:val="16"/>
          <w:color w:val="auto"/>
        </w:rPr>
        <w:t>, as applicable;</w:t>
      </w:r>
    </w:p>
    <w:p>
      <w:pPr>
        <w:spacing w:after="0" w:line="166" w:lineRule="exact"/>
        <w:rPr>
          <w:rFonts w:ascii="Arial" w:cs="Arial" w:eastAsia="Arial" w:hAnsi="Arial"/>
          <w:sz w:val="16"/>
          <w:szCs w:val="16"/>
          <w:color w:val="auto"/>
        </w:rPr>
      </w:pPr>
    </w:p>
    <w:p>
      <w:pPr>
        <w:ind w:left="4" w:right="100" w:firstLine="436"/>
        <w:spacing w:after="0" w:line="273" w:lineRule="auto"/>
        <w:tabs>
          <w:tab w:leader="none" w:pos="834" w:val="left"/>
        </w:tabs>
        <w:numPr>
          <w:ilvl w:val="1"/>
          <w:numId w:val="42"/>
        </w:numPr>
        <w:rPr>
          <w:rFonts w:ascii="Arial" w:cs="Arial" w:eastAsia="Arial" w:hAnsi="Arial"/>
          <w:sz w:val="17"/>
          <w:szCs w:val="17"/>
          <w:color w:val="auto"/>
        </w:rPr>
      </w:pPr>
      <w:r>
        <w:rPr>
          <w:rFonts w:ascii="Arial" w:cs="Arial" w:eastAsia="Arial" w:hAnsi="Arial"/>
          <w:sz w:val="17"/>
          <w:szCs w:val="17"/>
          <w:color w:val="auto"/>
        </w:rPr>
        <w:t>furnish to each Investor whose Registrable Securities are included in any Registration Statement (i) promptly after the same is prepared and filed with the SEC, if requested by the Investor, one (1) copy of any Registration Statement and any amendment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have no obligation to provide any document pursuant to this clause that is available on the SEC’s EDGAR system), each preliminary prospectus and Prospectus and each amendment or supplement thereto,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w:t>
      </w:r>
    </w:p>
    <w:p>
      <w:pPr>
        <w:spacing w:after="0" w:line="177" w:lineRule="exact"/>
        <w:rPr>
          <w:rFonts w:ascii="Arial" w:cs="Arial" w:eastAsia="Arial" w:hAnsi="Arial"/>
          <w:sz w:val="17"/>
          <w:szCs w:val="17"/>
          <w:color w:val="auto"/>
        </w:rPr>
      </w:pPr>
    </w:p>
    <w:p>
      <w:pPr>
        <w:ind w:left="4" w:right="80" w:firstLine="436"/>
        <w:spacing w:after="0" w:line="277" w:lineRule="auto"/>
        <w:tabs>
          <w:tab w:leader="none" w:pos="8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at the earliest practical moment;</w:t>
      </w:r>
    </w:p>
    <w:p>
      <w:pPr>
        <w:spacing w:after="0" w:line="170" w:lineRule="exact"/>
        <w:rPr>
          <w:rFonts w:ascii="Arial" w:cs="Arial" w:eastAsia="Arial" w:hAnsi="Arial"/>
          <w:sz w:val="18"/>
          <w:szCs w:val="18"/>
          <w:color w:val="auto"/>
        </w:rPr>
      </w:pPr>
    </w:p>
    <w:p>
      <w:pPr>
        <w:ind w:left="4" w:right="640" w:firstLine="436"/>
        <w:spacing w:after="0" w:line="342" w:lineRule="auto"/>
        <w:tabs>
          <w:tab w:leader="none" w:pos="804" w:val="left"/>
        </w:tabs>
        <w:numPr>
          <w:ilvl w:val="1"/>
          <w:numId w:val="42"/>
        </w:numPr>
        <w:rPr>
          <w:rFonts w:ascii="Arial" w:cs="Arial" w:eastAsia="Arial" w:hAnsi="Arial"/>
          <w:sz w:val="16"/>
          <w:szCs w:val="16"/>
          <w:color w:val="auto"/>
        </w:rPr>
      </w:pPr>
      <w:r>
        <w:rPr>
          <w:rFonts w:ascii="Arial" w:cs="Arial" w:eastAsia="Arial" w:hAnsi="Arial"/>
          <w:sz w:val="16"/>
          <w:szCs w:val="16"/>
          <w:color w:val="auto"/>
        </w:rPr>
        <w:t>prior to any public offering of Registrable Securities, use commercially reasonable efforts to register or qualify or cooperate with the Investors and their counsel in connection with the registration or qualification of such Registrable Securities for the offer and sale under the</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44" w:name="page45"/>
    <w:bookmarkEnd w:id="44"/>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(ii) subject itself to general taxation in any jurisdiction where it would not otherwise be so subject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or (iii) file a general consent to service of process in any such jurisdiction;</w:t>
      </w:r>
    </w:p>
    <w:p>
      <w:pPr>
        <w:spacing w:after="0" w:line="176" w:lineRule="exact"/>
        <w:rPr>
          <w:sz w:val="20"/>
          <w:szCs w:val="20"/>
          <w:color w:val="auto"/>
        </w:rPr>
      </w:pPr>
    </w:p>
    <w:p>
      <w:pPr>
        <w:ind w:right="280" w:firstLine="436"/>
        <w:spacing w:after="0" w:line="277" w:lineRule="auto"/>
        <w:tabs>
          <w:tab w:leader="none" w:pos="8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Securities covered by a Registration Statement to be listed on each securities exchange or other market on which similar securities issued by the Company are then listed or quoted;</w:t>
      </w:r>
    </w:p>
    <w:p>
      <w:pPr>
        <w:spacing w:after="0" w:line="170" w:lineRule="exact"/>
        <w:rPr>
          <w:rFonts w:ascii="Arial" w:cs="Arial" w:eastAsia="Arial" w:hAnsi="Arial"/>
          <w:sz w:val="18"/>
          <w:szCs w:val="18"/>
          <w:color w:val="auto"/>
        </w:rPr>
      </w:pPr>
    </w:p>
    <w:p>
      <w:pPr>
        <w:ind w:right="160" w:firstLine="436"/>
        <w:spacing w:after="0" w:line="257" w:lineRule="auto"/>
        <w:tabs>
          <w:tab w:leader="none" w:pos="8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 “</w:t>
      </w:r>
      <w:r>
        <w:rPr>
          <w:rFonts w:ascii="Arial" w:cs="Arial" w:eastAsia="Arial" w:hAnsi="Arial"/>
          <w:sz w:val="18"/>
          <w:szCs w:val="18"/>
          <w:b w:val="1"/>
          <w:bCs w:val="1"/>
          <w:color w:val="auto"/>
        </w:rPr>
        <w:t>Misstatement</w:t>
      </w:r>
      <w:r>
        <w:rPr>
          <w:rFonts w:ascii="Arial" w:cs="Arial" w:eastAsia="Arial" w:hAnsi="Arial"/>
          <w:sz w:val="18"/>
          <w:szCs w:val="18"/>
          <w:color w:val="auto"/>
        </w:rPr>
        <w:t>”), and promptly prepare, file with the SEC and furnish to such holder a supplement to or an amendment of such Prospectus as may be necessary so that such Prospectus shall not include such Misstatement; and</w:t>
      </w:r>
    </w:p>
    <w:p>
      <w:pPr>
        <w:spacing w:after="0" w:line="187" w:lineRule="exact"/>
        <w:rPr>
          <w:rFonts w:ascii="Arial" w:cs="Arial" w:eastAsia="Arial" w:hAnsi="Arial"/>
          <w:sz w:val="18"/>
          <w:szCs w:val="18"/>
          <w:color w:val="auto"/>
        </w:rPr>
      </w:pPr>
    </w:p>
    <w:p>
      <w:pPr>
        <w:ind w:firstLine="436"/>
        <w:spacing w:after="0" w:line="269" w:lineRule="auto"/>
        <w:tabs>
          <w:tab w:leader="none" w:pos="79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Arial" w:cs="Arial" w:eastAsia="Arial" w:hAnsi="Arial"/>
          <w:sz w:val="17"/>
          <w:szCs w:val="17"/>
          <w:u w:val="single" w:color="auto"/>
          <w:color w:val="auto"/>
        </w:rPr>
        <w:t>Section 3(i)</w:t>
      </w:r>
      <w:r>
        <w:rPr>
          <w:rFonts w:ascii="Arial" w:cs="Arial" w:eastAsia="Arial" w:hAnsi="Arial"/>
          <w:sz w:val="17"/>
          <w:szCs w:val="17"/>
          <w:color w:val="auto"/>
        </w:rPr>
        <w:t>, “</w:t>
      </w:r>
      <w:r>
        <w:rPr>
          <w:rFonts w:ascii="Arial" w:cs="Arial" w:eastAsia="Arial" w:hAnsi="Arial"/>
          <w:sz w:val="17"/>
          <w:szCs w:val="17"/>
          <w:b w:val="1"/>
          <w:bCs w:val="1"/>
          <w:color w:val="auto"/>
        </w:rPr>
        <w:t>Availability Date</w:t>
      </w:r>
      <w:r>
        <w:rPr>
          <w:rFonts w:ascii="Arial" w:cs="Arial" w:eastAsia="Arial" w:hAnsi="Arial"/>
          <w:sz w:val="17"/>
          <w:szCs w:val="17"/>
          <w:color w:val="auto"/>
        </w:rPr>
        <w:t>” means the 45th day following the end of the fourth fiscal quarter that includes the effective date of such Registration Statement, except that, if such fourth fiscal quarter is the last quarter of the Company’s fiscal year, “</w:t>
      </w:r>
      <w:r>
        <w:rPr>
          <w:rFonts w:ascii="Arial" w:cs="Arial" w:eastAsia="Arial" w:hAnsi="Arial"/>
          <w:sz w:val="17"/>
          <w:szCs w:val="17"/>
          <w:b w:val="1"/>
          <w:bCs w:val="1"/>
          <w:color w:val="auto"/>
        </w:rPr>
        <w:t>Availability Date</w:t>
      </w:r>
      <w:r>
        <w:rPr>
          <w:rFonts w:ascii="Arial" w:cs="Arial" w:eastAsia="Arial" w:hAnsi="Arial"/>
          <w:sz w:val="17"/>
          <w:szCs w:val="17"/>
          <w:color w:val="auto"/>
        </w:rPr>
        <w:t>” means the 90th day after the end of such fourth fiscal quarter).</w:t>
      </w:r>
    </w:p>
    <w:p>
      <w:pPr>
        <w:spacing w:after="0" w:line="18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or (B) such date as all of the Registrable Securities shall have been resold pursuant to a Registration Statement or Rule 144; (ii) file with the SEC in a timely manner all reports and other documents required of the Company under the 1934 Act; (iii) prior to the filing of any Registration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5" w:name="page46"/>
    <w:bookmarkEnd w:id="45"/>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 or any amendment thereto (whether pre-effective or post-effective) and prior to the filing of any Prospectus, provide to each Investor copies of all pages thereof (if any) that reference such Investors, and (iv)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269" w:lineRule="exact"/>
        <w:rPr>
          <w:sz w:val="20"/>
          <w:szCs w:val="20"/>
          <w:color w:val="auto"/>
        </w:rPr>
      </w:pPr>
    </w:p>
    <w:p>
      <w:pPr>
        <w:ind w:left="324" w:hanging="324"/>
        <w:spacing w:after="0"/>
        <w:tabs>
          <w:tab w:leader="none" w:pos="32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OBLIGATION OF THE INVESTORS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436"/>
        <w:spacing w:after="0" w:line="267" w:lineRule="auto"/>
        <w:tabs>
          <w:tab w:leader="none" w:pos="824"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Each Investor agrees to furnish to the Company a completed Selling Investor Questionnaire within ten (10) Trading Days after the Effective Date. At least ten (10) Trading Days prior to the first anticipated filing date of a Registration Statement for any registration under this Agreement, the Company will notify each Investor of the information the Company reasonably requires from that Investor regarding itself, the Registrable Securities held by it and the intended method of disposition of the Registrable Securities held by it, other than the information contained in the Selling Investor Questionnaire, if any. Each Investor shall furnish such information to the Company in writing promptly upon receiving such notification and, in any event, at least two (2) Trading Days prior to the applicable anticipated filing date (unless such Investor has notified the Company in writing of its election to exclude all of its Registrable Securities from such Registration Statement) and shall execute such documents in connection with such registration as the Company may reasonably request. Each Investor further agrees that it shall not be entitled to be named as a selling securityholder in the Registration Statement or use the Prospectus for offers and resales of Registrable Securities at any time, unless such Investor has returned to the Company a completed and signed Selling Investor Questionnaire and a response to any reasonable requests for further information as described in the previous sentence. If an Investor returns a Selling Investor Questionnaire or a request for further information, in either case, after its respective deadline, the Company shall use its reasonable best efforts to take such actions as are required to name such Investor as a selling security holder in the Registration Statement or any pre-effective or post-effective amendment thereto and to include (to the extent not theretofore included) in the Registration Statement the Registrable Securities identified in such late Selling Investor Questionnaire or request for further information. Each Investor acknowledges and agrees that the information in the Selling Investor Questionnaire or request for further information as described in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will be used by the Company in the preparation of the Registration Statement and hereby consents to the inclusion of such information in the Registration Statement.</w:t>
      </w:r>
    </w:p>
    <w:p>
      <w:pPr>
        <w:spacing w:after="0" w:line="191" w:lineRule="exact"/>
        <w:rPr>
          <w:rFonts w:ascii="Arial" w:cs="Arial" w:eastAsia="Arial" w:hAnsi="Arial"/>
          <w:sz w:val="17"/>
          <w:szCs w:val="17"/>
          <w:color w:val="auto"/>
        </w:rPr>
      </w:pPr>
    </w:p>
    <w:p>
      <w:pPr>
        <w:ind w:left="824" w:hanging="384"/>
        <w:spacing w:after="0"/>
        <w:tabs>
          <w:tab w:leader="none" w:pos="8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60" w:firstLine="436"/>
        <w:spacing w:after="0" w:line="263" w:lineRule="auto"/>
        <w:tabs>
          <w:tab w:leader="none" w:pos="8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83" w:lineRule="exact"/>
        <w:rPr>
          <w:rFonts w:ascii="Arial" w:cs="Arial" w:eastAsia="Arial" w:hAnsi="Arial"/>
          <w:sz w:val="18"/>
          <w:szCs w:val="18"/>
          <w:color w:val="auto"/>
        </w:rPr>
      </w:pPr>
    </w:p>
    <w:p>
      <w:pPr>
        <w:ind w:left="4" w:right="260" w:firstLine="436"/>
        <w:spacing w:after="0" w:line="277" w:lineRule="auto"/>
        <w:tabs>
          <w:tab w:leader="none" w:pos="8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Each Investor agrees that, upon receipt of any notice from the Company of either (i) the commencement of an Allowed Delay pursuant to </w:t>
      </w:r>
      <w:r>
        <w:rPr>
          <w:rFonts w:ascii="Arial" w:cs="Arial" w:eastAsia="Arial" w:hAnsi="Arial"/>
          <w:sz w:val="18"/>
          <w:szCs w:val="18"/>
          <w:u w:val="single" w:color="auto"/>
          <w:color w:val="auto"/>
        </w:rPr>
        <w:t>Section 2(c)(i)</w:t>
      </w:r>
      <w:r>
        <w:rPr>
          <w:rFonts w:ascii="Arial" w:cs="Arial" w:eastAsia="Arial" w:hAnsi="Arial"/>
          <w:sz w:val="18"/>
          <w:szCs w:val="18"/>
          <w:color w:val="auto"/>
        </w:rPr>
        <w:t xml:space="preserve"> or (ii) the happening of an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46" w:name="page47"/>
    <w:bookmarkEnd w:id="46"/>
    <w:p>
      <w:pPr>
        <w:ind w:left="4"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event pursuant to </w:t>
      </w:r>
      <w:r>
        <w:rPr>
          <w:rFonts w:ascii="Arial" w:cs="Arial" w:eastAsia="Arial" w:hAnsi="Arial"/>
          <w:sz w:val="16"/>
          <w:szCs w:val="16"/>
          <w:u w:val="single" w:color="auto"/>
          <w:color w:val="auto"/>
        </w:rPr>
        <w:t>Section 3(h)</w:t>
      </w:r>
      <w:r>
        <w:rPr>
          <w:rFonts w:ascii="Arial" w:cs="Arial" w:eastAsia="Arial" w:hAnsi="Arial"/>
          <w:sz w:val="16"/>
          <w:szCs w:val="16"/>
          <w:color w:val="auto"/>
        </w:rPr>
        <w:t xml:space="preserve"> hereof, such Investor will immediately discontinue disposition of Registrable Securities pursuant to any Registration Statement covering such Registrable Securities (but not, for the avoidance of doubt, pursuant to Rule 144 or other applicable exemption under the 1933 Act), until the Investor is advised by the Company that such dispositions may again be made pursuant to such Registration Statement.</w:t>
      </w:r>
    </w:p>
    <w:p>
      <w:pPr>
        <w:spacing w:after="0" w:line="257" w:lineRule="exact"/>
        <w:rPr>
          <w:sz w:val="20"/>
          <w:szCs w:val="20"/>
          <w:color w:val="auto"/>
        </w:rPr>
      </w:pPr>
    </w:p>
    <w:p>
      <w:pPr>
        <w:ind w:left="324" w:hanging="324"/>
        <w:spacing w:after="0"/>
        <w:tabs>
          <w:tab w:leader="none" w:pos="32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36"/>
        <w:spacing w:after="0" w:line="268" w:lineRule="auto"/>
        <w:tabs>
          <w:tab w:leader="none" w:pos="824"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agrees to indemnify and hold harmless each Investor, and each of its officers, employees, Affiliates, directors, partners, members, managers, equityholders, attorneys, advisors and agents, and each person or entity, if any, who controls (within the meaning of Section 15 of the 1933 Act or Section 20 of the 1934 Act) each Investor (each, an “</w:t>
      </w:r>
      <w:r>
        <w:rPr>
          <w:rFonts w:ascii="Arial" w:cs="Arial" w:eastAsia="Arial" w:hAnsi="Arial"/>
          <w:sz w:val="17"/>
          <w:szCs w:val="17"/>
          <w:b w:val="1"/>
          <w:bCs w:val="1"/>
          <w:color w:val="auto"/>
        </w:rPr>
        <w:t>Investor Indemnified Party</w:t>
      </w:r>
      <w:r>
        <w:rPr>
          <w:rFonts w:ascii="Arial" w:cs="Arial" w:eastAsia="Arial" w:hAnsi="Arial"/>
          <w:sz w:val="17"/>
          <w:szCs w:val="17"/>
          <w:color w:val="auto"/>
        </w:rPr>
        <w:t>”), to the fullest extent permitted by applicable law, from and against any expenses, losses, judgments, actions, claims, proceedings (whether commenced or threatened), damages, liabilities or costs (including, without limitation, reasonable attorneys’ fees), whether joint or several (collectively, “</w:t>
      </w:r>
      <w:r>
        <w:rPr>
          <w:rFonts w:ascii="Arial" w:cs="Arial" w:eastAsia="Arial" w:hAnsi="Arial"/>
          <w:sz w:val="17"/>
          <w:szCs w:val="17"/>
          <w:b w:val="1"/>
          <w:bCs w:val="1"/>
          <w:color w:val="auto"/>
        </w:rPr>
        <w:t>Losses</w:t>
      </w:r>
      <w:r>
        <w:rPr>
          <w:rFonts w:ascii="Arial" w:cs="Arial" w:eastAsia="Arial" w:hAnsi="Arial"/>
          <w:sz w:val="17"/>
          <w:szCs w:val="17"/>
          <w:color w:val="auto"/>
        </w:rPr>
        <w:t xml:space="preserve">”), as incurred, arising out of or based upon any Misstatement contained in any Registration Statement under which the sale of such Registrable Securities was registered under the 1933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1933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Investor Indemnified Party for any reasonable, customary and documented out-of-pocket legal and any other expenses incurred, as incurred, by such Investor Indemnified Party in connection with investigating and defending any such Losses, except, with respect to any Investor of Registrable Securities, to the extent such Investor is liable to indemnify the Company for such Losses pursuant to </w:t>
      </w:r>
      <w:r>
        <w:rPr>
          <w:rFonts w:ascii="Arial" w:cs="Arial" w:eastAsia="Arial" w:hAnsi="Arial"/>
          <w:sz w:val="17"/>
          <w:szCs w:val="17"/>
          <w:u w:val="single" w:color="auto"/>
          <w:color w:val="auto"/>
        </w:rPr>
        <w:t>Section 5(b)</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4" w:right="80" w:firstLine="436"/>
        <w:spacing w:after="0" w:line="287" w:lineRule="auto"/>
        <w:tabs>
          <w:tab w:leader="none" w:pos="834"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Indemnification by Investors</w:t>
      </w:r>
      <w:r>
        <w:rPr>
          <w:rFonts w:ascii="Arial" w:cs="Arial" w:eastAsia="Arial" w:hAnsi="Arial"/>
          <w:sz w:val="16"/>
          <w:szCs w:val="16"/>
          <w:color w:val="auto"/>
        </w:rPr>
        <w:t>. Each Selling Investor will, in the event that any Registration is being effected under the 1933 Act pursuant to this Agreement of any Registrable Securities held by such Investor and the Company has required all Selling Investors to provide such an undertaking on the same terms, indemnify and hold harmless the Company, each of its directors and officers and each Underwriter (if any), and each other Selling Investor and each other person, if any, who controls another Selling Investor or such underwriter within the meaning of the 1933 Act, against any Losses, insofar as such Losses arise out of or are based upon any Misstatement contained in any Registration Statement under which the sale of such Registrable Securities was Registered under the 1933 Act, any preliminary Prospectus, final Prospectus or summary Prospectus contained in the Registration Statement, or any amendment or supplement thereto, if the Misstatement was made in reliance upon and in conformity with information furnished in writing to the Company by such Selling Investor expressly for use therein, and shall reimburse the Company, its directors and officers, and each other Selling Investor for any reasonable, customary and documented out-of-pocket legal or other expenses incurred by any of them in connection with investigation or defending any such Loss. Each Selling Investor’s indemnification obligations hereunder shall be several and not joint and shall be proportional to and limited to the amount of any net proceeds (after payment of any underwriting fees, discounts, commissions or taxes) actually received by such Selling Investor in connection with the sale of Registrable Securities under a Registration Statement from which such Losses arise.</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47" w:name="page48"/>
    <w:bookmarkEnd w:id="47"/>
    <w:p>
      <w:pPr>
        <w:ind w:firstLine="436"/>
        <w:spacing w:after="0" w:line="285" w:lineRule="auto"/>
        <w:tabs>
          <w:tab w:leader="none" w:pos="82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Conduct of Indemnification Proceedings</w:t>
      </w:r>
      <w:r>
        <w:rPr>
          <w:rFonts w:ascii="Arial" w:cs="Arial" w:eastAsia="Arial" w:hAnsi="Arial"/>
          <w:sz w:val="16"/>
          <w:szCs w:val="16"/>
          <w:color w:val="auto"/>
        </w:rPr>
        <w:t xml:space="preserve">. Promptly after receipt by any person of any notice of any Loss in respect of which indemnity may be sought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5</w:t>
      </w:r>
      <w:r>
        <w:rPr>
          <w:rFonts w:ascii="Arial" w:cs="Arial" w:eastAsia="Arial" w:hAnsi="Arial"/>
          <w:sz w:val="16"/>
          <w:szCs w:val="16"/>
          <w:u w:val="single" w:color="auto"/>
          <w:color w:val="auto"/>
        </w:rPr>
        <w:t>(b)</w:t>
      </w:r>
      <w:r>
        <w:rPr>
          <w:rFonts w:ascii="Arial" w:cs="Arial" w:eastAsia="Arial" w:hAnsi="Arial"/>
          <w:sz w:val="16"/>
          <w:szCs w:val="16"/>
          <w:color w:val="auto"/>
        </w:rPr>
        <w:t>,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in writing of the Loss;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by the Indemnified Party to notify the Indemnifying Party shall not relieve the Indemnifying Party from any liability which the Indemnifying Party may have to such Indemnified Party hereunder, except and solely to the extent the Indemnifying Party is actually and materially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reasonably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action in which both the Indemnified Party and the Indemnifying Party are named as defendants, the Indemnified Party shall have the right to employ separate counsel (but no more than one such separate counsel, in addition to local counsel) to represent the Indemnified Party and its controlling persons who may be subject to liability arising out of any claim in respect of which indemnity may be sought by the Indemnified Party against the Indemnifying Party, with the reasonable and documented fees and expenses of such counsel to be paid by such Indemnifying Party if, based upon the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any Losses for which the Indemnified Party seeks indemnification hereunder if such settlement or judgment includes any non-monetary remedies binding on the Indemnified Party, requires an admission of fault or culpability on the part of the Indemnified Party or does not include an unconditional release from all liability of the Indemnified Party in respect of such Losses.</w:t>
      </w:r>
    </w:p>
    <w:p>
      <w:pPr>
        <w:spacing w:after="0" w:line="168" w:lineRule="exact"/>
        <w:rPr>
          <w:rFonts w:ascii="Arial" w:cs="Arial" w:eastAsia="Arial" w:hAnsi="Arial"/>
          <w:sz w:val="16"/>
          <w:szCs w:val="16"/>
          <w:color w:val="auto"/>
        </w:rPr>
      </w:pPr>
    </w:p>
    <w:p>
      <w:pPr>
        <w:ind w:right="40" w:firstLine="436"/>
        <w:spacing w:after="0" w:line="270" w:lineRule="auto"/>
        <w:tabs>
          <w:tab w:leader="none" w:pos="83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the foregoing </w:t>
      </w:r>
      <w:r>
        <w:rPr>
          <w:rFonts w:ascii="Arial" w:cs="Arial" w:eastAsia="Arial" w:hAnsi="Arial"/>
          <w:sz w:val="17"/>
          <w:szCs w:val="17"/>
          <w:u w:val="single" w:color="auto"/>
          <w:color w:val="auto"/>
        </w:rPr>
        <w:t>Sections 5(a)</w:t>
      </w:r>
      <w:r>
        <w:rPr>
          <w:rFonts w:ascii="Arial" w:cs="Arial" w:eastAsia="Arial" w:hAnsi="Arial"/>
          <w:sz w:val="17"/>
          <w:szCs w:val="17"/>
          <w:color w:val="auto"/>
        </w:rPr>
        <w:t xml:space="preserve"> and 5</w:t>
      </w:r>
      <w:r>
        <w:rPr>
          <w:rFonts w:ascii="Arial" w:cs="Arial" w:eastAsia="Arial" w:hAnsi="Arial"/>
          <w:sz w:val="17"/>
          <w:szCs w:val="17"/>
          <w:u w:val="single" w:color="auto"/>
          <w:color w:val="auto"/>
        </w:rPr>
        <w:t>(b)</w:t>
      </w:r>
      <w:r>
        <w:rPr>
          <w:rFonts w:ascii="Arial" w:cs="Arial" w:eastAsia="Arial" w:hAnsi="Arial"/>
          <w:sz w:val="17"/>
          <w:szCs w:val="17"/>
          <w:color w:val="auto"/>
        </w:rPr>
        <w:t xml:space="preserve"> is unavailable to any Indemnified Party in respect of any Loss referred to herein, then each such Indemnifying Party, in lieu of indemnifying such Indemnified Party, shall contribute to the amount paid or payable by such Indemnified Party as a result of such Loss in such proportion as is appropriate to reflect the relative fault of the Indemnified Parties and the Indemnifying Parties in connection with the actions or omissions which resulted in such Loss. The relative fault of any Indemnified Party and any Indemnifying Party shall be determined by reference to, among other things, whether the Misstatement relates to information supplied by such Indemnified Party or such Indemnifying Party (in the case of an Investor, such Misstatement was made in reliance upon and in conformity with information furnished in writing to the Company by such Investor expressly for use therein) and the parties’ relative intent, knowledge, access to information and opportunity to correct or prevent such Misstatement. The parties hereto agree that it would not be just and equitable if contribution pursuant to this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were determined by </w:t>
      </w:r>
      <w:r>
        <w:rPr>
          <w:rFonts w:ascii="Arial" w:cs="Arial" w:eastAsia="Arial" w:hAnsi="Arial"/>
          <w:sz w:val="17"/>
          <w:szCs w:val="17"/>
          <w:i w:val="1"/>
          <w:iCs w:val="1"/>
          <w:color w:val="auto"/>
        </w:rPr>
        <w:t>pro rata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48" w:name="page49"/>
    <w:bookmarkEnd w:id="48"/>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allocation or by any other method of allocation which does not take account of the equitable considerations referred to in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The amount paid or payable by an Indemnified Party as a result of any Loss referred to in this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5(d)</w:t>
      </w:r>
      <w:r>
        <w:rPr>
          <w:rFonts w:ascii="Arial" w:cs="Arial" w:eastAsia="Arial" w:hAnsi="Arial"/>
          <w:sz w:val="16"/>
          <w:szCs w:val="16"/>
          <w:color w:val="auto"/>
        </w:rPr>
        <w:t>, no Investor shall be required to contribute any amount in excess of the dollar amount of the net proceeds (after payment of any underwriting fees, discounts, commissions or taxes) actually received by such Investor from the sale of Registrable Securities which gave rise to such contribution obligation, less the aggregate amount of any damages or other amounts such Investor has otherwise been required to pay (pursuant to Section 5(b) otherwise) as a result of the Misstatement. No person guilty of fraudulent misrepresentation (within the meaning of Section 11(f) of the 1933 Act) shall be entitled to contribution from any person who was not guilty of such fraudulent misrepresentation.</w:t>
      </w:r>
    </w:p>
    <w:p>
      <w:pPr>
        <w:spacing w:after="0" w:line="273" w:lineRule="exact"/>
        <w:rPr>
          <w:sz w:val="20"/>
          <w:szCs w:val="20"/>
          <w:color w:val="auto"/>
        </w:rPr>
      </w:pPr>
    </w:p>
    <w:p>
      <w:pPr>
        <w:ind w:left="324" w:hanging="324"/>
        <w:spacing w:after="0"/>
        <w:tabs>
          <w:tab w:leader="none" w:pos="3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rFonts w:ascii="Arial" w:cs="Arial" w:eastAsia="Arial" w:hAnsi="Arial"/>
          <w:sz w:val="18"/>
          <w:szCs w:val="18"/>
          <w:color w:val="auto"/>
        </w:rPr>
      </w:pPr>
    </w:p>
    <w:p>
      <w:pPr>
        <w:ind w:left="824" w:hanging="384"/>
        <w:spacing w:after="0"/>
        <w:tabs>
          <w:tab w:leader="none" w:pos="824"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 effective as of the Effective Date.</w:t>
      </w:r>
    </w:p>
    <w:p>
      <w:pPr>
        <w:spacing w:after="0" w:line="225" w:lineRule="exact"/>
        <w:rPr>
          <w:rFonts w:ascii="Arial" w:cs="Arial" w:eastAsia="Arial" w:hAnsi="Arial"/>
          <w:sz w:val="18"/>
          <w:szCs w:val="18"/>
          <w:color w:val="auto"/>
        </w:rPr>
      </w:pPr>
    </w:p>
    <w:p>
      <w:pPr>
        <w:ind w:left="4" w:right="180" w:firstLine="436"/>
        <w:spacing w:after="0" w:line="275" w:lineRule="auto"/>
        <w:tabs>
          <w:tab w:leader="none" w:pos="834"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w:t>
      </w:r>
    </w:p>
    <w:p>
      <w:pPr>
        <w:spacing w:after="0" w:line="176" w:lineRule="exact"/>
        <w:rPr>
          <w:rFonts w:ascii="Arial" w:cs="Arial" w:eastAsia="Arial" w:hAnsi="Arial"/>
          <w:sz w:val="17"/>
          <w:szCs w:val="17"/>
          <w:color w:val="auto"/>
        </w:rPr>
      </w:pPr>
    </w:p>
    <w:p>
      <w:pPr>
        <w:ind w:left="4" w:right="120" w:firstLine="436"/>
        <w:spacing w:after="0" w:line="311" w:lineRule="auto"/>
        <w:tabs>
          <w:tab w:leader="none" w:pos="824"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under the terms of this Agreement must be in writing and will be deemed to have been delivered upon receipt, when delivered personally or by a nationally recognized overnight delivery service or by e-mail, in each case properly addressed to the party to receive the same. The addresses for such communications shall be:</w:t>
      </w:r>
    </w:p>
    <w:p>
      <w:pPr>
        <w:spacing w:after="0" w:line="14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Dr. Carole Ben-Maimon, M.D.</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cbenmaimon@larimartx.com</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4" w:right="499" w:bottom="1440" w:gutter="0" w:footer="0" w:header="0"/>
        </w:sectPr>
      </w:pPr>
    </w:p>
    <w:bookmarkStart w:id="49" w:name="page50"/>
    <w:bookmarkEnd w:id="4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Pepper Hamilton,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Rachael M. Bushey and Jennifer Porter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busheyr@pepperlaw.com; porterj@pepperlaw.com</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to an Investor, to it at the address set forth under such Investor’s name on its signature page hereto, or, in the case of an Investor or any other party named above, at such other address or to the attention of such other Person as the recipient party has specified by written notice given to each other party five (5) days prior to the effectiveness of such change. Written confirmation of receipt (i) given by the recipient of such notice, consent, waiver or other communication; (ii) provided by affidavit of personal delivery by a delivery service selected by the Company; or (iii) provided by a nationally recognized overnight delivery service shall be rebuttable evidence of personal service, deposit with a nationally recognized overnight delivery service or electronic transmission.</w:t>
      </w:r>
    </w:p>
    <w:p>
      <w:pPr>
        <w:spacing w:after="0" w:line="192" w:lineRule="exact"/>
        <w:rPr>
          <w:sz w:val="20"/>
          <w:szCs w:val="20"/>
          <w:color w:val="auto"/>
        </w:rPr>
      </w:pPr>
    </w:p>
    <w:p>
      <w:pPr>
        <w:ind w:firstLine="436"/>
        <w:spacing w:after="0" w:line="257" w:lineRule="auto"/>
        <w:tabs>
          <w:tab w:leader="none" w:pos="83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Investors</w:t>
      </w:r>
      <w:r>
        <w:rPr>
          <w:rFonts w:ascii="Arial" w:cs="Arial" w:eastAsia="Arial" w:hAnsi="Arial"/>
          <w:sz w:val="18"/>
          <w:szCs w:val="18"/>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provides written notice of assignment to the Company promptly after such assignment is effected, and such person agrees in writing to be bound by all of the provisions contained herein.</w:t>
      </w:r>
    </w:p>
    <w:p>
      <w:pPr>
        <w:spacing w:after="0" w:line="187" w:lineRule="exact"/>
        <w:rPr>
          <w:rFonts w:ascii="Arial" w:cs="Arial" w:eastAsia="Arial" w:hAnsi="Arial"/>
          <w:sz w:val="18"/>
          <w:szCs w:val="18"/>
          <w:color w:val="auto"/>
        </w:rPr>
      </w:pPr>
    </w:p>
    <w:p>
      <w:pPr>
        <w:ind w:firstLine="436"/>
        <w:spacing w:after="0" w:line="254"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94" w:lineRule="exact"/>
        <w:rPr>
          <w:rFonts w:ascii="Arial" w:cs="Arial" w:eastAsia="Arial" w:hAnsi="Arial"/>
          <w:sz w:val="18"/>
          <w:szCs w:val="18"/>
          <w:color w:val="auto"/>
        </w:rPr>
      </w:pPr>
    </w:p>
    <w:p>
      <w:pPr>
        <w:jc w:val="both"/>
        <w:ind w:right="180" w:firstLine="436"/>
        <w:spacing w:after="0" w:line="259"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(including Section 5 hereof).</w:t>
      </w:r>
    </w:p>
    <w:p>
      <w:pPr>
        <w:spacing w:after="0" w:line="186" w:lineRule="exact"/>
        <w:rPr>
          <w:rFonts w:ascii="Arial" w:cs="Arial" w:eastAsia="Arial" w:hAnsi="Arial"/>
          <w:sz w:val="18"/>
          <w:szCs w:val="18"/>
          <w:color w:val="auto"/>
        </w:rPr>
      </w:pPr>
    </w:p>
    <w:p>
      <w:pPr>
        <w:ind w:firstLine="436"/>
        <w:spacing w:after="0" w:line="259" w:lineRule="auto"/>
        <w:tabs>
          <w:tab w:leader="none" w:pos="83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 Execution</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A PDF or other reproduction of this Agreement may be executed by one or more parties hereto, and an executed copy of this Agreement may be delivered by one or more parties hereto by e-mail or other electronic transmission device pursuant to which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50" w:name="page51"/>
    <w:bookmarkEnd w:id="50"/>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187" w:lineRule="exact"/>
        <w:rPr>
          <w:sz w:val="20"/>
          <w:szCs w:val="20"/>
          <w:color w:val="auto"/>
        </w:rPr>
      </w:pPr>
    </w:p>
    <w:p>
      <w:pPr>
        <w:ind w:right="340" w:firstLine="436"/>
        <w:spacing w:after="0" w:line="277" w:lineRule="auto"/>
        <w:tabs>
          <w:tab w:leader="none" w:pos="83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Agreement are for convenience of reference and shall not form part of, or affect the interpretation of, this Agreement.</w:t>
      </w:r>
    </w:p>
    <w:p>
      <w:pPr>
        <w:spacing w:after="0" w:line="170" w:lineRule="exact"/>
        <w:rPr>
          <w:rFonts w:ascii="Arial" w:cs="Arial" w:eastAsia="Arial" w:hAnsi="Arial"/>
          <w:sz w:val="18"/>
          <w:szCs w:val="18"/>
          <w:color w:val="auto"/>
        </w:rPr>
      </w:pPr>
    </w:p>
    <w:p>
      <w:pPr>
        <w:ind w:right="40" w:firstLine="436"/>
        <w:spacing w:after="0" w:line="279" w:lineRule="auto"/>
        <w:tabs>
          <w:tab w:leader="none" w:pos="79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1" w:lineRule="exact"/>
        <w:rPr>
          <w:rFonts w:ascii="Arial" w:cs="Arial" w:eastAsia="Arial" w:hAnsi="Arial"/>
          <w:sz w:val="17"/>
          <w:szCs w:val="17"/>
          <w:color w:val="auto"/>
        </w:rPr>
      </w:pPr>
    </w:p>
    <w:p>
      <w:pPr>
        <w:ind w:right="180" w:firstLine="436"/>
        <w:spacing w:after="0" w:line="342" w:lineRule="auto"/>
        <w:tabs>
          <w:tab w:leader="none" w:pos="79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3" w:lineRule="exact"/>
        <w:rPr>
          <w:rFonts w:ascii="Arial" w:cs="Arial" w:eastAsia="Arial" w:hAnsi="Arial"/>
          <w:sz w:val="16"/>
          <w:szCs w:val="16"/>
          <w:color w:val="auto"/>
        </w:rPr>
      </w:pPr>
    </w:p>
    <w:p>
      <w:pPr>
        <w:ind w:right="200" w:firstLine="436"/>
        <w:spacing w:after="0" w:line="277" w:lineRule="auto"/>
        <w:tabs>
          <w:tab w:leader="none" w:pos="83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thereto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ind w:right="460" w:firstLine="436"/>
        <w:spacing w:after="0" w:line="286" w:lineRule="auto"/>
        <w:tabs>
          <w:tab w:leader="none" w:pos="79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65" w:lineRule="exact"/>
        <w:rPr>
          <w:rFonts w:ascii="Arial" w:cs="Arial" w:eastAsia="Arial" w:hAnsi="Arial"/>
          <w:sz w:val="17"/>
          <w:szCs w:val="17"/>
          <w:color w:val="auto"/>
        </w:rPr>
      </w:pPr>
    </w:p>
    <w:p>
      <w:pPr>
        <w:ind w:firstLine="436"/>
        <w:spacing w:after="0" w:line="288"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 that would cause the application of the laws of any jurisdiction other than the State of Delaware. Each party hereby irrevocably submits to the exclusive jurisdiction of the courts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51" w:name="page52"/>
    <w:bookmarkEnd w:id="5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process in any manner permitted by law. EACH OF THE PARTIES HERETO IRREVOCABLY WAIVES ANY RIGHT TO REQUEST A TRIAL BY JURY FOR THE ADJUDICATION OF ANY DISPUTE HEREUNDER OR IN CONNECTION HEREWITH OR ARISING OUT OF THIS AGREEMENT AND REPRESENTS THAT COUNSEL HAS BEEN CONSULTED SPECIFICALLY AS TO THIS WAIVER.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440" w:top="274" w:right="599" w:bottom="1440" w:gutter="0" w:footer="0" w:header="0"/>
        </w:sectPr>
      </w:pPr>
    </w:p>
    <w:bookmarkStart w:id="52" w:name="page53"/>
    <w:bookmarkEnd w:id="5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3660" w:right="1040" w:firstLine="2943"/>
        <w:spacing w:after="0" w:line="433" w:lineRule="auto"/>
        <w:rPr>
          <w:sz w:val="20"/>
          <w:szCs w:val="20"/>
          <w:color w:val="auto"/>
        </w:rPr>
      </w:pPr>
      <w:r>
        <w:rPr>
          <w:rFonts w:ascii="Arial" w:cs="Arial" w:eastAsia="Arial" w:hAnsi="Arial"/>
          <w:sz w:val="18"/>
          <w:szCs w:val="18"/>
          <w:color w:val="auto"/>
        </w:rPr>
        <w:t>Title: President and Chief Executive Officer [Signature Page to Registration Rights Agreement]</w:t>
      </w:r>
    </w:p>
    <w:p>
      <w:pPr>
        <w:sectPr>
          <w:pgSz w:w="11900" w:h="16838" w:orient="portrait"/>
          <w:cols w:equalWidth="0" w:num="1">
            <w:col w:w="10980"/>
          </w:cols>
          <w:pgMar w:left="440" w:top="270" w:right="479" w:bottom="1440" w:gutter="0" w:footer="0" w:header="0"/>
        </w:sectPr>
      </w:pPr>
    </w:p>
    <w:bookmarkStart w:id="53" w:name="page54"/>
    <w:bookmarkEnd w:id="53"/>
    <w:p>
      <w:pPr>
        <w:jc w:val="center"/>
        <w:ind w:right="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308610</wp:posOffset>
            </wp:positionV>
            <wp:extent cx="27946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303530</wp:posOffset>
            </wp:positionV>
            <wp:extent cx="27946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Date Signed</w:t>
      </w:r>
    </w:p>
    <w:p>
      <w:pPr>
        <w:sectPr>
          <w:pgSz w:w="11900" w:h="16838" w:orient="portrait"/>
          <w:cols w:equalWidth="0" w:num="1">
            <w:col w:w="9140"/>
          </w:cols>
          <w:pgMar w:left="1440" w:top="270" w:right="131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short sales effected after the date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or supplement to this prospectus under Rule 424(b)(3) or other applicable provision of the 1933 Act amending the list of selling stockholders to include the pledgee, transferee or other successors in interest as selling</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55" w:name="page56"/>
    <w:bookmarkEnd w:id="55"/>
    <w:p>
      <w:pPr>
        <w:ind w:right="3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(supplemented or amended as necessary to reflect such transaction).</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selling stockholders also may resell all or a portion of the shares in open market transactions in reliance upon Rule 144 under the 1933 Act</w:t>
      </w:r>
    </w:p>
    <w:p>
      <w:pPr>
        <w:spacing w:after="0" w:line="23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deemed to be “underwriters” within the meaning of Section 2(11) of the 1933 Act. Any discounts, commissions, concessions or profit they earn on any resale of the shares may be underwriting discounts and commissions under the 1933 Act. 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order to comply with the securities laws of some states, if applicable, the common stock may be sold in these jurisdictions only through registered or licensed brokers or dealers. We have advised the selling stockholders that the anti-manipulation rules of Regulation M under the 1934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any prospectus delivery requirements of the 1933 Act. The selling stockholders may indemnify any broker-dealer that participates in transactions involving the sale of the shares against certain liabilities, including liabilities arising under the 1933 Act.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56" w:name="page57"/>
    <w:bookmarkEnd w:id="56"/>
    <w:p>
      <w:pPr>
        <w:ind w:left="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have agreed to indemnify the selling stockholders against liabilities, including liabilities under the 1933 Act and state securities laws, relating to the registration of the shares offered by this prospectus.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have agreed with the selling stockholders to keep the registration statement of which this prospectus constitutes a part effective until the earlier of</w:t>
      </w:r>
    </w:p>
    <w:p>
      <w:pPr>
        <w:spacing w:after="0" w:line="46" w:lineRule="exact"/>
        <w:rPr>
          <w:sz w:val="20"/>
          <w:szCs w:val="20"/>
          <w:color w:val="auto"/>
        </w:rPr>
      </w:pPr>
    </w:p>
    <w:p>
      <w:pPr>
        <w:ind w:left="264" w:hanging="264"/>
        <w:spacing w:after="0"/>
        <w:tabs>
          <w:tab w:leader="none" w:pos="264"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such time as all of the shares covered by this prospectus have been disposed of pursuant to and in accordance with such registration statement or</w:t>
      </w:r>
    </w:p>
    <w:p>
      <w:pPr>
        <w:spacing w:after="0" w:line="32" w:lineRule="exact"/>
        <w:rPr>
          <w:rFonts w:ascii="Arial" w:cs="Arial" w:eastAsia="Arial" w:hAnsi="Arial"/>
          <w:sz w:val="16"/>
          <w:szCs w:val="16"/>
          <w:color w:val="auto"/>
        </w:rPr>
      </w:pPr>
    </w:p>
    <w:p>
      <w:pPr>
        <w:ind w:left="4" w:hanging="4"/>
        <w:spacing w:after="0" w:line="260" w:lineRule="auto"/>
        <w:tabs>
          <w:tab w:leader="none" w:pos="2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all of the shares may be sold by the selling stockholders without restriction (including any current public information requirement) pursuant to Rule 144 of the 1933 Act.</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We hereby consent to the incorporation by reference in this Registration Statement on Form S-3 of Larimar Therapeutics, Inc. of our report dated March 6, 2020, relating to the financial statements of Chondrial Therapeutics, Inc., which appears in Larimar Therapeutics, Inc.’s Current Report on Form 8-K/A filed on June 26, 2020. We also consent to the reference to us under the heading “Experts” in such Registration Statement.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ectPr>
          <w:pgSz w:w="11900" w:h="16838" w:orient="portrait"/>
          <w:cols w:equalWidth="0" w:num="1">
            <w:col w:w="11020"/>
          </w:cols>
          <w:pgMar w:left="440" w:top="121" w:right="4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S-3 of Larimar Therapeutics, Inc. of our report dated March 5, 2020, relating to the financial statements of Zafgen, Inc., which appears in Zafgen, Inc’s Annual Report on Form 10-K for the year ended December 31, 2019. We also consent to the reference to us under the heading “Experts” in such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lowerRoman"/>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5"/>
    </w:lvl>
    <w:lvl w:ilvl="1">
      <w:lvlJc w:val="left"/>
      <w:lvlText w:val="%2"/>
      <w:numFmt w:val="upperLetter"/>
      <w:start w:val="35"/>
    </w:lvl>
  </w:abstractNum>
  <w:abstractNum w:abstractNumId="7">
    <w:nsid w:val="3A95F874"/>
    <w:multiLevelType w:val="hybridMultilevel"/>
    <w:lvl w:ilvl="0">
      <w:lvlJc w:val="left"/>
      <w:lvlText w:val="%1"/>
      <w:numFmt w:val="decimal"/>
      <w:start w:val="1"/>
    </w:lvl>
    <w:lvl w:ilvl="1">
      <w:lvlJc w:val="left"/>
      <w:lvlText w:val="%2"/>
      <w:numFmt w:val="upperLetter"/>
      <w:start w:val="61"/>
    </w:lvl>
  </w:abstractNum>
  <w:abstractNum w:abstractNumId="8">
    <w:nsid w:val="8138641"/>
    <w:multiLevelType w:val="hybridMultilevel"/>
    <w:lvl w:ilvl="0">
      <w:lvlJc w:val="left"/>
      <w:lvlText w:val="(%1)"/>
      <w:numFmt w:val="decimal"/>
      <w:start w:val="11"/>
    </w:lvl>
    <w:lvl w:ilvl="1">
      <w:lvlJc w:val="left"/>
      <w:lvlText w:val="%2"/>
      <w:numFmt w:val="upperLetter"/>
      <w:start w:val="1"/>
    </w:lvl>
  </w:abstractNum>
  <w:abstractNum w:abstractNumId="9">
    <w:nsid w:val="1E7FF521"/>
    <w:multiLevelType w:val="hybridMultilevel"/>
    <w:lvl w:ilvl="0">
      <w:lvlJc w:val="left"/>
      <w:lvlText w:val="(%1)"/>
      <w:numFmt w:val="decimal"/>
      <w:start w:val="13"/>
    </w:lvl>
  </w:abstractNum>
  <w:abstractNum w:abstractNumId="10">
    <w:nsid w:val="7C3DBD3D"/>
    <w:multiLevelType w:val="hybridMultilevel"/>
    <w:lvl w:ilvl="0">
      <w:lvlJc w:val="left"/>
      <w:lvlText w:val="(%1)"/>
      <w:numFmt w:val="decimal"/>
      <w:start w:val="20"/>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484"/>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
    <w:nsid w:val="3804823E"/>
    <w:multiLevelType w:val="hybridMultilevel"/>
    <w:lvl w:ilvl="0">
      <w:lvlJc w:val="left"/>
      <w:lvlText w:val="(%1)"/>
      <w:numFmt w:val="decimal"/>
      <w:start w:val="2"/>
    </w:lvl>
  </w:abstractNum>
  <w:abstractNum w:abstractNumId="22">
    <w:nsid w:val="77465F01"/>
    <w:multiLevelType w:val="hybridMultilevel"/>
    <w:lvl w:ilvl="0">
      <w:lvlJc w:val="left"/>
      <w:lvlText w:val="(%1)"/>
      <w:numFmt w:val="decimal"/>
      <w:start w:val="4"/>
    </w:lvl>
  </w:abstractNum>
  <w:abstractNum w:abstractNumId="23">
    <w:nsid w:val="7724C67E"/>
    <w:multiLevelType w:val="hybridMultilevel"/>
    <w:lvl w:ilvl="0">
      <w:lvlJc w:val="left"/>
      <w:lvlText w:val="(%1)"/>
      <w:numFmt w:val="lowerRoman"/>
      <w:start w:val="1"/>
    </w:lvl>
    <w:lvl w:ilvl="1">
      <w:lvlJc w:val="left"/>
      <w:lvlText w:val="(%2)"/>
      <w:numFmt w:val="upperLetter"/>
      <w:start w:val="1"/>
    </w:lvl>
  </w:abstractNum>
  <w:abstractNum w:abstractNumId="24">
    <w:nsid w:val="5C482A97"/>
    <w:multiLevelType w:val="hybridMultilevel"/>
    <w:lvl w:ilvl="0">
      <w:lvlJc w:val="left"/>
      <w:lvlText w:val="(%1)"/>
      <w:numFmt w:val="decimal"/>
      <w:start w:val="5"/>
    </w:lvl>
  </w:abstractNum>
  <w:abstractNum w:abstractNumId="25">
    <w:nsid w:val="2463B9EA"/>
    <w:multiLevelType w:val="hybridMultilevel"/>
    <w:lvl w:ilvl="0">
      <w:lvlJc w:val="left"/>
      <w:lvlText w:val="(%1)"/>
      <w:numFmt w:val="lowerRoman"/>
      <w:start w:val="1"/>
    </w:lvl>
  </w:abstractNum>
  <w:abstractNum w:abstractNumId="26">
    <w:nsid w:val="5E884AD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7">
    <w:nsid w:val="51EAD36B"/>
    <w:multiLevelType w:val="hybridMultilevel"/>
    <w:lvl w:ilvl="0">
      <w:lvlJc w:val="left"/>
      <w:lvlText w:val="%1"/>
      <w:numFmt w:val="lowerLetter"/>
      <w:start w:val="1"/>
    </w:lvl>
    <w:lvl w:ilvl="1">
      <w:lvlJc w:val="left"/>
      <w:lvlText w:val="(%2)"/>
      <w:numFmt w:val="lowerLetter"/>
      <w:start w:val="35"/>
    </w:lvl>
  </w:abstractNum>
  <w:abstractNum w:abstractNumId="28">
    <w:nsid w:val="2D517796"/>
    <w:multiLevelType w:val="hybridMultilevel"/>
    <w:lvl w:ilvl="0">
      <w:lvlJc w:val="left"/>
      <w:lvlText w:val="(%1)"/>
      <w:numFmt w:val="lowerLetter"/>
      <w:start w:val="2"/>
    </w:lvl>
    <w:lvl w:ilvl="1">
      <w:lvlJc w:val="left"/>
      <w:lvlText w:val="(%2)"/>
      <w:numFmt w:val="lowerLetter"/>
      <w:start w:val="9"/>
    </w:lvl>
  </w:abstractNum>
  <w:abstractNum w:abstractNumId="29">
    <w:nsid w:val="580BD78F"/>
    <w:multiLevelType w:val="hybridMultilevel"/>
    <w:lvl w:ilvl="0">
      <w:lvlJc w:val="left"/>
      <w:lvlText w:val="%1"/>
      <w:numFmt w:val="decimal"/>
      <w:start w:val="1"/>
    </w:lvl>
    <w:lvl w:ilvl="1">
      <w:lvlJc w:val="left"/>
      <w:lvlText w:val="(%2)"/>
      <w:numFmt w:val="lowerRoman"/>
      <w:start w:val="2"/>
    </w:lvl>
  </w:abstractNum>
  <w:abstractNum w:abstractNumId="30">
    <w:nsid w:val="153EA438"/>
    <w:multiLevelType w:val="hybridMultilevel"/>
    <w:lvl w:ilvl="0">
      <w:lvlJc w:val="left"/>
      <w:lvlText w:val="(%1)"/>
      <w:numFmt w:val="decimal"/>
      <w:start w:val="2"/>
    </w:lvl>
    <w:lvl w:ilvl="1">
      <w:lvlJc w:val="left"/>
      <w:lvlText w:val="%2"/>
      <w:numFmt w:val="lowerRoman"/>
      <w:start w:val="1"/>
    </w:lvl>
  </w:abstractNum>
  <w:abstractNum w:abstractNumId="31">
    <w:nsid w:val="3855585C"/>
    <w:multiLevelType w:val="hybridMultilevel"/>
    <w:lvl w:ilvl="0">
      <w:lvlJc w:val="left"/>
      <w:lvlText w:val="(%1)"/>
      <w:numFmt w:val="decimal"/>
      <w:start w:val="3"/>
    </w:lvl>
    <w:lvl w:ilvl="1">
      <w:lvlJc w:val="left"/>
      <w:lvlText w:val="(%2)"/>
      <w:numFmt w:val="lowerLetter"/>
      <w:start w:val="4"/>
    </w:lvl>
  </w:abstractNum>
  <w:abstractNum w:abstractNumId="32">
    <w:nsid w:val="70A64E2A"/>
    <w:multiLevelType w:val="hybridMultilevel"/>
    <w:lvl w:ilvl="0">
      <w:lvlJc w:val="left"/>
      <w:lvlText w:val="(%1)"/>
      <w:numFmt w:val="decimal"/>
      <w:start w:val="5"/>
    </w:lvl>
    <w:lvl w:ilvl="1">
      <w:lvlJc w:val="left"/>
      <w:lvlText w:val="%2"/>
      <w:numFmt w:val="lowerLetter"/>
      <w:start w:val="1"/>
    </w:lvl>
  </w:abstractNum>
  <w:abstractNum w:abstractNumId="33">
    <w:nsid w:val="6A2342EC"/>
    <w:multiLevelType w:val="hybridMultilevel"/>
    <w:lvl w:ilvl="0">
      <w:lvlJc w:val="left"/>
      <w:lvlText w:val="(%1)"/>
      <w:numFmt w:val="decimal"/>
      <w:start w:val="10"/>
    </w:lvl>
    <w:lvl w:ilvl="1">
      <w:lvlJc w:val="left"/>
      <w:lvlText w:val="%2"/>
      <w:numFmt w:val="lowerLetter"/>
      <w:start w:val="1"/>
    </w:lvl>
  </w:abstractNum>
  <w:abstractNum w:abstractNumId="34">
    <w:nsid w:val="2A487CB0"/>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35">
    <w:nsid w:val="1D4ED43B"/>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9"/>
    </w:lvl>
  </w:abstractNum>
  <w:abstractNum w:abstractNumId="36">
    <w:nsid w:val="725A06FB"/>
    <w:multiLevelType w:val="hybridMultilevel"/>
    <w:lvl w:ilvl="0">
      <w:lvlJc w:val="left"/>
      <w:lvlText w:val="(%1)"/>
      <w:numFmt w:val="decimal"/>
      <w:start w:val="10"/>
    </w:lvl>
    <w:lvl w:ilvl="1">
      <w:lvlJc w:val="left"/>
      <w:lvlText w:val="(%2)"/>
      <w:numFmt w:val="lowerRoman"/>
      <w:start w:val="2"/>
    </w:lvl>
  </w:abstractNum>
  <w:abstractNum w:abstractNumId="37">
    <w:nsid w:val="2CD89A32"/>
    <w:multiLevelType w:val="hybridMultilevel"/>
    <w:lvl w:ilvl="0">
      <w:lvlJc w:val="left"/>
      <w:lvlText w:val="(%1)"/>
      <w:numFmt w:val="decimal"/>
      <w:start w:val="5"/>
    </w:lvl>
    <w:lvl w:ilvl="1">
      <w:lvlJc w:val="left"/>
      <w:lvlText w:val="(%2)"/>
      <w:numFmt w:val="lowerRoman"/>
      <w:start w:val="3"/>
    </w:lvl>
  </w:abstractNum>
  <w:abstractNum w:abstractNumId="38">
    <w:nsid w:val="57E4CCAF"/>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39">
    <w:nsid w:val="7A6D8D3C"/>
    <w:multiLevelType w:val="hybridMultilevel"/>
    <w:lvl w:ilvl="0">
      <w:lvlJc w:val="left"/>
      <w:lvlText w:val="%1"/>
      <w:numFmt w:val="lowerRoman"/>
      <w:start w:val="1"/>
    </w:lvl>
    <w:lvl w:ilvl="1">
      <w:lvlJc w:val="left"/>
      <w:lvlText w:val="(%2)"/>
      <w:numFmt w:val="decimal"/>
      <w:start w:val="1"/>
    </w:lvl>
  </w:abstractNum>
  <w:abstractNum w:abstractNumId="40">
    <w:nsid w:val="4B588F54"/>
    <w:multiLevelType w:val="hybridMultilevel"/>
    <w:lvl w:ilvl="0">
      <w:lvlJc w:val="left"/>
      <w:lvlText w:val="(%1)"/>
      <w:numFmt w:val="lowerRoman"/>
      <w:start w:val="3"/>
    </w:lvl>
    <w:lvl w:ilvl="1">
      <w:lvlJc w:val="left"/>
      <w:lvlText w:val="%2"/>
      <w:numFmt w:val="decimal"/>
      <w:start w:val="1"/>
    </w:lvl>
  </w:abstractNum>
  <w:abstractNum w:abstractNumId="41">
    <w:nsid w:val="542289EC"/>
    <w:multiLevelType w:val="hybridMultilevel"/>
    <w:lvl w:ilvl="0">
      <w:lvlJc w:val="left"/>
      <w:lvlText w:val="%1."/>
      <w:numFmt w:val="decimal"/>
      <w:start w:val="3"/>
    </w:lvl>
    <w:lvl w:ilvl="1">
      <w:lvlJc w:val="left"/>
      <w:lvlText w:val="(%2)"/>
      <w:numFmt w:val="lowerLetter"/>
      <w:start w:val="1"/>
    </w:lvl>
  </w:abstractNum>
  <w:abstractNum w:abstractNumId="42">
    <w:nsid w:val="6DE91B18"/>
    <w:multiLevelType w:val="hybridMultilevel"/>
    <w:lvl w:ilvl="0">
      <w:lvlJc w:val="left"/>
      <w:lvlText w:val="(%1)"/>
      <w:numFmt w:val="lowerLetter"/>
      <w:start w:val="7"/>
    </w:lvl>
  </w:abstractNum>
  <w:abstractNum w:abstractNumId="43">
    <w:nsid w:val="38437FDB"/>
    <w:multiLevelType w:val="hybridMultilevel"/>
    <w:lvl w:ilvl="0">
      <w:lvlJc w:val="left"/>
      <w:lvlText w:val="%1."/>
      <w:numFmt w:val="decimal"/>
      <w:start w:val="4"/>
    </w:lvl>
    <w:lvl w:ilvl="1">
      <w:lvlJc w:val="left"/>
      <w:lvlText w:val="(%2)"/>
      <w:numFmt w:val="lowerLetter"/>
      <w:start w:val="1"/>
    </w:lvl>
  </w:abstractNum>
  <w:abstractNum w:abstractNumId="44">
    <w:nsid w:val="7644A45C"/>
    <w:multiLevelType w:val="hybridMultilevel"/>
    <w:lvl w:ilvl="0">
      <w:lvlJc w:val="left"/>
      <w:lvlText w:val="%1."/>
      <w:numFmt w:val="decimal"/>
      <w:start w:val="5"/>
    </w:lvl>
    <w:lvl w:ilvl="1">
      <w:lvlJc w:val="left"/>
      <w:lvlText w:val="(%2)"/>
      <w:numFmt w:val="lowerLetter"/>
      <w:start w:val="1"/>
    </w:lvl>
  </w:abstractNum>
  <w:abstractNum w:abstractNumId="45">
    <w:nsid w:val="32FFF902"/>
    <w:multiLevelType w:val="hybridMultilevel"/>
    <w:lvl w:ilvl="0">
      <w:lvlJc w:val="left"/>
      <w:lvlText w:val="(%1)"/>
      <w:numFmt w:val="lowerLetter"/>
      <w:start w:val="3"/>
    </w:lvl>
  </w:abstractNum>
  <w:abstractNum w:abstractNumId="46">
    <w:nsid w:val="684A481A"/>
    <w:multiLevelType w:val="hybridMultilevel"/>
    <w:lvl w:ilvl="0">
      <w:lvlJc w:val="left"/>
      <w:lvlText w:val="%1."/>
      <w:numFmt w:val="decimal"/>
      <w:start w:val="6"/>
    </w:lvl>
    <w:lvl w:ilvl="1">
      <w:lvlJc w:val="left"/>
      <w:lvlText w:val="(%2)"/>
      <w:numFmt w:val="lowerLetter"/>
      <w:start w:val="1"/>
    </w:lvl>
  </w:abstractNum>
  <w:abstractNum w:abstractNumId="47">
    <w:nsid w:val="579478FE"/>
    <w:multiLevelType w:val="hybridMultilevel"/>
    <w:lvl w:ilvl="0">
      <w:lvlJc w:val="left"/>
      <w:lvlText w:val="(%1)"/>
      <w:numFmt w:val="lowerLetter"/>
      <w:start w:val="4"/>
    </w:lvl>
  </w:abstractNum>
  <w:abstractNum w:abstractNumId="48">
    <w:nsid w:val="749ABB43"/>
    <w:multiLevelType w:val="hybridMultilevel"/>
    <w:lvl w:ilvl="0">
      <w:lvlJc w:val="left"/>
      <w:lvlText w:val="(%1)"/>
      <w:numFmt w:val="lowerLetter"/>
      <w:start w:val="8"/>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8"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jpe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7"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jpeg"/><Relationship Id="rId84" Type="http://schemas.openxmlformats.org/officeDocument/2006/relationships/image" Target="media/image60.png"/><Relationship Id="rId85" Type="http://schemas.openxmlformats.org/officeDocument/2006/relationships/image" Target="media/image61.jpe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50" Type="http://schemas.openxmlformats.org/officeDocument/2006/relationships/hyperlink" Target="http://www.sec.gov/Archives/edgar/data/1374690/000156459020008984/zfgn-10k_20191231.htm" TargetMode="External"/><Relationship Id="rId51" Type="http://schemas.openxmlformats.org/officeDocument/2006/relationships/hyperlink" Target="http://www.sec.gov/Archives/edgar/data/1374690/000156459020022942/zfgn-10q_20200331.htm" TargetMode="External"/><Relationship Id="rId52" Type="http://schemas.openxmlformats.org/officeDocument/2006/relationships/hyperlink" Target="http://www.sec.gov/Archives/edgar/data/1374690/000119312520125890/d853876ddefm14a.htm" TargetMode="External"/><Relationship Id="rId53" Type="http://schemas.openxmlformats.org/officeDocument/2006/relationships/hyperlink" Target="http://www.sec.gov/Archives/edgar/data/1374690/000119312520181113/d947173d8ka.htm" TargetMode="External"/><Relationship Id="rId54" Type="http://schemas.openxmlformats.org/officeDocument/2006/relationships/hyperlink" Target="http://www.sec.gov/Archives/edgar/data/1374690/000119312520157924/d936040d8k.htm" TargetMode="External"/><Relationship Id="rId55" Type="http://schemas.openxmlformats.org/officeDocument/2006/relationships/hyperlink" Target="http://www.sec.gov/Archives/edgar/data/1374690/000119312520119225/d895301d8k.htm" TargetMode="External"/><Relationship Id="rId56" Type="http://schemas.openxmlformats.org/officeDocument/2006/relationships/hyperlink" Target="http://www.sec.gov/Archives/edgar/data/1374690/000119312520065288/d846972d8k.htm" TargetMode="External"/><Relationship Id="rId57" Type="http://schemas.openxmlformats.org/officeDocument/2006/relationships/hyperlink" Target="http://www.sec.gov/Archives/edgar/data/1374690/000119312520005893/d867953d8k.htm" TargetMode="External"/><Relationship Id="rId59" Type="http://schemas.openxmlformats.org/officeDocument/2006/relationships/hyperlink" Target="http://www.sec.gov/Archives/edgar/data/1374690/000119312514240257/d745277d8a12b.htm" TargetMode="External"/><Relationship Id="rId70" Type="http://schemas.openxmlformats.org/officeDocument/2006/relationships/hyperlink" Target="http://www.sec.gov/Archives/edgar/data/1374690/000119312519316828/d845901dex21.htm" TargetMode="External"/><Relationship Id="rId71" Type="http://schemas.openxmlformats.org/officeDocument/2006/relationships/hyperlink" Target="http://www.sec.gov/Archives/edgar/data/1374690/000119312514247362/d747935dex31.htm" TargetMode="External"/><Relationship Id="rId72" Type="http://schemas.openxmlformats.org/officeDocument/2006/relationships/hyperlink" Target="http://www.sec.gov/Archives/edgar/data/1374690/000119312520157924/d936040dex31.htm" TargetMode="External"/><Relationship Id="rId73" Type="http://schemas.openxmlformats.org/officeDocument/2006/relationships/hyperlink" Target="http://www.sec.gov/Archives/edgar/data/1374690/000119312520157924/d936040dex32.htm" TargetMode="External"/><Relationship Id="rId74" Type="http://schemas.openxmlformats.org/officeDocument/2006/relationships/hyperlink" Target="http://www.sec.gov/Archives/edgar/data/1374690/000119312514247362/d747935dex32.htm" TargetMode="External"/><Relationship Id="rId75" Type="http://schemas.openxmlformats.org/officeDocument/2006/relationships/hyperlink" Target="http://www.sec.gov/Archives/edgar/data/1374690/000119312520157924/d936040dex41.htm" TargetMode="External"/><Relationship Id="rId76" Type="http://schemas.openxmlformats.org/officeDocument/2006/relationships/hyperlink" Target="http://www.sec.gov/Archives/edgar/data/1374690/000119312520157924/d936040dex101.htm" TargetMode="External"/><Relationship Id="rId78" Type="http://schemas.openxmlformats.org/officeDocument/2006/relationships/hyperlink" Target="http://www.sec.gov/Archives/edgar/data/1374690/000119312520157924/d93604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2020-06-26T16:32:58Z</dcterms:created>
  <dcterms:modified xsi:type="dcterms:W3CDTF">2020-06-26T16:32:58Z</dcterms:modified>
</cp:coreProperties>
</file>