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53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531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Secor Alicia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40" w:type="dxa"/>
            <w:vAlign w:val="bottom"/>
            <w:gridSpan w:val="8"/>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40" w:type="dxa"/>
            <w:vAlign w:val="bottom"/>
            <w:gridSpan w:val="8"/>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09/17/2015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25,000</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9.67</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26,256</w:t>
            </w:r>
            <w:r>
              <w:rPr>
                <w:rFonts w:ascii="Arial" w:cs="Arial" w:eastAsia="Arial" w:hAnsi="Arial"/>
                <w:sz w:val="22"/>
                <w:szCs w:val="22"/>
                <w:color w:val="008000"/>
                <w:w w:val="88"/>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09/17/2015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25,000</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41.05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1,256</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09/17/2015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1,256</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41.05</w:t>
            </w:r>
          </w:p>
        </w:tc>
        <w:tc>
          <w:tcPr>
            <w:tcW w:w="70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4,000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9.67</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09/17/2015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25,000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ind w:left="40"/>
              <w:spacing w:after="0"/>
              <w:rPr>
                <w:sz w:val="20"/>
                <w:szCs w:val="20"/>
                <w:color w:val="auto"/>
              </w:rPr>
            </w:pPr>
            <w:r>
              <w:rPr>
                <w:rFonts w:ascii="Arial" w:cs="Arial" w:eastAsia="Arial" w:hAnsi="Arial"/>
                <w:sz w:val="13"/>
                <w:szCs w:val="13"/>
                <w:color w:val="0000FF"/>
              </w:rPr>
              <w:t>01/30/2024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134,235</w:t>
            </w:r>
          </w:p>
        </w:tc>
        <w:tc>
          <w:tcPr>
            <w:tcW w:w="640" w:type="dxa"/>
            <w:vAlign w:val="bottom"/>
          </w:tcPr>
          <w:p>
            <w:pPr>
              <w:ind w:left="36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647 shares acquired by the Reporting Person under Zafgen, Inc.'s 2014 Employee Stock Purchase Plan (the "Plan") on June 30, 2015 and 609 shares acquired under the Plan on December 31, 2014.</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of shares by the Reporting Person was effected pursuant to a Rule 10b5-1 trading plan adopted by the Reporting Person in accordance with Rule 10b5-1 of the Securities Exchange Act of 1934, as amended.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by the Reporting Person's spouse. The Reporting Person disclaims beneficial ownership of the shares except to the extent of her pecuniary interest therein, if any.</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this option vested January 2, 2015, and the remainder vests in equal monthly installments thereafter over 36 months.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 by</w:t>
            </w:r>
          </w:p>
        </w:tc>
        <w:tc>
          <w:tcPr>
            <w:tcW w:w="5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09/21/2015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power 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45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2019-12-08T18:43:01Z</dcterms:created>
  <dcterms:modified xsi:type="dcterms:W3CDTF">2019-12-08T18:43:01Z</dcterms:modified>
</cp:coreProperties>
</file>