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13d-101]</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INFORMATION TO BE INCLUDED IN STATEMENTS FILED PURSUANT TO § 24.13d-1(a) AND AMENDMENTS THERETO FILED PURSUANT TO § 240.13D-2(a)</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3)*</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David Clark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Elliot Press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Deerfield Management Company, 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345 Park Avenue South, 12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10010</w:t>
      </w:r>
    </w:p>
    <w:p>
      <w:pPr>
        <w:spacing w:after="0" w:line="9" w:lineRule="exact"/>
        <w:rPr>
          <w:sz w:val="24"/>
          <w:szCs w:val="24"/>
          <w:color w:val="auto"/>
        </w:rPr>
      </w:pPr>
    </w:p>
    <w:p>
      <w:pPr>
        <w:jc w:val="right"/>
        <w:ind w:left="5040" w:right="5020" w:firstLine="22"/>
        <w:spacing w:after="0" w:line="551" w:lineRule="auto"/>
        <w:tabs>
          <w:tab w:leader="none" w:pos="5503"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551-1600 With a copy to:</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Jonathan D. Weiner,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D. Wood,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Katten Muchin Rosenman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575 Madison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940-8800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ind w:right="20" w:firstLine="635"/>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ind w:firstLine="635"/>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 See §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11 Pages)</w:t>
      </w:r>
    </w:p>
    <w:p>
      <w:pPr>
        <w:spacing w:after="0" w:line="211" w:lineRule="exact"/>
        <w:rPr>
          <w:sz w:val="24"/>
          <w:szCs w:val="24"/>
          <w:color w:val="auto"/>
        </w:rPr>
      </w:pPr>
    </w:p>
    <w:p>
      <w:pPr>
        <w:ind w:right="2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1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Deerfield Private Design Fund III,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1,714,837</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1,714,837</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1,714,837</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11.16%</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2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Deerfield Healthcare Innovations Fund,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1,714,850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1,714,850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1,714,850</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11.16%</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3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Deerfield Private Design Fund IV,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1,714,852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1,714,852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1,714,852</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11.16%</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4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Deerfield Mgmt III,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1,714,837 (1)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1,714,837 (1)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1,714,837 (1)</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11.16%</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(1) Comprised of shares of common stock held by Deerfield Private Design Fund III, L.P., of which Deerfield Mgmt III,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5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Deerfield Mgmt HIF,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1,714,850 (2)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1,714,850 (2)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1,714,850 (2)</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11.16%</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(2) Comprised of shares of common stock held by Deerfield Healthcare Innovations Fund, L.P., of which Deerfield Mgmt HIF,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6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Deerfield Mgmt, IV,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1,714,852 (3)</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1,714,852 (3)</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1,714,852 (3)</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11.16%</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(3) Comprised of shares of common stock held by Deerfield Private Design Fund IV, L.P., of which Deerfield Mgmt IV,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7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Deerfield Management Company,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5,150,072 (4)</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5,150,072 (4)</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5,150,072 (4)</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33.50%</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9"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Comprised of (i) an aggregate of 5,144,539 shares of common stock held by Deerfield Private Design Fund III, L.P., Deerfield Private Design Fund IV, L.P. and Deerfield Healthcare Innovations Fund, L.P., of which Deerfield Management Company, L.P. is the investment manager and (ii) 5,533 shares of common stock issuable upon exercise of an option (the “2020 Option”) held by Jonathan Leff, an employee of Deerfield Management Company, L.P., for the benefit, and subject to the direction, of Deerfield Management Company, L.P. The 2020 Option was granted to Mr. Leff on July 16, 2020 and vests in equal monthly installments over a 36-month period, which commenced on July 16, 2020, subject to Mr. Leff’s continued service with the Issuer through each applicable vesting date. The number of shares reported as being beneficially owned by Deerfield Management Company, L.P. does not include (i) shares of common stock issuable upon exercise of the 2020 Option to the extent it is unvested and will not vest within 60 days or (ii) shares of common stock issuable upon exercise of an option granted to Mr. Leff on May 12, 2021 (the “2021 Option”), which is scheduled to vest on the earlier of May 12, 2022 and the date of the Issuer's next annual meeting of stockholders, in each case, subject to Mr. Leff’s continued service with the Issuer through each applicable vesting date. The 2021 Option is held by Mr. Leff for the benefit, and at the direction, of Deerfield Management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8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w w:val="91"/>
              </w:rPr>
              <w:t>James E. Flynn</w:t>
            </w:r>
          </w:p>
        </w:tc>
        <w:tc>
          <w:tcPr>
            <w:tcW w:w="7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United States of America</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5,150,072 (5)</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5,150,072 (5)</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5,150,072 (5)</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33.50%</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IN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9"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Comprised of (i) an aggregate of 5,144,539 shares of common stock held by Deerfield Private Design Fund III, L.P., Deerfield Private Design Fund IV, L.P. and Deerfield Healthcare Innovations Fund, L.P. and (ii) 5,533 shares of common stock issuable upon exercise of an option (the “2020 Option”) held by Jonathan Leff, an employee of Deerfield Management Company, L.P., for the benefit, and subject to the direction, of Deerfield Management Company, L.P. The 2020 Option was granted to Mr. Leff on July 16, 2020 and vests in equal monthly installments over a 36-month period, which commenced on July 16, 2020, subject to Mr. Leff’s continued service with the Issuer through each applicable vesting date. The number of shares reported as being beneficially owned by James E. Flynn does not include (i) shares of common stock issuable upon exercise of the 2020 Option to the extent it is unvested and will not vest within 60 days or (ii) shares of common stock issuable upon exercise of an option granted to Mr. Leff on May 12, 2021 (the “2021 Option”), which is scheduled to vest on the earlier of May 12, 2022 and the date of the Issuer's next annual meeting of stockholders, in each case, subject to Mr. Leff’s continued service with the Issuer through each applicable vesting date. The 2021 Option is held by Mr. Leff for the benefit, and at the direction, of Deerfield Management Company, L.P. Flynn is the sole member of the general partner of each of Deerfield Mgmt III, Deerfield Mgmt IV, Deerfield Mgmt HIF and Deerfield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9 of 11 Pages</w:t>
      </w:r>
    </w:p>
    <w:p>
      <w:pPr>
        <w:spacing w:after="0" w:line="2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Amendment No. 3 (this “</w:t>
      </w:r>
      <w:r>
        <w:rPr>
          <w:rFonts w:ascii="Arial" w:cs="Arial" w:eastAsia="Arial" w:hAnsi="Arial"/>
          <w:sz w:val="17"/>
          <w:szCs w:val="17"/>
          <w:u w:val="single" w:color="auto"/>
          <w:color w:val="auto"/>
        </w:rPr>
        <w:t>Amendment</w:t>
      </w:r>
      <w:r>
        <w:rPr>
          <w:rFonts w:ascii="Arial" w:cs="Arial" w:eastAsia="Arial" w:hAnsi="Arial"/>
          <w:sz w:val="17"/>
          <w:szCs w:val="17"/>
          <w:color w:val="auto"/>
        </w:rPr>
        <w:t>”) to Schedule 13D is filed by (i) Deerfield Private Design Fund III, L.P. (“</w:t>
      </w:r>
      <w:r>
        <w:rPr>
          <w:rFonts w:ascii="Arial" w:cs="Arial" w:eastAsia="Arial" w:hAnsi="Arial"/>
          <w:sz w:val="17"/>
          <w:szCs w:val="17"/>
          <w:u w:val="single" w:color="auto"/>
          <w:color w:val="auto"/>
        </w:rPr>
        <w:t>Deerfield Private Design</w:t>
      </w:r>
      <w:r>
        <w:rPr>
          <w:rFonts w:ascii="Arial" w:cs="Arial" w:eastAsia="Arial" w:hAnsi="Arial"/>
          <w:sz w:val="17"/>
          <w:szCs w:val="17"/>
          <w:color w:val="auto"/>
        </w:rPr>
        <w:t xml:space="preserve"> </w:t>
      </w:r>
      <w:r>
        <w:rPr>
          <w:rFonts w:ascii="Arial" w:cs="Arial" w:eastAsia="Arial" w:hAnsi="Arial"/>
          <w:sz w:val="17"/>
          <w:szCs w:val="17"/>
          <w:u w:val="single" w:color="auto"/>
          <w:color w:val="auto"/>
        </w:rPr>
        <w:t>Fund III</w:t>
      </w:r>
      <w:r>
        <w:rPr>
          <w:rFonts w:ascii="Arial" w:cs="Arial" w:eastAsia="Arial" w:hAnsi="Arial"/>
          <w:sz w:val="17"/>
          <w:szCs w:val="17"/>
          <w:color w:val="auto"/>
        </w:rPr>
        <w:t>”), (ii) Deerfield Healthcare Innovations Fund, L.P. (“</w:t>
      </w:r>
      <w:r>
        <w:rPr>
          <w:rFonts w:ascii="Arial" w:cs="Arial" w:eastAsia="Arial" w:hAnsi="Arial"/>
          <w:sz w:val="17"/>
          <w:szCs w:val="17"/>
          <w:u w:val="single" w:color="auto"/>
          <w:color w:val="auto"/>
        </w:rPr>
        <w:t>Deerfield Healthcare Innovations Fund</w:t>
      </w:r>
      <w:r>
        <w:rPr>
          <w:rFonts w:ascii="Arial" w:cs="Arial" w:eastAsia="Arial" w:hAnsi="Arial"/>
          <w:sz w:val="17"/>
          <w:szCs w:val="17"/>
          <w:color w:val="auto"/>
        </w:rPr>
        <w:t>”), (iii) Deerfield Private Design Fund IV, L.P. (“</w:t>
      </w:r>
      <w:r>
        <w:rPr>
          <w:rFonts w:ascii="Arial" w:cs="Arial" w:eastAsia="Arial" w:hAnsi="Arial"/>
          <w:sz w:val="17"/>
          <w:szCs w:val="17"/>
          <w:u w:val="single" w:color="auto"/>
          <w:color w:val="auto"/>
        </w:rPr>
        <w:t>Deerfield Private Design Fund IV</w:t>
      </w:r>
      <w:r>
        <w:rPr>
          <w:rFonts w:ascii="Arial" w:cs="Arial" w:eastAsia="Arial" w:hAnsi="Arial"/>
          <w:sz w:val="17"/>
          <w:szCs w:val="17"/>
          <w:color w:val="auto"/>
        </w:rPr>
        <w:t>”), (iv) Deerfield Mgmt III, L.P. (“</w:t>
      </w:r>
      <w:r>
        <w:rPr>
          <w:rFonts w:ascii="Arial" w:cs="Arial" w:eastAsia="Arial" w:hAnsi="Arial"/>
          <w:sz w:val="17"/>
          <w:szCs w:val="17"/>
          <w:u w:val="single" w:color="auto"/>
          <w:color w:val="auto"/>
        </w:rPr>
        <w:t>Deerfield Mgmt III</w:t>
      </w:r>
      <w:r>
        <w:rPr>
          <w:rFonts w:ascii="Arial" w:cs="Arial" w:eastAsia="Arial" w:hAnsi="Arial"/>
          <w:sz w:val="17"/>
          <w:szCs w:val="17"/>
          <w:color w:val="auto"/>
        </w:rPr>
        <w:t>”), (v) Deerfield Mgmt HIF, L.P. (“</w:t>
      </w:r>
      <w:r>
        <w:rPr>
          <w:rFonts w:ascii="Arial" w:cs="Arial" w:eastAsia="Arial" w:hAnsi="Arial"/>
          <w:sz w:val="17"/>
          <w:szCs w:val="17"/>
          <w:u w:val="single" w:color="auto"/>
          <w:color w:val="auto"/>
        </w:rPr>
        <w:t>Deerfield Mgmt HIF</w:t>
      </w:r>
      <w:r>
        <w:rPr>
          <w:rFonts w:ascii="Arial" w:cs="Arial" w:eastAsia="Arial" w:hAnsi="Arial"/>
          <w:sz w:val="17"/>
          <w:szCs w:val="17"/>
          <w:color w:val="auto"/>
        </w:rPr>
        <w:t>”), (vi) Deerfield Mgmt IV, L.P. (“</w:t>
      </w:r>
      <w:r>
        <w:rPr>
          <w:rFonts w:ascii="Arial" w:cs="Arial" w:eastAsia="Arial" w:hAnsi="Arial"/>
          <w:sz w:val="17"/>
          <w:szCs w:val="17"/>
          <w:u w:val="single" w:color="auto"/>
          <w:color w:val="auto"/>
        </w:rPr>
        <w:t>Deerfield Mgmt IV</w:t>
      </w:r>
      <w:r>
        <w:rPr>
          <w:rFonts w:ascii="Arial" w:cs="Arial" w:eastAsia="Arial" w:hAnsi="Arial"/>
          <w:sz w:val="17"/>
          <w:szCs w:val="17"/>
          <w:color w:val="auto"/>
        </w:rPr>
        <w:t>”), (vii) Deerfield Management Company, L.P. (“</w:t>
      </w:r>
      <w:r>
        <w:rPr>
          <w:rFonts w:ascii="Arial" w:cs="Arial" w:eastAsia="Arial" w:hAnsi="Arial"/>
          <w:sz w:val="17"/>
          <w:szCs w:val="17"/>
          <w:u w:val="single" w:color="auto"/>
          <w:color w:val="auto"/>
        </w:rPr>
        <w:t>Deerfield Management</w:t>
      </w:r>
      <w:r>
        <w:rPr>
          <w:rFonts w:ascii="Arial" w:cs="Arial" w:eastAsia="Arial" w:hAnsi="Arial"/>
          <w:sz w:val="17"/>
          <w:szCs w:val="17"/>
          <w:color w:val="auto"/>
        </w:rPr>
        <w:t>”) and (viii) James E. Flynn (“</w:t>
      </w:r>
      <w:r>
        <w:rPr>
          <w:rFonts w:ascii="Arial" w:cs="Arial" w:eastAsia="Arial" w:hAnsi="Arial"/>
          <w:sz w:val="17"/>
          <w:szCs w:val="17"/>
          <w:u w:val="single" w:color="auto"/>
          <w:color w:val="auto"/>
        </w:rPr>
        <w:t>Flynn</w:t>
      </w:r>
      <w:r>
        <w:rPr>
          <w:rFonts w:ascii="Arial" w:cs="Arial" w:eastAsia="Arial" w:hAnsi="Arial"/>
          <w:sz w:val="17"/>
          <w:szCs w:val="17"/>
          <w:color w:val="auto"/>
        </w:rPr>
        <w:t>” and, together with Deerfield Private Design Fund III, Deerfield Healthcare Innovations Fund, Deerfield Private Design Fund IV, Deerfield Mgmt III, Deerfield Mgmt IV and Deerfield Management, the “</w:t>
      </w:r>
      <w:r>
        <w:rPr>
          <w:rFonts w:ascii="Arial" w:cs="Arial" w:eastAsia="Arial" w:hAnsi="Arial"/>
          <w:sz w:val="17"/>
          <w:szCs w:val="17"/>
          <w:u w:val="single" w:color="auto"/>
          <w:color w:val="auto"/>
        </w:rPr>
        <w:t>Reporting Persons</w:t>
      </w:r>
      <w:r>
        <w:rPr>
          <w:rFonts w:ascii="Arial" w:cs="Arial" w:eastAsia="Arial" w:hAnsi="Arial"/>
          <w:sz w:val="17"/>
          <w:szCs w:val="17"/>
          <w:color w:val="auto"/>
        </w:rPr>
        <w:t>”), with respect to the securities of Larimar Therapeutics, Inc. (as amended by Amendment No.1, Amendment No. 2 and this Amendment No. 3, the “</w:t>
      </w:r>
      <w:r>
        <w:rPr>
          <w:rFonts w:ascii="Arial" w:cs="Arial" w:eastAsia="Arial" w:hAnsi="Arial"/>
          <w:sz w:val="17"/>
          <w:szCs w:val="17"/>
          <w:u w:val="single" w:color="auto"/>
          <w:color w:val="auto"/>
        </w:rPr>
        <w:t>Schedule 13D</w:t>
      </w:r>
      <w:r>
        <w:rPr>
          <w:rFonts w:ascii="Arial" w:cs="Arial" w:eastAsia="Arial" w:hAnsi="Arial"/>
          <w:sz w:val="17"/>
          <w:szCs w:val="17"/>
          <w:color w:val="auto"/>
        </w:rPr>
        <w:t>”). Deerfield Private Design Fund III, Deerfield Healthcare Innovations Fund and Deerfield Private Design Fund IV are collectively referred to herein as the “</w:t>
      </w:r>
      <w:r>
        <w:rPr>
          <w:rFonts w:ascii="Arial" w:cs="Arial" w:eastAsia="Arial" w:hAnsi="Arial"/>
          <w:sz w:val="17"/>
          <w:szCs w:val="17"/>
          <w:u w:val="single" w:color="auto"/>
          <w:color w:val="auto"/>
        </w:rPr>
        <w:t>Funds</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but not otherwise defined herein shall have the meanings ascribed to them in the Schedule 13D.</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Source and Amount of Funds or Other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4 of the Schedule 13D is hereby amended by adding the following: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25, 2021 the Company announced that it would not be closing its previously announced private placement financing pursuant to the Purchase Agreement. Accordingly, the Funds will not be acquiring the Pre-Funded Warrants pursuant to the Purchase Agreement and it is expected that the Purchase Agreement will terminate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7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10 of 11 Pages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After reasonable inquiry and to the best of their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26, 2021</w:t>
      </w:r>
    </w:p>
    <w:p>
      <w:pPr>
        <w:spacing w:after="0" w:line="22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DEERFIELD PRIVATE DESIGN FUND III, L.P.</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Deerfield Mgmt III, L.P., General Partner</w:t>
            </w:r>
          </w:p>
        </w:tc>
      </w:tr>
      <w:tr>
        <w:trPr>
          <w:trHeight w:val="230"/>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J.E. Flynn Capital III, LLC, General Partner</w:t>
            </w:r>
          </w:p>
        </w:tc>
      </w:tr>
      <w:tr>
        <w:trPr>
          <w:trHeight w:val="432"/>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195"/>
        </w:trPr>
        <w:tc>
          <w:tcPr>
            <w:tcW w:w="6860" w:type="dxa"/>
            <w:vAlign w:val="bottom"/>
          </w:tcPr>
          <w:p>
            <w:pPr>
              <w:ind w:left="6240"/>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Jonathan Isler</w:t>
            </w:r>
          </w:p>
        </w:tc>
      </w:tr>
      <w:tr>
        <w:trPr>
          <w:trHeight w:val="230"/>
        </w:trPr>
        <w:tc>
          <w:tcPr>
            <w:tcW w:w="6860" w:type="dxa"/>
            <w:vAlign w:val="bottom"/>
          </w:tcPr>
          <w:p>
            <w:pPr>
              <w:ind w:left="624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634"/>
        </w:trPr>
        <w:tc>
          <w:tcPr>
            <w:tcW w:w="11240" w:type="dxa"/>
            <w:vAlign w:val="bottom"/>
            <w:gridSpan w:val="2"/>
          </w:tcPr>
          <w:p>
            <w:pPr>
              <w:ind w:left="6240"/>
              <w:spacing w:after="0"/>
              <w:rPr>
                <w:sz w:val="20"/>
                <w:szCs w:val="20"/>
                <w:color w:val="auto"/>
              </w:rPr>
            </w:pPr>
            <w:r>
              <w:rPr>
                <w:rFonts w:ascii="Arial" w:cs="Arial" w:eastAsia="Arial" w:hAnsi="Arial"/>
                <w:sz w:val="18"/>
                <w:szCs w:val="18"/>
                <w:color w:val="auto"/>
              </w:rPr>
              <w:t>DEERFIELD HEALTHCARE INNOVATIONS FUND, L.P.</w:t>
            </w:r>
          </w:p>
        </w:tc>
      </w:tr>
      <w:tr>
        <w:trPr>
          <w:trHeight w:val="216"/>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Deerfield Mgmt HIF, L.P., General Partner</w:t>
            </w:r>
          </w:p>
        </w:tc>
      </w:tr>
      <w:tr>
        <w:trPr>
          <w:trHeight w:val="230"/>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J.E. Flynn Capital HIF, LLC, General Partner</w:t>
            </w:r>
          </w:p>
        </w:tc>
      </w:tr>
      <w:tr>
        <w:trPr>
          <w:trHeight w:val="432"/>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224"/>
        </w:trPr>
        <w:tc>
          <w:tcPr>
            <w:tcW w:w="68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Jonathan Isler, Attorney-In-Fact</w:t>
            </w:r>
          </w:p>
        </w:tc>
      </w:tr>
      <w:tr>
        <w:trPr>
          <w:trHeight w:val="619"/>
        </w:trPr>
        <w:tc>
          <w:tcPr>
            <w:tcW w:w="11240" w:type="dxa"/>
            <w:vAlign w:val="bottom"/>
            <w:gridSpan w:val="2"/>
          </w:tcPr>
          <w:p>
            <w:pPr>
              <w:ind w:left="6240"/>
              <w:spacing w:after="0"/>
              <w:rPr>
                <w:sz w:val="20"/>
                <w:szCs w:val="20"/>
                <w:color w:val="auto"/>
              </w:rPr>
            </w:pPr>
            <w:r>
              <w:rPr>
                <w:rFonts w:ascii="Arial" w:cs="Arial" w:eastAsia="Arial" w:hAnsi="Arial"/>
                <w:sz w:val="18"/>
                <w:szCs w:val="18"/>
                <w:color w:val="auto"/>
              </w:rPr>
              <w:t>DEERFIELD PRIVATE DESIGN FUND IV, L.P.</w:t>
            </w:r>
          </w:p>
        </w:tc>
      </w:tr>
      <w:tr>
        <w:trPr>
          <w:trHeight w:val="216"/>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Deerfield Mgmt IV, L.P., General Partner</w:t>
            </w:r>
          </w:p>
        </w:tc>
      </w:tr>
      <w:tr>
        <w:trPr>
          <w:trHeight w:val="230"/>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J.E. Flynn Capital IV, LLC, General Partner</w:t>
            </w:r>
          </w:p>
        </w:tc>
      </w:tr>
      <w:tr>
        <w:trPr>
          <w:trHeight w:val="432"/>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195"/>
        </w:trPr>
        <w:tc>
          <w:tcPr>
            <w:tcW w:w="6860" w:type="dxa"/>
            <w:vAlign w:val="bottom"/>
          </w:tcPr>
          <w:p>
            <w:pPr>
              <w:ind w:left="6240"/>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Jonathan Isler</w:t>
            </w:r>
          </w:p>
        </w:tc>
      </w:tr>
      <w:tr>
        <w:trPr>
          <w:trHeight w:val="230"/>
        </w:trPr>
        <w:tc>
          <w:tcPr>
            <w:tcW w:w="6860" w:type="dxa"/>
            <w:vAlign w:val="bottom"/>
          </w:tcPr>
          <w:p>
            <w:pPr>
              <w:ind w:left="624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634"/>
        </w:trPr>
        <w:tc>
          <w:tcPr>
            <w:tcW w:w="11240" w:type="dxa"/>
            <w:vAlign w:val="bottom"/>
            <w:gridSpan w:val="2"/>
          </w:tcPr>
          <w:p>
            <w:pPr>
              <w:ind w:left="6240"/>
              <w:spacing w:after="0"/>
              <w:rPr>
                <w:sz w:val="20"/>
                <w:szCs w:val="20"/>
                <w:color w:val="auto"/>
              </w:rPr>
            </w:pPr>
            <w:r>
              <w:rPr>
                <w:rFonts w:ascii="Arial" w:cs="Arial" w:eastAsia="Arial" w:hAnsi="Arial"/>
                <w:sz w:val="18"/>
                <w:szCs w:val="18"/>
                <w:color w:val="auto"/>
              </w:rPr>
              <w:t>DEERFIELD MGMT III, L.P.</w:t>
            </w:r>
          </w:p>
        </w:tc>
      </w:tr>
      <w:tr>
        <w:trPr>
          <w:trHeight w:val="230"/>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J.E. Flynn Capital III, LLC, General Partner</w:t>
            </w:r>
          </w:p>
        </w:tc>
      </w:tr>
      <w:tr>
        <w:trPr>
          <w:trHeight w:val="432"/>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195"/>
        </w:trPr>
        <w:tc>
          <w:tcPr>
            <w:tcW w:w="6860" w:type="dxa"/>
            <w:vAlign w:val="bottom"/>
          </w:tcPr>
          <w:p>
            <w:pPr>
              <w:ind w:left="6240"/>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Jonathan Isler</w:t>
            </w:r>
          </w:p>
        </w:tc>
      </w:tr>
      <w:tr>
        <w:trPr>
          <w:trHeight w:val="230"/>
        </w:trPr>
        <w:tc>
          <w:tcPr>
            <w:tcW w:w="6860" w:type="dxa"/>
            <w:vAlign w:val="bottom"/>
          </w:tcPr>
          <w:p>
            <w:pPr>
              <w:ind w:left="624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574"/>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6860" w:type="dxa"/>
            <w:vAlign w:val="bottom"/>
            <w:tcBorders>
              <w:top w:val="single" w:sz="8" w:color="auto"/>
              <w:left w:val="single" w:sz="8" w:color="auto"/>
            </w:tcBorders>
            <w:gridSpan w:val="3"/>
          </w:tcPr>
          <w:p>
            <w:pPr>
              <w:ind w:left="20"/>
              <w:spacing w:after="0" w:line="169" w:lineRule="exact"/>
              <w:rPr>
                <w:sz w:val="20"/>
                <w:szCs w:val="20"/>
                <w:color w:val="auto"/>
              </w:rPr>
            </w:pPr>
            <w:r>
              <w:rPr>
                <w:rFonts w:ascii="Arial" w:cs="Arial" w:eastAsia="Arial" w:hAnsi="Arial"/>
                <w:sz w:val="18"/>
                <w:szCs w:val="18"/>
                <w:color w:val="auto"/>
              </w:rPr>
              <w:t>CUSIP No. 517125100</w:t>
            </w:r>
          </w:p>
        </w:tc>
        <w:tc>
          <w:tcPr>
            <w:tcW w:w="20" w:type="dxa"/>
            <w:vAlign w:val="bottom"/>
            <w:tcBorders>
              <w:top w:val="single" w:sz="8" w:color="auto"/>
            </w:tcBorders>
          </w:tcPr>
          <w:p>
            <w:pPr>
              <w:spacing w:after="0"/>
              <w:rPr>
                <w:sz w:val="14"/>
                <w:szCs w:val="14"/>
                <w:color w:val="auto"/>
              </w:rPr>
            </w:pPr>
          </w:p>
        </w:tc>
        <w:tc>
          <w:tcPr>
            <w:tcW w:w="4360" w:type="dxa"/>
            <w:vAlign w:val="bottom"/>
            <w:tcBorders>
              <w:top w:val="single" w:sz="8" w:color="auto"/>
              <w:right w:val="single" w:sz="8" w:color="auto"/>
            </w:tcBorders>
          </w:tcPr>
          <w:p>
            <w:pPr>
              <w:ind w:left="2900"/>
              <w:spacing w:after="0" w:line="169" w:lineRule="exact"/>
              <w:rPr>
                <w:sz w:val="20"/>
                <w:szCs w:val="20"/>
                <w:color w:val="auto"/>
              </w:rPr>
            </w:pPr>
            <w:r>
              <w:rPr>
                <w:rFonts w:ascii="Arial" w:cs="Arial" w:eastAsia="Arial" w:hAnsi="Arial"/>
                <w:sz w:val="18"/>
                <w:szCs w:val="18"/>
                <w:color w:val="auto"/>
                <w:w w:val="84"/>
              </w:rPr>
              <w:t>Page 11 of 11 Pages</w:t>
            </w:r>
          </w:p>
        </w:tc>
      </w:tr>
      <w:tr>
        <w:trPr>
          <w:trHeight w:val="21"/>
        </w:trPr>
        <w:tc>
          <w:tcPr>
            <w:tcW w:w="880" w:type="dxa"/>
            <w:vAlign w:val="bottom"/>
            <w:tcBorders>
              <w:left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360" w:type="dxa"/>
            <w:vAlign w:val="bottom"/>
            <w:tcBorders>
              <w:bottom w:val="single" w:sz="8" w:color="auto"/>
              <w:right w:val="single" w:sz="8" w:color="auto"/>
            </w:tcBorders>
          </w:tcPr>
          <w:p>
            <w:pPr>
              <w:spacing w:after="0" w:line="20" w:lineRule="exact"/>
              <w:rPr>
                <w:sz w:val="1"/>
                <w:szCs w:val="1"/>
                <w:color w:val="auto"/>
              </w:rPr>
            </w:pPr>
          </w:p>
        </w:tc>
      </w:tr>
      <w:tr>
        <w:trPr>
          <w:trHeight w:val="654"/>
        </w:trPr>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540" w:type="dxa"/>
            <w:vAlign w:val="bottom"/>
            <w:gridSpan w:val="3"/>
          </w:tcPr>
          <w:p>
            <w:pPr>
              <w:ind w:left="4540"/>
              <w:spacing w:after="0"/>
              <w:rPr>
                <w:sz w:val="20"/>
                <w:szCs w:val="20"/>
                <w:color w:val="auto"/>
              </w:rPr>
            </w:pPr>
            <w:r>
              <w:rPr>
                <w:rFonts w:ascii="Arial" w:cs="Arial" w:eastAsia="Arial" w:hAnsi="Arial"/>
                <w:sz w:val="18"/>
                <w:szCs w:val="18"/>
                <w:color w:val="auto"/>
              </w:rPr>
              <w:t>DEERFIELD MGMT HIF, L.P.</w:t>
            </w:r>
          </w:p>
        </w:tc>
      </w:tr>
      <w:tr>
        <w:trPr>
          <w:trHeight w:val="230"/>
        </w:trPr>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160" w:type="dxa"/>
            <w:vAlign w:val="bottom"/>
          </w:tcPr>
          <w:p>
            <w:pPr>
              <w:ind w:left="4540"/>
              <w:spacing w:after="0"/>
              <w:rPr>
                <w:sz w:val="20"/>
                <w:szCs w:val="20"/>
                <w:color w:val="auto"/>
              </w:rPr>
            </w:pPr>
            <w:r>
              <w:rPr>
                <w:rFonts w:ascii="Arial" w:cs="Arial" w:eastAsia="Arial" w:hAnsi="Arial"/>
                <w:sz w:val="18"/>
                <w:szCs w:val="18"/>
                <w:color w:val="auto"/>
              </w:rPr>
              <w:t>By:</w:t>
            </w:r>
          </w:p>
        </w:tc>
        <w:tc>
          <w:tcPr>
            <w:tcW w:w="4380" w:type="dxa"/>
            <w:vAlign w:val="bottom"/>
            <w:gridSpan w:val="2"/>
          </w:tcPr>
          <w:p>
            <w:pPr>
              <w:spacing w:after="0"/>
              <w:rPr>
                <w:sz w:val="20"/>
                <w:szCs w:val="20"/>
                <w:color w:val="auto"/>
              </w:rPr>
            </w:pPr>
            <w:r>
              <w:rPr>
                <w:rFonts w:ascii="Arial" w:cs="Arial" w:eastAsia="Arial" w:hAnsi="Arial"/>
                <w:sz w:val="18"/>
                <w:szCs w:val="18"/>
                <w:color w:val="auto"/>
              </w:rPr>
              <w:t>J.E. Flynn Capital HIF, LLC, General Partner</w:t>
            </w:r>
          </w:p>
        </w:tc>
      </w:tr>
      <w:tr>
        <w:trPr>
          <w:trHeight w:val="432"/>
        </w:trPr>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160" w:type="dxa"/>
            <w:vAlign w:val="bottom"/>
          </w:tcPr>
          <w:p>
            <w:pPr>
              <w:ind w:left="45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Isler</w:t>
            </w:r>
          </w:p>
        </w:tc>
      </w:tr>
      <w:tr>
        <w:trPr>
          <w:trHeight w:val="224"/>
        </w:trPr>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Jonathan Isler, Attorney-in-Fact</w:t>
            </w:r>
          </w:p>
        </w:tc>
      </w:tr>
      <w:tr>
        <w:trPr>
          <w:trHeight w:val="619"/>
        </w:trPr>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540" w:type="dxa"/>
            <w:vAlign w:val="bottom"/>
            <w:gridSpan w:val="3"/>
          </w:tcPr>
          <w:p>
            <w:pPr>
              <w:ind w:left="4540"/>
              <w:spacing w:after="0"/>
              <w:rPr>
                <w:sz w:val="20"/>
                <w:szCs w:val="20"/>
                <w:color w:val="auto"/>
              </w:rPr>
            </w:pPr>
            <w:r>
              <w:rPr>
                <w:rFonts w:ascii="Arial" w:cs="Arial" w:eastAsia="Arial" w:hAnsi="Arial"/>
                <w:sz w:val="18"/>
                <w:szCs w:val="18"/>
                <w:color w:val="auto"/>
              </w:rPr>
              <w:t>DEERFIELD MGMT IV, L.P.</w:t>
            </w:r>
          </w:p>
        </w:tc>
      </w:tr>
      <w:tr>
        <w:trPr>
          <w:trHeight w:val="230"/>
        </w:trPr>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160" w:type="dxa"/>
            <w:vAlign w:val="bottom"/>
          </w:tcPr>
          <w:p>
            <w:pPr>
              <w:ind w:left="4540"/>
              <w:spacing w:after="0"/>
              <w:rPr>
                <w:sz w:val="20"/>
                <w:szCs w:val="20"/>
                <w:color w:val="auto"/>
              </w:rPr>
            </w:pPr>
            <w:r>
              <w:rPr>
                <w:rFonts w:ascii="Arial" w:cs="Arial" w:eastAsia="Arial" w:hAnsi="Arial"/>
                <w:sz w:val="18"/>
                <w:szCs w:val="18"/>
                <w:color w:val="auto"/>
              </w:rPr>
              <w:t>By:</w:t>
            </w:r>
          </w:p>
        </w:tc>
        <w:tc>
          <w:tcPr>
            <w:tcW w:w="4380" w:type="dxa"/>
            <w:vAlign w:val="bottom"/>
            <w:gridSpan w:val="2"/>
          </w:tcPr>
          <w:p>
            <w:pPr>
              <w:spacing w:after="0"/>
              <w:rPr>
                <w:sz w:val="20"/>
                <w:szCs w:val="20"/>
                <w:color w:val="auto"/>
              </w:rPr>
            </w:pPr>
            <w:r>
              <w:rPr>
                <w:rFonts w:ascii="Arial" w:cs="Arial" w:eastAsia="Arial" w:hAnsi="Arial"/>
                <w:sz w:val="18"/>
                <w:szCs w:val="18"/>
                <w:color w:val="auto"/>
              </w:rPr>
              <w:t>J.E. Flynn Capital IV, LLC, General Partner</w:t>
            </w:r>
          </w:p>
        </w:tc>
      </w:tr>
      <w:tr>
        <w:trPr>
          <w:trHeight w:val="432"/>
        </w:trPr>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160" w:type="dxa"/>
            <w:vAlign w:val="bottom"/>
          </w:tcPr>
          <w:p>
            <w:pPr>
              <w:ind w:left="45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Isler</w:t>
            </w:r>
          </w:p>
        </w:tc>
      </w:tr>
      <w:tr>
        <w:trPr>
          <w:trHeight w:val="195"/>
        </w:trPr>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160" w:type="dxa"/>
            <w:vAlign w:val="bottom"/>
          </w:tcPr>
          <w:p>
            <w:pPr>
              <w:ind w:left="4540"/>
              <w:spacing w:after="0" w:line="195" w:lineRule="exact"/>
              <w:rPr>
                <w:sz w:val="20"/>
                <w:szCs w:val="20"/>
                <w:color w:val="auto"/>
              </w:rPr>
            </w:pPr>
            <w:r>
              <w:rPr>
                <w:rFonts w:ascii="Arial" w:cs="Arial" w:eastAsia="Arial" w:hAnsi="Arial"/>
                <w:sz w:val="18"/>
                <w:szCs w:val="18"/>
                <w:color w:val="auto"/>
              </w:rPr>
              <w:t>Name:</w:t>
            </w:r>
          </w:p>
        </w:tc>
        <w:tc>
          <w:tcPr>
            <w:tcW w:w="4380" w:type="dxa"/>
            <w:vAlign w:val="bottom"/>
            <w:gridSpan w:val="2"/>
          </w:tcPr>
          <w:p>
            <w:pPr>
              <w:spacing w:after="0" w:line="195" w:lineRule="exact"/>
              <w:rPr>
                <w:sz w:val="20"/>
                <w:szCs w:val="20"/>
                <w:color w:val="auto"/>
              </w:rPr>
            </w:pPr>
            <w:r>
              <w:rPr>
                <w:rFonts w:ascii="Arial" w:cs="Arial" w:eastAsia="Arial" w:hAnsi="Arial"/>
                <w:sz w:val="18"/>
                <w:szCs w:val="18"/>
                <w:color w:val="auto"/>
              </w:rPr>
              <w:t>Jonathan Isler</w:t>
            </w:r>
          </w:p>
        </w:tc>
      </w:tr>
      <w:tr>
        <w:trPr>
          <w:trHeight w:val="230"/>
        </w:trPr>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160" w:type="dxa"/>
            <w:vAlign w:val="bottom"/>
          </w:tcPr>
          <w:p>
            <w:pPr>
              <w:ind w:left="4540"/>
              <w:spacing w:after="0"/>
              <w:rPr>
                <w:sz w:val="20"/>
                <w:szCs w:val="20"/>
                <w:color w:val="auto"/>
              </w:rPr>
            </w:pPr>
            <w:r>
              <w:rPr>
                <w:rFonts w:ascii="Arial" w:cs="Arial" w:eastAsia="Arial" w:hAnsi="Arial"/>
                <w:sz w:val="18"/>
                <w:szCs w:val="18"/>
                <w:color w:val="auto"/>
              </w:rPr>
              <w:t>Title:</w:t>
            </w:r>
          </w:p>
        </w:tc>
        <w:tc>
          <w:tcPr>
            <w:tcW w:w="4380" w:type="dxa"/>
            <w:vAlign w:val="bottom"/>
            <w:gridSpan w:val="2"/>
          </w:tcPr>
          <w:p>
            <w:pPr>
              <w:spacing w:after="0"/>
              <w:rPr>
                <w:sz w:val="20"/>
                <w:szCs w:val="20"/>
                <w:color w:val="auto"/>
              </w:rPr>
            </w:pPr>
            <w:r>
              <w:rPr>
                <w:rFonts w:ascii="Arial" w:cs="Arial" w:eastAsia="Arial" w:hAnsi="Arial"/>
                <w:sz w:val="18"/>
                <w:szCs w:val="18"/>
                <w:color w:val="auto"/>
              </w:rPr>
              <w:t>Attorney-in-Fact</w:t>
            </w:r>
          </w:p>
        </w:tc>
      </w:tr>
      <w:tr>
        <w:trPr>
          <w:trHeight w:val="661"/>
        </w:trPr>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540" w:type="dxa"/>
            <w:vAlign w:val="bottom"/>
            <w:gridSpan w:val="3"/>
          </w:tcPr>
          <w:p>
            <w:pPr>
              <w:ind w:left="4500"/>
              <w:spacing w:after="0"/>
              <w:rPr>
                <w:sz w:val="20"/>
                <w:szCs w:val="20"/>
                <w:color w:val="auto"/>
              </w:rPr>
            </w:pPr>
            <w:r>
              <w:rPr>
                <w:rFonts w:ascii="Arial" w:cs="Arial" w:eastAsia="Arial" w:hAnsi="Arial"/>
                <w:sz w:val="18"/>
                <w:szCs w:val="18"/>
                <w:color w:val="auto"/>
              </w:rPr>
              <w:t>DEERFIELD MANAGEMENT COMPANY, L.P.</w:t>
            </w:r>
          </w:p>
        </w:tc>
      </w:tr>
      <w:tr>
        <w:trPr>
          <w:trHeight w:val="230"/>
        </w:trPr>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160" w:type="dxa"/>
            <w:vAlign w:val="bottom"/>
          </w:tcPr>
          <w:p>
            <w:pPr>
              <w:ind w:left="450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Flynn Management LLC, General Partner</w:t>
            </w:r>
          </w:p>
        </w:tc>
      </w:tr>
      <w:tr>
        <w:trPr>
          <w:trHeight w:val="432"/>
        </w:trPr>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160" w:type="dxa"/>
            <w:vAlign w:val="bottom"/>
          </w:tcPr>
          <w:p>
            <w:pPr>
              <w:ind w:left="450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195"/>
        </w:trPr>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160" w:type="dxa"/>
            <w:vAlign w:val="bottom"/>
          </w:tcPr>
          <w:p>
            <w:pPr>
              <w:ind w:left="4500"/>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c>
          <w:tcPr>
            <w:tcW w:w="4360" w:type="dxa"/>
            <w:vAlign w:val="bottom"/>
          </w:tcPr>
          <w:p>
            <w:pPr>
              <w:spacing w:after="0" w:line="195" w:lineRule="exact"/>
              <w:rPr>
                <w:sz w:val="20"/>
                <w:szCs w:val="20"/>
                <w:color w:val="auto"/>
              </w:rPr>
            </w:pPr>
            <w:r>
              <w:rPr>
                <w:rFonts w:ascii="Arial" w:cs="Arial" w:eastAsia="Arial" w:hAnsi="Arial"/>
                <w:sz w:val="18"/>
                <w:szCs w:val="18"/>
                <w:color w:val="auto"/>
              </w:rPr>
              <w:t>Jonathan Isler</w:t>
            </w:r>
          </w:p>
        </w:tc>
      </w:tr>
      <w:tr>
        <w:trPr>
          <w:trHeight w:val="230"/>
        </w:trPr>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160" w:type="dxa"/>
            <w:vAlign w:val="bottom"/>
          </w:tcPr>
          <w:p>
            <w:pPr>
              <w:ind w:left="450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Attorney-in-Fact</w:t>
            </w:r>
          </w:p>
        </w:tc>
      </w:tr>
    </w:tbl>
    <w:p>
      <w:pPr>
        <w:spacing w:after="0" w:line="200" w:lineRule="exact"/>
        <w:rPr>
          <w:sz w:val="20"/>
          <w:szCs w:val="20"/>
          <w:color w:val="auto"/>
        </w:rPr>
      </w:pPr>
    </w:p>
    <w:p>
      <w:pPr>
        <w:spacing w:after="0" w:line="21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Jonathan Isler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Jonathan Isler, Attorney-in-Fact</w:t>
      </w: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212"/>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1"/>
      <w:numFmt w:val="bullet"/>
      <w:start w:val="1"/>
    </w:lvl>
  </w:abstractNum>
  <w:abstractNum w:abstractNumId="6">
    <w:nsid w:val="12200854"/>
    <w:multiLevelType w:val="hybridMultilevel"/>
    <w:lvl w:ilvl="0">
      <w:lvlJc w:val="left"/>
      <w:lvlText w:val="1"/>
      <w:numFmt w:val="bullet"/>
      <w:start w:val="1"/>
    </w:lvl>
  </w:abstractNum>
  <w:abstractNum w:abstractNumId="7">
    <w:nsid w:val="4DB127F8"/>
    <w:multiLevelType w:val="hybridMultilevel"/>
    <w:lvl w:ilvl="0">
      <w:lvlJc w:val="left"/>
      <w:lvlText w:val="1"/>
      <w:numFmt w:val="bullet"/>
      <w:start w:val="1"/>
    </w:lvl>
  </w:abstractNum>
  <w:abstractNum w:abstractNumId="8">
    <w:nsid w:val="216231B"/>
    <w:multiLevelType w:val="hybridMultilevel"/>
    <w:lvl w:ilvl="0">
      <w:lvlJc w:val="left"/>
      <w:lvlText w:val="1"/>
      <w:numFmt w:val="bullet"/>
      <w:start w:val="1"/>
    </w:lvl>
  </w:abstractNum>
  <w:abstractNum w:abstractNumId="9">
    <w:nsid w:val="1F16E9E8"/>
    <w:multiLevelType w:val="hybridMultilevel"/>
    <w:lvl w:ilvl="0">
      <w:lvlJc w:val="left"/>
      <w:lvlText w:val="(%1)"/>
      <w:numFmt w:val="decimal"/>
      <w:start w:val="4"/>
    </w:lvl>
  </w:abstractNum>
  <w:abstractNum w:abstractNumId="10">
    <w:nsid w:val="1190CDE7"/>
    <w:multiLevelType w:val="hybridMultilevel"/>
    <w:lvl w:ilvl="0">
      <w:lvlJc w:val="left"/>
      <w:lvlText w:val="1"/>
      <w:numFmt w:val="bullet"/>
      <w:start w:val="1"/>
    </w:lvl>
  </w:abstractNum>
  <w:abstractNum w:abstractNumId="11">
    <w:nsid w:val="66EF438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2021-05-26T12:49:26Z</dcterms:created>
  <dcterms:modified xsi:type="dcterms:W3CDTF">2021-05-26T12:49:26Z</dcterms:modified>
</cp:coreProperties>
</file>