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jc w:val="center"/>
        <w:ind w:right="-4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spacing w:after="0" w:line="207" w:lineRule="exact"/>
        <w:tabs>
          <w:tab w:leader="none" w:pos="2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84" w:lineRule="exact"/>
        <w:rPr>
          <w:sz w:val="24"/>
          <w:szCs w:val="24"/>
          <w:color w:val="auto"/>
        </w:rPr>
      </w:pPr>
    </w:p>
    <w:p>
      <w:pPr>
        <w:jc w:val="center"/>
        <w:ind w:right="-419"/>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20" w:right="2780" w:hanging="439"/>
        <w:spacing w:after="0" w:line="308"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73" w:lineRule="exact"/>
        <w:rPr>
          <w:rFonts w:ascii="Arial" w:cs="Arial" w:eastAsia="Arial" w:hAnsi="Arial"/>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the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-3140075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-2848610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-2419985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-2128520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-1837055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-721995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152400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75831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Boston, MA 02114</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2018 ANNUAL MEETING OF STOCKHOLDERS</w:t>
      </w:r>
    </w:p>
    <w:p>
      <w:pPr>
        <w:spacing w:after="0" w:line="229"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Notice is hereby given that the 2018 Annual Meeting of Stockholders of Zafgen, Inc. will be held on June 6, 2018, at 8:30 a.m. Eastern Time, at the offices of Goodwin Procter at 100 Northern Avenue, Boston, Massachusetts 02210. The purpose of the meeting is the following:</w:t>
      </w:r>
    </w:p>
    <w:p>
      <w:pPr>
        <w:spacing w:after="0" w:line="38" w:lineRule="exact"/>
        <w:rPr>
          <w:sz w:val="20"/>
          <w:szCs w:val="20"/>
          <w:color w:val="auto"/>
        </w:rPr>
      </w:pPr>
    </w:p>
    <w:p>
      <w:pPr>
        <w:ind w:left="640" w:right="20" w:firstLine="4"/>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Thomas O. Daniel, M.D., Cameron Geoffrey McDonough, M.D., and Robert J. Perez to serve as Class I directors until the 2021 annual meeting of stockholders and until their successors are duly elected and qualified, subject to their earlier death, resignation, or removal;</w:t>
      </w:r>
    </w:p>
    <w:p>
      <w:pPr>
        <w:spacing w:after="0" w:line="73" w:lineRule="exact"/>
        <w:rPr>
          <w:rFonts w:ascii="Arial" w:cs="Arial" w:eastAsia="Arial" w:hAnsi="Arial"/>
          <w:sz w:val="18"/>
          <w:szCs w:val="18"/>
          <w:color w:val="auto"/>
        </w:rPr>
      </w:pPr>
    </w:p>
    <w:p>
      <w:pPr>
        <w:ind w:left="640" w:right="400" w:firstLine="4"/>
        <w:spacing w:after="0" w:line="277"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2018; and</w:t>
      </w:r>
    </w:p>
    <w:p>
      <w:pPr>
        <w:spacing w:after="0" w:line="62" w:lineRule="exact"/>
        <w:rPr>
          <w:rFonts w:ascii="Arial" w:cs="Arial" w:eastAsia="Arial" w:hAnsi="Arial"/>
          <w:sz w:val="18"/>
          <w:szCs w:val="18"/>
          <w:color w:val="auto"/>
        </w:rPr>
      </w:pPr>
    </w:p>
    <w:p>
      <w:pPr>
        <w:ind w:left="1000" w:hanging="356"/>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at any and all adjournments or postponements thereof.</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proposal for the election of directors relates solely to the election of Class I directors nominated by the Board of Directors.</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Only Zafgen, Inc. stockholders of record at the close of business on April 11, 2018, will be entitled to vote at the meeting and any adjournment or postponement thereof.</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pleased to take advantage of Securities and Exchange Commission rules that allow companies to furnish their proxy materials over the Internet. We are mailing to many of our stockholders a Notice of Internet Availability of Proxy Materials, or Notice, instead of a paper copy of our proxy materials and our 2017 Annual Report on Form 10-K. The Notice contains instructions on how to access those documents and to cast your vote via the Internet. The Notice also contains instructions on how to request a paper copy of our proxy materials and our 2017 Annual Report on Form 10-K. All stockholders who do not receive a Notice will receive a paper copy of the proxy materials and our 2017 Annual Report on Form 10-K, by mail. This process allows us to provide our stockholders with the information they need on a more timely basis, while reducing the environmental impact and lowering the costs of printing and distributing our proxy materials.</w:t>
      </w:r>
    </w:p>
    <w:p>
      <w:pPr>
        <w:spacing w:after="0" w:line="17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Your vote is important. Whether or not you are able to attend the meeting in person,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w:t>
      </w:r>
    </w:p>
    <w:p>
      <w:pPr>
        <w:spacing w:after="0" w:line="33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152400</wp:posOffset>
            </wp:positionV>
            <wp:extent cx="1029335" cy="797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18, 2018</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AND COMPENSATION UPDATES</w:t>
      </w:r>
    </w:p>
    <w:p>
      <w:pPr>
        <w:spacing w:after="0" w:line="121"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To assist you in reviewing the proposals to be acted upon, we call your attention to the following business and compensation highlights since the beginning of 2017. The following description is only a summary. For more complete information on these topics, please review our Annual Report on Form 10-K for the year ended December 31, 2017 (including the Risk Factors therein), and this Proxy Statement in full.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Highlights</w:t>
      </w:r>
    </w:p>
    <w:p>
      <w:pPr>
        <w:spacing w:after="0" w:line="12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Zafgen made significant progress over the past year and has created forward momentum by solving challenges and advancing multiple novel development candidates with highly optimized profiles that we believe can unlock the full value of MetAP2 inhibition for patients in a variety of metabolic diseases.</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progress over the past year began with the successful completion of initial safety studies with ZGN-1061 in May 2017. ZGN-1061 is being advanced for the treatment of difficult-to-control type 2 diabetes. In the Phase 1b multiple ascending dose trial with obese healthy volunteers, ZGN-1061 demonstrated a clear signal of efficacy with weight loss, and a favorable safety and tolerability profile generally undifferentiated vs. placebo. Importantly, ZGN-1061 showed no effect on an important known biomarker of safety previously identified.</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Based on these positive data and continuing supportive nonclinical data, ZGN-1061 was advanced into Phase 2 clinical development. In September 2017, we initiated a Phase 2 clinical trial for ZGN-1061 in patients with complex type 2 diabetes. Patients in this trial have uncontrolled A1C levels – the primary measurement for assessing glycemic control for type 2 diabetes patients. Though uncontrolled, the majority of patients enrolled in this clinical trial are already on multiple other anti-diabetic medications. The primary objectives of this ongoing clinical trial are to assess the efficacy, safety and tolerability of ZGN-1061 in these patients.</w:t>
      </w:r>
    </w:p>
    <w:p>
      <w:pPr>
        <w:spacing w:after="0" w:line="188"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Also in 2017, we appointed Jeffrey Hatfield as our Chief Executive Officer, or CEO. Thomas Hughes, Ph.D., continues to serve as our President and has assumed the newly-created role of Chief Scientific Officer. Both Mr. Hatfield and Dr. Hughes serve on Zafgen’s Board of Directors.</w:t>
      </w:r>
    </w:p>
    <w:p>
      <w:pPr>
        <w:ind w:left="200" w:right="320"/>
        <w:spacing w:after="0" w:line="323" w:lineRule="auto"/>
        <w:rPr>
          <w:sz w:val="20"/>
          <w:szCs w:val="20"/>
          <w:color w:val="auto"/>
        </w:rPr>
      </w:pPr>
      <w:r>
        <w:rPr>
          <w:rFonts w:ascii="Arial" w:cs="Arial" w:eastAsia="Arial" w:hAnsi="Arial"/>
          <w:sz w:val="16"/>
          <w:szCs w:val="16"/>
          <w:color w:val="auto"/>
        </w:rPr>
        <w:t>Mr. Hatfield is a veteran biotechnology and pharmaceutical industry leader, with over three decades of experience. Most recently, he served as Chief Executive Officer of Vitae Pharmaceuticals, Inc. from the company’s formation until its unsolicited acquisition by Allergan plc in October 2016.</w:t>
      </w:r>
    </w:p>
    <w:p>
      <w:pPr>
        <w:spacing w:after="0" w:line="13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Finally, in December 2017, we completed a $20.0 million venture debt financing with Silicon Valley Bank, increasing our cash, cash equivalents and marketable securities balance to $102.1 million as of December 31, 2017.</w:t>
      </w:r>
    </w:p>
    <w:p>
      <w:pPr>
        <w:spacing w:after="0" w:line="17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As we entered 2018, we were pleased to announce that the Company is returning to the rare metabolic disease space. ZGN-1258, a second highly optimized MetAP2 inhibitor, was selected as a development candidate for treating rare metabolic diseases, targeting an initial indication in Prader-Willi syndrome (PWS). In March, we followed the candidate selection announcement with initiation of formal investigational new drug (IND) enabling studies with ZGN-1258. In preclinical studies, ZGN-1258 demonstrated an efficacy profile nearly identical to the Company’s first-generation inhibitor, but with a highly differentiated safety profile that provides a 100-fold safety margin compared to the prior compound’s one known liability.</w:t>
      </w:r>
    </w:p>
    <w:p>
      <w:pPr>
        <w:spacing w:after="0" w:line="15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Throughout the past two years, Zafgen has undertaken extensive efforts to further characterize the MetAP2 pathway and its effects in various systems, and to optimize the profile of its development candidates to reflect this increased understanding. Each of Zafgen’s current development candidates has been designed to preferentially distribute to specific target tissue systems relating directly to the indication being pursued, while reducing significantly the exposure to other tissue systems reached by its first MetAP2 inhibitor. As a result, we expect current development candidates to have a substantial safety advantage over our first MetAP2 inhibitor.</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March 2018, we conducted an interim analysis of the ongoing 12 week Phase 2 proof-of-concept ZAF-1061-201 clinical trial of ZGN-1061 in type 2 diabetes, to gather data for potential medical conference abstract submissions later in 2018. At that time, 57 patients had completed at least 8 weeks of treatment with various doses of ZGN-1061. Interim results were favorable:</w:t>
      </w:r>
    </w:p>
    <w:p>
      <w:pPr>
        <w:spacing w:after="0" w:line="87" w:lineRule="exact"/>
        <w:rPr>
          <w:sz w:val="20"/>
          <w:szCs w:val="20"/>
          <w:color w:val="auto"/>
        </w:rPr>
      </w:pPr>
    </w:p>
    <w:p>
      <w:pPr>
        <w:ind w:left="1060" w:right="46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Interim data suggest that ZGN-1061 is safe and well-tolerated in the trial, with no safety signals observed or reported, and side effects generally comparable to placebo.</w:t>
      </w:r>
    </w:p>
    <w:p>
      <w:pPr>
        <w:spacing w:after="0" w:line="75" w:lineRule="exact"/>
        <w:rPr>
          <w:rFonts w:ascii="Arial" w:cs="Arial" w:eastAsia="Arial" w:hAnsi="Arial"/>
          <w:sz w:val="18"/>
          <w:szCs w:val="18"/>
          <w:color w:val="auto"/>
        </w:rPr>
      </w:pPr>
    </w:p>
    <w:p>
      <w:pPr>
        <w:ind w:left="1060" w:right="20" w:hanging="316"/>
        <w:spacing w:after="0" w:line="279"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Interim analysis of efficacy data indicates that the 0.9 mg dose cohort produced a statistically significant placebo adjusted change in A1C at 8 weeks of -0.57%, p &lt; 0.05. MetAP2 inhibition has historically produced a consistent A1C lowering effect that builds in magnitude continuously through at least 26 weeks. These efficacy results, at a mid-range dose of ZGN-1061 and at only 8 weeks, are in line with our expectations, and exceed our expectations for statistical significance at this point in the clinical trial.</w:t>
      </w:r>
    </w:p>
    <w:p>
      <w:pPr>
        <w:spacing w:after="0" w:line="76" w:lineRule="exact"/>
        <w:rPr>
          <w:rFonts w:ascii="Arial" w:cs="Arial" w:eastAsia="Arial" w:hAnsi="Arial"/>
          <w:sz w:val="17"/>
          <w:szCs w:val="17"/>
          <w:color w:val="auto"/>
        </w:rPr>
      </w:pPr>
    </w:p>
    <w:p>
      <w:pPr>
        <w:ind w:left="1060" w:right="20" w:hanging="316"/>
        <w:spacing w:after="0" w:line="279"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the confidence instilled by the safety and tolerability results of this interim analysis, Zafgen has opted to explore the higher end of the therapeutic range of ZGN-1061 by adding a 1.8 mg dose arm to the clinical trial. This arm will run nearly in parallel with completion of long-term toxicology studies for ZGN-1061. We remain on track to announce full 12-week topline data from the core part of this proof-of-concept clinical trial in mid-year 2018. Results of the additional 1.8 mg arm are expected in early 2019.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Highlights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believe our compensation program has been effective to attract a seasoned CEO, Jeffrey Hatfield, in October 2017, and retaining and motivating the executive team and staff during a time where we continued to rebuild the company. The Compensation Committee of our Board of Directors, or the Compensation Committee, in consultation with our CEO, made the following decisions with respect to our compensation program for our executive officers.</w:t>
      </w:r>
    </w:p>
    <w:p>
      <w:pPr>
        <w:spacing w:after="0" w:line="88" w:lineRule="exact"/>
        <w:rPr>
          <w:sz w:val="20"/>
          <w:szCs w:val="20"/>
          <w:color w:val="auto"/>
        </w:rPr>
      </w:pPr>
    </w:p>
    <w:p>
      <w:pPr>
        <w:ind w:left="1060" w:right="780" w:hanging="316"/>
        <w:spacing w:after="0" w:line="385" w:lineRule="auto"/>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Cash bonuses to executives under the annual performance-based cash bonus program. </w:t>
      </w:r>
      <w:r>
        <w:rPr>
          <w:rFonts w:ascii="Arial" w:cs="Arial" w:eastAsia="Arial" w:hAnsi="Arial"/>
          <w:sz w:val="15"/>
          <w:szCs w:val="15"/>
          <w:color w:val="auto"/>
        </w:rPr>
        <w:t>In February 2018, the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awarded our executive officers a cash bonus for 2017 based on the achievement of corporate goals in 2017.</w:t>
      </w:r>
    </w:p>
    <w:p>
      <w:pPr>
        <w:ind w:left="1060" w:hanging="316"/>
        <w:spacing w:after="0" w:line="29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Equity grants to executives and our staff continue to be an important part of compensation. </w:t>
      </w:r>
      <w:r>
        <w:rPr>
          <w:rFonts w:ascii="Arial" w:cs="Arial" w:eastAsia="Arial" w:hAnsi="Arial"/>
          <w:sz w:val="16"/>
          <w:szCs w:val="16"/>
          <w:color w:val="auto"/>
        </w:rPr>
        <w:t>In February 2018,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awarded our executive officers and staff stock option grants that considered the need to retain executive officers and staff when determining the amounts of the annual stock option grants. The Compensation Committee also considered the competitive hiring market for our industry. The Compensation Committee believes that granting stock options at this critical time in the Company’s development aligns executive officer’s incentives with our corporate strategy, business objectives and the long-term interest of our stockholders.</w:t>
      </w:r>
    </w:p>
    <w:p>
      <w:pPr>
        <w:sectPr>
          <w:pgSz w:w="11900" w:h="16838" w:orient="portrait"/>
          <w:cols w:equalWidth="0" w:num="1">
            <w:col w:w="11160"/>
          </w:cols>
          <w:pgMar w:left="240" w:top="459"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96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2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5"/>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7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OVERVIEW OF PROPOSALS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PROPOSAL 1 ELECTION OF DIRECTORS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4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PROPOSAL 2 RATIFICATION OF APPOINTMENT OF INDEPENDENT AUDITORS</w:t>
              </w:r>
            </w:hyperlink>
          </w:p>
        </w:tc>
        <w:tc>
          <w:tcPr>
            <w:tcW w:w="2320" w:type="dxa"/>
            <w:vAlign w:val="bottom"/>
            <w:gridSpan w:val="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TRANSACTION OF OTHER BUSINESS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7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SECURITY OWNERSHIP OF CERTAIN BENEFICIAL OWNERS AND MANAGEMENT</w:t>
              </w:r>
            </w:hyperlink>
          </w:p>
        </w:tc>
        <w:tc>
          <w:tcPr>
            <w:tcW w:w="20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EXECUTIVE OFFICERS</w:t>
              </w:r>
            </w:hyperlink>
          </w:p>
        </w:tc>
        <w:tc>
          <w:tcPr>
            <w:tcW w:w="6860" w:type="dxa"/>
            <w:vAlign w:val="bottom"/>
            <w:gridSpan w:val="1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RELATED PERSON TRANSACTIONS</w:t>
              </w:r>
            </w:hyperlink>
          </w:p>
        </w:tc>
        <w:tc>
          <w:tcPr>
            <w:tcW w:w="5800" w:type="dxa"/>
            <w:vAlign w:val="bottom"/>
            <w:gridSpan w:val="8"/>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COMMITTEE INTERLOCKS AND INSIDER PARTICIPATION</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6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SECTION 16(A) BENEFICIAL OWNERSHIP REPORTING COMPLIANCE</w:t>
              </w:r>
            </w:hyperlink>
          </w:p>
        </w:tc>
        <w:tc>
          <w:tcPr>
            <w:tcW w:w="2560" w:type="dxa"/>
            <w:vAlign w:val="bottom"/>
            <w:gridSpan w:val="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CORPORATE GOVERNANCE</w:t>
              </w:r>
            </w:hyperlink>
          </w:p>
        </w:tc>
        <w:tc>
          <w:tcPr>
            <w:tcW w:w="3320" w:type="dxa"/>
            <w:vAlign w:val="bottom"/>
            <w:tcBorders>
              <w:top w:val="single" w:sz="8" w:color="0000EE"/>
            </w:tcBorders>
            <w:gridSpan w:val="6"/>
          </w:tcPr>
          <w:p>
            <w:pPr>
              <w:spacing w:after="0"/>
              <w:rPr>
                <w:sz w:val="17"/>
                <w:szCs w:val="17"/>
                <w:color w:val="auto"/>
              </w:rPr>
            </w:pPr>
          </w:p>
        </w:tc>
        <w:tc>
          <w:tcPr>
            <w:tcW w:w="3080" w:type="dxa"/>
            <w:vAlign w:val="bottom"/>
            <w:gridSpan w:val="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EXECUTIVE COMPENSATION</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DIRECTOR COMPENSATION</w:t>
              </w:r>
            </w:hyperlink>
          </w:p>
        </w:tc>
        <w:tc>
          <w:tcPr>
            <w:tcW w:w="100" w:type="dxa"/>
            <w:vAlign w:val="bottom"/>
            <w:tcBorders>
              <w:top w:val="single" w:sz="8" w:color="0000EE"/>
            </w:tcBorders>
            <w:gridSpan w:val="2"/>
          </w:tcPr>
          <w:p>
            <w:pPr>
              <w:spacing w:after="0"/>
              <w:rPr>
                <w:sz w:val="17"/>
                <w:szCs w:val="17"/>
                <w:color w:val="auto"/>
              </w:rPr>
            </w:pPr>
          </w:p>
        </w:tc>
        <w:tc>
          <w:tcPr>
            <w:tcW w:w="6320" w:type="dxa"/>
            <w:vAlign w:val="bottom"/>
            <w:gridSpan w:val="9"/>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HOUSEHOLDING OF PROXY MATERIALS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2018 ANNUAL MEETING OF STOCKHOLDERS</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Our Board of Directors, or the Board of Directors, has made this Proxy Statement, or this Proxy Statement, and related materials available to you on the Internet, or at your request has delivered printed versions to you by mail, in connection with the Board of Directors’ solicitation of proxies for our 2018 Annual Meeting of Stockholders, or the Annual Meeting, and any adjournments or postponements of the Annual Meeting. If you requested printed versions of these materials by mail, they will also include a proxy card for the Annual Meeting.</w:t>
      </w:r>
    </w:p>
    <w:p>
      <w:pPr>
        <w:spacing w:after="0" w:line="17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Pursuant to rules adopted by the Securities and Exchange Commission, or SEC, we are providing access to our proxy materials over the Internet. Accordingly, we are sending a Notice of Internet Availability of Proxy Materials, or the Notice, to our stockholders of record and beneficial owners as of the record date identified below. The mailing of the Notice to our stockholders is scheduled to begin on or around April 20, 2018.</w:t>
      </w:r>
    </w:p>
    <w:p>
      <w:pPr>
        <w:spacing w:after="0" w:line="162" w:lineRule="exact"/>
        <w:rPr>
          <w:sz w:val="20"/>
          <w:szCs w:val="20"/>
          <w:color w:val="auto"/>
        </w:rPr>
      </w:pPr>
    </w:p>
    <w:p>
      <w:pPr>
        <w:jc w:val="both"/>
        <w:ind w:left="200" w:right="140" w:firstLine="441"/>
        <w:spacing w:after="0" w:line="266"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STOCKHOLDERS TO BE HELD ON June 6, 2018: </w:t>
      </w:r>
      <w:r>
        <w:rPr>
          <w:rFonts w:ascii="Arial" w:cs="Arial" w:eastAsia="Arial" w:hAnsi="Arial"/>
          <w:sz w:val="18"/>
          <w:szCs w:val="18"/>
          <w:b w:val="1"/>
          <w:bCs w:val="1"/>
          <w:i w:val="1"/>
          <w:iCs w:val="1"/>
          <w:color w:val="auto"/>
        </w:rPr>
        <w:t>This Proxy Statement, the accompanying proxy card or voting instruction card and our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2017 Annual Report on Form 10-K are available at http://www.proxyvote.com</w:t>
      </w:r>
      <w:r>
        <w:rPr>
          <w:rFonts w:ascii="Arial" w:cs="Arial" w:eastAsia="Arial" w:hAnsi="Arial"/>
          <w:sz w:val="18"/>
          <w:szCs w:val="18"/>
          <w:color w:val="auto"/>
        </w:rPr>
        <w:t>.</w:t>
      </w:r>
    </w:p>
    <w:p>
      <w:pPr>
        <w:spacing w:after="0" w:line="18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this Proxy Statement, the terms “Zafgen,” “we,” “us,” and “our” refer to Zafgen, Inc. The mailing address of our principal executive offices is Zafgen, Inc., 175 Portland Street, 4th Floor, Boston, MA 02114.</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in which we have total annual gross revenues of $1.07 billion or more; (ii) December 31, 2019; (iii) the date on which we have issued more than $1 billion in nonconvertible debt during the previous three years; or (iv) the date on which we are deemed to be a large accelerated filer under the rules of the SEC.</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Entitled to Vote; Record Date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the close of business on April 11, 2018, the record date for determination of stockholders entitled to vote at the Annual Meeting, there were outstanding 27,563,346 shares of our common stock, par value $0.001 per share, or common stock, all of which are entitled to vote with respect to all matters to be acted upon at the Annual Meeting. Each stockholder of record is entitled to one vote for each share of our common stock held by such stockholder. No shares of our preferred stock were outstanding as of the record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Abstentions; Broker Non-Votes</w:t>
      </w:r>
    </w:p>
    <w:p>
      <w:pPr>
        <w:spacing w:after="0" w:line="121" w:lineRule="exact"/>
        <w:rPr>
          <w:sz w:val="20"/>
          <w:szCs w:val="20"/>
          <w:color w:val="auto"/>
        </w:rPr>
      </w:pPr>
    </w:p>
    <w:p>
      <w:pPr>
        <w:ind w:left="200" w:right="440" w:firstLine="441"/>
        <w:spacing w:after="0" w:line="312" w:lineRule="auto"/>
        <w:rPr>
          <w:sz w:val="20"/>
          <w:szCs w:val="20"/>
          <w:color w:val="auto"/>
        </w:rPr>
      </w:pPr>
      <w:r>
        <w:rPr>
          <w:rFonts w:ascii="Arial" w:cs="Arial" w:eastAsia="Arial" w:hAnsi="Arial"/>
          <w:sz w:val="16"/>
          <w:szCs w:val="16"/>
          <w:color w:val="auto"/>
        </w:rPr>
        <w:t>Our By-laws provide that a majority of the shares entitled to vote, present in person or represented by proxy, will constitute a quorum for the transaction of business at the Annual Meeting. Under the General Corporation Law of the State of Delaware, shares that are voted “abstain” or “withheld” and broker “non-votes” are counted as present for purposes of determining whether a quorum is present at the Annual Meeting.</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Under our By-laws, any proposal other than an election of directors is decided by a majority of the votes properly cast for and against such proposal, except where a larger vote is required by law or by our Certificate of Incorporation or By-laws. Abstentions and broker “non-votes” are not included in the tabulation of the voting results on any such proposal and, therefore, do not have the effect of votes in opposition to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1 is a “non-discretionary” item. If you do not instruct your broker how to vote with respect to that proposal, your broker may not vote for that proposal, and those votes will be counted as broker “non-votes.” Proposal 2 is considered to be a discretionary item, and your brokerage firm will be able to vote on this proposal even if it does not receive instructions from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If you are a stockholder of record, you may vote in person at the meeting. We will give you a ballot when you arrive. If you hold your shares through a bank or broker and wish to vote in person at the meeting, you must obtain a valid proxy from the firm that holds your shares.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By Proxy</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If you do not wish to vote in person or will not be attending the meeting, you may vote by proxy. You can vote by proxy over the Internet by following the instructions provided in the Notice, or, if you requested printed copies of the proxy materials by mail, you can vote by mailing your proxy as described in the proxy materials.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w:t>
      </w:r>
    </w:p>
    <w:p>
      <w:pPr>
        <w:spacing w:after="0" w:line="18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enclosed proxy card and acting thereunder will have discretion to vote on those matters in accordance with their best judgment. We do not currently anticipate that any other matters will be raised at the Annual Meeting.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Proxy</w:t>
      </w:r>
    </w:p>
    <w:p>
      <w:pPr>
        <w:spacing w:after="0" w:line="12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You may revoke your proxy by (1) following the instructions on the Notice and entering a new vote by mail or over the Internet before the Annual Meeting or (2) attending the Annual Meeting and voting in person (although attendance at the Annual Meeting will not in and of itself revoke a proxy). Any written notice of revocation or subsequent proxy card must be received by our Secretary prior to the taking of the vote at the Annual Meeting. Such written notice of revocation or subsequent proxy card should be hand delivered to our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Secretary or sent to our principal executive offices at Zafgen, Inc., 175 Portland Street, 4th Floor, Boston, MA 02114, Attention: Secretary. If a broker, bank, or other nominee holds your shares, you must contact such broker, bank, or nominee in order to find out how to change your vote.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 of Solicitation</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Zafgen is making this solicitation and will pay the entire cost of preparing and distributing the Notice and these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Broadridge Financial Solutions, Inc. to assist us in preparing, mailing, returning, and tabulating the proxies. We have also hired Laurel Hill for the solicitation of votes described above for a fee of $7,800 plus reimbursement of reasonable out-of-pocket expenses.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 for Submitting Stockholder Proposals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Stockholder proposals intended to be presented at the next annual meeting of our stockholders must satisfy the requirements set forth in the advance notice provision under our By-laws. To be timely for our next annual meeting of stockholders, any such proposal must be delivered in writing to our Secretary at 175 Portland Street, 4th Floor Boston, MA 02114 between the close of business on February 6, 2019, and March 8, 2019. If the date of the next annual meeting of the stockholders is scheduled to take place before May 7, 2019, or after August 5, 2019, notice by the stockholder must be delivered no later than the close of business on the later of (1) the 90th day prior to such annual meeting or (2) the 10th day following the day on which public announcement of the date of such meeting is first made.</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we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our books, of the stockholder proposing such business, the number of shares of our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any stockholder proposal intended to be included in the Proxy Statement for the next annual meeting of our stockholders must also satisfy the SEC regulations under Rule 14a-8 of the Exchange Act, and be received not later than December 21, 2018.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OVERVIEW OF PROPOSALS</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This Proxy Statement contains two proposals requiring stockholder action. Proposal 1 requests the election of three Class I directors to the Board of Directors. Proposal 2 requests the ratification of the appointment of PricewaterhouseCoopers LLP as our independent registered public accounting firm for the fiscal year ending December 31, 2018. Each of the proposals is discussed in more detail in the pages that follow.</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Board of Directors is divided into three classes. One class is elected each year at the annual meeting of stockholders for a term of three years. Vacancies on the Board of Directors are filled exclusively by the affirmative vote of a majority of the remaining directors, even if less than a quorum is present, and not by stockholders. A director elected by the Board of Directors to fill a vacancy in a class shall hold office for the remainder of the full term of that class, and until the director’s successor is duly elected and qualified or until his or her earlier resignation, death, or removal.</w:t>
      </w:r>
    </w:p>
    <w:p>
      <w:pPr>
        <w:spacing w:after="0" w:line="154"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terms of the Class I directors are scheduled to expire on the date of the upcoming Annual Meeting. Based on the recommendation of the Nominating and Corporate Governance Committee of the Board of Directors, or Nominating and Corporate Governance Committee, the Board of Directors’ nominees for election by the stockholders are the current Class I members: Thomas O. Daniel, M.D., Cameron Geoffrey McDonough, M.D., and Robert J. Perez. If elected, each nominee will serve as a director until the annual meeting of stockholders in 2021 and until his successor is duly elected and qualified, or until his earlier death, resignation, or removal.</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below. There are no family relationships among any of our directors or executive officers.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 director nominees to the Board of Directors. If any of the nominees should for any reason be unable or unwilling to serve at any time prior to the Annual Meeting, the proxies will be voted for the election of such substitute nominee as the Board of Directors may designate.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Nominees for Class I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names of the nominees for Class I directors and certain information about each as of April 2, 2018 are set forth below.</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500" w:type="dxa"/>
            <w:vAlign w:val="bottom"/>
            <w:gridSpan w:val="2"/>
            <w:vMerge w:val="restart"/>
          </w:tcPr>
          <w:p>
            <w:pPr>
              <w:jc w:val="center"/>
              <w:ind w:left="1019"/>
              <w:spacing w:after="0"/>
              <w:rPr>
                <w:sz w:val="20"/>
                <w:szCs w:val="20"/>
                <w:color w:val="auto"/>
              </w:rPr>
            </w:pPr>
            <w:r>
              <w:rPr>
                <w:rFonts w:ascii="Arial" w:cs="Arial" w:eastAsia="Arial" w:hAnsi="Arial"/>
                <w:sz w:val="14"/>
                <w:szCs w:val="14"/>
                <w:b w:val="1"/>
                <w:bCs w:val="1"/>
                <w:color w:val="auto"/>
                <w:w w:val="92"/>
              </w:rPr>
              <w:t>Positions and Offices Held with Zafgen</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Director</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4"/>
                <w:szCs w:val="14"/>
                <w:b w:val="1"/>
                <w:bCs w:val="1"/>
                <w:color w:val="auto"/>
              </w:rPr>
              <w:t>Since</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5"/>
              </w:rPr>
              <w:t>Director</w:t>
            </w:r>
          </w:p>
        </w:tc>
        <w:tc>
          <w:tcPr>
            <w:tcW w:w="940" w:type="dxa"/>
            <w:vAlign w:val="bottom"/>
          </w:tcPr>
          <w:p>
            <w:pPr>
              <w:spacing w:after="0" w:line="20" w:lineRule="exact"/>
              <w:rPr>
                <w:sz w:val="1"/>
                <w:szCs w:val="1"/>
                <w:color w:val="auto"/>
              </w:rPr>
            </w:pPr>
          </w:p>
        </w:tc>
        <w:tc>
          <w:tcPr>
            <w:tcW w:w="520" w:type="dxa"/>
            <w:vAlign w:val="bottom"/>
            <w:tcBorders>
              <w:top w:val="single" w:sz="8" w:color="auto"/>
            </w:tcBorders>
            <w:vMerge w:val="restart"/>
          </w:tcPr>
          <w:p>
            <w:pPr>
              <w:jc w:val="right"/>
              <w:spacing w:after="0" w:line="195" w:lineRule="exact"/>
              <w:rPr>
                <w:sz w:val="20"/>
                <w:szCs w:val="20"/>
                <w:color w:val="auto"/>
              </w:rPr>
            </w:pPr>
            <w:r>
              <w:rPr>
                <w:rFonts w:ascii="Arial" w:cs="Arial" w:eastAsia="Arial" w:hAnsi="Arial"/>
                <w:sz w:val="18"/>
                <w:szCs w:val="18"/>
                <w:color w:val="auto"/>
              </w:rPr>
              <w:t>2016</w:t>
            </w:r>
          </w:p>
        </w:tc>
        <w:tc>
          <w:tcPr>
            <w:tcW w:w="980" w:type="dxa"/>
            <w:vAlign w:val="bottom"/>
          </w:tcPr>
          <w:p>
            <w:pPr>
              <w:spacing w:after="0" w:line="20" w:lineRule="exact"/>
              <w:rPr>
                <w:sz w:val="1"/>
                <w:szCs w:val="1"/>
                <w:color w:val="auto"/>
              </w:rPr>
            </w:pPr>
          </w:p>
        </w:tc>
        <w:tc>
          <w:tcPr>
            <w:tcW w:w="260" w:type="dxa"/>
            <w:vAlign w:val="bottom"/>
            <w:tcBorders>
              <w:top w:val="single" w:sz="8" w:color="auto"/>
            </w:tcBorders>
            <w:vMerge w:val="restart"/>
          </w:tcPr>
          <w:p>
            <w:pPr>
              <w:jc w:val="right"/>
              <w:spacing w:after="0" w:line="195"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Thomas O. Daniel, M.D.</w:t>
            </w:r>
          </w:p>
        </w:tc>
        <w:tc>
          <w:tcPr>
            <w:tcW w:w="110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Cameron Geoffrey McDonough, M.D.</w:t>
            </w:r>
          </w:p>
        </w:tc>
        <w:tc>
          <w:tcPr>
            <w:tcW w:w="1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Robert J. Perez</w:t>
            </w:r>
          </w:p>
        </w:tc>
        <w:tc>
          <w:tcPr>
            <w:tcW w:w="1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00" w:type="dxa"/>
            <w:vAlign w:val="bottom"/>
            <w:gridSpan w:val="2"/>
          </w:tcPr>
          <w:p>
            <w:pPr>
              <w:jc w:val="right"/>
              <w:ind w:right="2190"/>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Not Standing for Election or Re-Election</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names of and certain information as of April 2, 2018 about the members of the Board of Directors who are not standing for election or re-election at this year’s Annual Meeting are set forth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Class and Year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2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Positions and Offices Held with Zafgen</w:t>
            </w:r>
          </w:p>
        </w:tc>
        <w:tc>
          <w:tcPr>
            <w:tcW w:w="800" w:type="dxa"/>
            <w:vAlign w:val="bottom"/>
            <w:gridSpan w:val="2"/>
            <w:vMerge w:val="continue"/>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 Which Term</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Since</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Will Expire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4"/>
              </w:rPr>
              <w:t>Peter</w:t>
            </w:r>
          </w:p>
        </w:tc>
        <w:tc>
          <w:tcPr>
            <w:tcW w:w="2400" w:type="dxa"/>
            <w:vAlign w:val="bottom"/>
          </w:tcPr>
          <w:p>
            <w:pPr>
              <w:ind w:left="60"/>
              <w:spacing w:after="0" w:line="176" w:lineRule="exact"/>
              <w:rPr>
                <w:sz w:val="20"/>
                <w:szCs w:val="20"/>
                <w:color w:val="auto"/>
              </w:rPr>
            </w:pPr>
            <w:r>
              <w:rPr>
                <w:rFonts w:ascii="Arial" w:cs="Arial" w:eastAsia="Arial" w:hAnsi="Arial"/>
                <w:sz w:val="18"/>
                <w:szCs w:val="18"/>
                <w:color w:val="auto"/>
              </w:rPr>
              <w:t>Barrett, Ph.D.</w:t>
            </w:r>
          </w:p>
        </w:tc>
        <w:tc>
          <w:tcPr>
            <w:tcW w:w="880" w:type="dxa"/>
            <w:vAlign w:val="bottom"/>
          </w:tcPr>
          <w:p>
            <w:pPr>
              <w:spacing w:after="0"/>
              <w:rPr>
                <w:sz w:val="15"/>
                <w:szCs w:val="15"/>
                <w:color w:val="auto"/>
              </w:rPr>
            </w:pPr>
          </w:p>
        </w:tc>
        <w:tc>
          <w:tcPr>
            <w:tcW w:w="45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Chairman of the Board</w:t>
            </w:r>
          </w:p>
        </w:tc>
        <w:tc>
          <w:tcPr>
            <w:tcW w:w="220" w:type="dxa"/>
            <w:vAlign w:val="bottom"/>
          </w:tcPr>
          <w:p>
            <w:pPr>
              <w:spacing w:after="0"/>
              <w:rPr>
                <w:sz w:val="15"/>
                <w:szCs w:val="15"/>
                <w:color w:val="auto"/>
              </w:rPr>
            </w:pPr>
          </w:p>
        </w:tc>
        <w:tc>
          <w:tcPr>
            <w:tcW w:w="5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2006</w:t>
            </w:r>
          </w:p>
        </w:tc>
        <w:tc>
          <w:tcPr>
            <w:tcW w:w="260" w:type="dxa"/>
            <w:vAlign w:val="bottom"/>
          </w:tcPr>
          <w:p>
            <w:pPr>
              <w:spacing w:after="0"/>
              <w:rPr>
                <w:sz w:val="15"/>
                <w:szCs w:val="15"/>
                <w:color w:val="auto"/>
              </w:rPr>
            </w:pPr>
          </w:p>
        </w:tc>
        <w:tc>
          <w:tcPr>
            <w:tcW w:w="12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Class II—2019</w:t>
            </w:r>
          </w:p>
        </w:tc>
        <w:tc>
          <w:tcPr>
            <w:tcW w:w="260" w:type="dxa"/>
            <w:vAlign w:val="bottom"/>
          </w:tcPr>
          <w:p>
            <w:pPr>
              <w:spacing w:after="0"/>
              <w:rPr>
                <w:sz w:val="15"/>
                <w:szCs w:val="15"/>
                <w:color w:val="auto"/>
              </w:rPr>
            </w:pPr>
          </w:p>
        </w:tc>
        <w:tc>
          <w:tcPr>
            <w:tcW w:w="2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Bruce Booth, Ph.D.</w:t>
            </w:r>
          </w:p>
        </w:tc>
        <w:tc>
          <w:tcPr>
            <w:tcW w:w="560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Class II—2019</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Frances K. Heller</w:t>
            </w:r>
          </w:p>
        </w:tc>
        <w:tc>
          <w:tcPr>
            <w:tcW w:w="560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Class II—2019</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Jeffrey S. Hatfield</w:t>
            </w:r>
          </w:p>
        </w:tc>
        <w:tc>
          <w:tcPr>
            <w:tcW w:w="5600" w:type="dxa"/>
            <w:vAlign w:val="bottom"/>
            <w:gridSpan w:val="3"/>
          </w:tcPr>
          <w:p>
            <w:pPr>
              <w:ind w:left="860"/>
              <w:spacing w:after="0"/>
              <w:rPr>
                <w:sz w:val="20"/>
                <w:szCs w:val="20"/>
                <w:color w:val="auto"/>
              </w:rPr>
            </w:pPr>
            <w:r>
              <w:rPr>
                <w:rFonts w:ascii="Arial" w:cs="Arial" w:eastAsia="Arial" w:hAnsi="Arial"/>
                <w:sz w:val="18"/>
                <w:szCs w:val="18"/>
                <w:color w:val="auto"/>
              </w:rPr>
              <w:t>Chief Executive Officer and 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Class III—2020</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Thomas E. Hughes, Ph.D.</w:t>
            </w:r>
          </w:p>
        </w:tc>
        <w:tc>
          <w:tcPr>
            <w:tcW w:w="5600" w:type="dxa"/>
            <w:vAlign w:val="bottom"/>
            <w:gridSpan w:val="3"/>
          </w:tcPr>
          <w:p>
            <w:pPr>
              <w:ind w:left="860"/>
              <w:spacing w:after="0"/>
              <w:rPr>
                <w:sz w:val="20"/>
                <w:szCs w:val="20"/>
                <w:color w:val="auto"/>
              </w:rPr>
            </w:pPr>
            <w:r>
              <w:rPr>
                <w:rFonts w:ascii="Arial" w:cs="Arial" w:eastAsia="Arial" w:hAnsi="Arial"/>
                <w:sz w:val="18"/>
                <w:szCs w:val="18"/>
                <w:color w:val="auto"/>
              </w:rPr>
              <w:t>President, Chief Scientific Officer and 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Class III—2020</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John L. LaMattina, Ph.D.</w:t>
            </w:r>
          </w:p>
        </w:tc>
        <w:tc>
          <w:tcPr>
            <w:tcW w:w="560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Class III—2020</w:t>
            </w:r>
          </w:p>
        </w:tc>
        <w:tc>
          <w:tcPr>
            <w:tcW w:w="2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760" w:type="dxa"/>
            <w:vAlign w:val="bottom"/>
            <w:gridSpan w:val="3"/>
          </w:tcPr>
          <w:p>
            <w:pPr>
              <w:spacing w:after="0"/>
              <w:rPr>
                <w:sz w:val="20"/>
                <w:szCs w:val="20"/>
                <w:color w:val="auto"/>
              </w:rPr>
            </w:pPr>
            <w:r>
              <w:rPr>
                <w:rFonts w:ascii="Arial" w:cs="Arial" w:eastAsia="Arial" w:hAnsi="Arial"/>
                <w:sz w:val="18"/>
                <w:szCs w:val="18"/>
                <w:color w:val="auto"/>
              </w:rPr>
              <w:t>Frank E. Thomas</w:t>
            </w:r>
          </w:p>
        </w:tc>
        <w:tc>
          <w:tcPr>
            <w:tcW w:w="560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Class III – 2020</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Set forth below are the biographies of each director, as well as a discussion of the particular experience, qualifications, attributes, and skills that led our Board of Directors to conclude that each person nominated to serve or currently serving on our Board of Directors should serve as a director. In addition to the information presented below, we believe that each director meets the minimum qualifications established by the Nominating and Corporate Governance Committee.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Thomas O. Daniel, M.D. </w:t>
      </w:r>
      <w:r>
        <w:rPr>
          <w:rFonts w:ascii="Arial" w:cs="Arial" w:eastAsia="Arial" w:hAnsi="Arial"/>
          <w:sz w:val="16"/>
          <w:szCs w:val="16"/>
          <w:color w:val="auto"/>
        </w:rPr>
        <w:t>Dr. Daniel has served as a member of our Board of Directors since March 2016. Dr. Daniel has more than 16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biopharmaceutical discovery and development. He is currently Chairman of Vividion Therapeutics, Inc., is a venture partner at ARCH Venture Partners, and serves as a director of ImmusanT, Inc., Gossamer Bio, Inc., Magenta Therapeutics, Inc., and VIR Biotechnology, Inc. Previously, he was Chairman of Research at Celgene Corporation, and served as President of Research and Early Development from December 2006 until February 2012, and as Executive Vice President and President of Research and Early Development until December 2015. Prior to Celgene, he served as Chief Scientific Officer and Director at Ambrx Inc., from August 2003 to November 2006. Dr. Daniel also served as Vice President of Research at Amgen from August 2002 to April 2003, where he was Research Site Head of Amgen Washington and Therapeutic Area Head of Inflammation. Prior to Amgen’s acquisition of Immunex Corporation, Dr. Daniel served as Senior Vice President of Discovery Research at Immunex from May 2000 to August 2002. Dr. Daniel has been a member of the Therapeutic Advisory Board of aTyr Pharma, Inc. since March 2011, and advises BlackThorn Therapeutics, Inc. a privately-held biotechnology company. Dr. Daniel serves as a member of the Biomedical Science Advisory Board of Vanderbilt University Medical Center.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earned an M.D. from the University of Texas, Southwestern, and completed medical residency at Massachusetts General Hospital. Dr. Daniel’s qualifications to sit on our Board of Directors include his biotechnology and pharmaceutical experience, including senior leadership roles at global biopharmaceutical companies Celgene Corporation and Amgen.</w:t>
      </w:r>
    </w:p>
    <w:p>
      <w:pPr>
        <w:spacing w:after="0" w:line="16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Cameron Geoffrey McDonough, M.D. </w:t>
      </w:r>
      <w:r>
        <w:rPr>
          <w:rFonts w:ascii="Arial" w:cs="Arial" w:eastAsia="Arial" w:hAnsi="Arial"/>
          <w:sz w:val="17"/>
          <w:szCs w:val="17"/>
          <w:color w:val="auto"/>
        </w:rPr>
        <w:t>Dr. McDonough has served as a member of our Board of Directors since September 2015. Since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2017, Dr. McDonough has served as the Chief Executive Officer and member of the Board of Directors of Generation Bio Corporation. From August 2011 to November 2017, he served as President and Chief Executive Officer of Swedish Orphan Biovitrum AB, or Sobi, a Swedish pharmaceutical company. Prior to joining Sobi, Dr. McDonough held several senior leadership positions at Genzyme Corporation, a biotechnology company, from 2002 to June 2011, including Senior Vice President and General Manager, Personalized Genetic Health, Senior Vice President, Lysosomal Storage Disease Therapeutics and most recently, as President of Europe, Middle East and Africa. Prior to joining Genzyme, Dr. McDonough was a practicing internist and pediatrician. He previously served on the board of directors of PTC Therapeutics, Inc. Dr. McDonough received a B.A. and a B.Sc. from the University of North Carolina at Chapel Hill and an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M.D. from Harvard Medical School. Dr. McDonough’s qualifications to sit on our Board of Directors include his valuable experience as an M.D. and the CEO of a rare disease company, Sobi, as well as his prior experience at Genzyme, one of the world’s largest biopharmaceutical companies, in addition to his experience on the board of directors of a publicly traded company.</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Robert J. Perez. </w:t>
      </w:r>
      <w:r>
        <w:rPr>
          <w:rFonts w:ascii="Arial" w:cs="Arial" w:eastAsia="Arial" w:hAnsi="Arial"/>
          <w:sz w:val="16"/>
          <w:szCs w:val="16"/>
          <w:color w:val="auto"/>
        </w:rPr>
        <w:t>Mr. Perez has served as a member of our Board of Directors since September 2015. He is the founder and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Vineyard Sound Advisors, a biopharmaceutical advisory firm, and the Executive Chairman at Akili Interactive Labs, Inc., a private digital therapeutics company. He is the former Chief Executive Officer of Cubist Pharmaceuticals, Inc., a public pharmaceutical development company, which was acquired by Merck in January 2015. He joined Cubist in August 2003 as Senior Vice President, Sales and Marketing, and led the launch of Cubicin</w:t>
      </w:r>
      <w:r>
        <w:rPr>
          <w:rFonts w:ascii="Arial" w:cs="Arial" w:eastAsia="Arial" w:hAnsi="Arial"/>
          <w:sz w:val="13"/>
          <w:szCs w:val="13"/>
          <w:color w:val="auto"/>
        </w:rPr>
        <w:t>®</w:t>
      </w:r>
      <w:r>
        <w:rPr>
          <w:rFonts w:ascii="Arial" w:cs="Arial" w:eastAsia="Arial" w:hAnsi="Arial"/>
          <w:sz w:val="16"/>
          <w:szCs w:val="16"/>
          <w:color w:val="auto"/>
        </w:rPr>
        <w:t xml:space="preserve"> (daptomycin for injection). He served as Executive Vice President and Chief Operating Officer from August 2007 to July 2012 and President and Chief Operating Officer from July 2012 to December 2014. Prior to joining Cubist, he served as Vice President of Biogen, Inc.’s CNS business unit from 2001 to 2003, where he was responsible for commercial leadership of an $800 million neurology business unit, and from 1995 to 2001 he held positions of increasing responsibility within Biogen’s CNS commercial organization. From 1987 to 1995, Mr. Perez held various sales and marketing positions at Zeneca Pharmaceuticals. Mr. Perez currently serves as a member of the board of directors of public companies Unum Therapeutics Inc., AMAG Pharmaceuticals, Inc., Cidara Therapeutics, Inc., and Spark Therapeutics, Inc., and private companies Vir Bio, and Akili Interactive Labs. Mr. Perez is the Founder and Chairman of Life Sciences Cares since January 2016, and has also been a member of the Board of Trustees at The Dana Farber Cancer Institute, Inc. since January 2013. Mr. Perez received a B.S. in business from California State University, Los Angeles and an M.B.A. from the Anderson Graduate School of Management at the University of California, Los Angeles. Mr. Perez’s qualifications to sit on our Board of Directors include his valuable pharmaceutical experience, including his service at Cubist Pharmaceuticals, Inc., a commercial stage biotechnology company, in addition to his experience at Biogen, Inc., and his experience as a director in many growth companies in the biotech sector.</w:t>
      </w:r>
    </w:p>
    <w:p>
      <w:pPr>
        <w:spacing w:after="0" w:line="169"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i w:val="1"/>
          <w:iCs w:val="1"/>
          <w:color w:val="auto"/>
        </w:rPr>
        <w:t xml:space="preserve">Peter Barrett, Ph.D. </w:t>
      </w:r>
      <w:r>
        <w:rPr>
          <w:rFonts w:ascii="Arial" w:cs="Arial" w:eastAsia="Arial" w:hAnsi="Arial"/>
          <w:sz w:val="16"/>
          <w:szCs w:val="16"/>
          <w:color w:val="auto"/>
        </w:rPr>
        <w:t>Dr. Barrett has served as the Chairman of our Board of Directors since August 2006. Dr. Barrett joined Atlas Venture, an</w:t>
      </w:r>
      <w:r>
        <w:rPr>
          <w:rFonts w:ascii="Arial" w:cs="Arial" w:eastAsia="Arial" w:hAnsi="Arial"/>
          <w:sz w:val="16"/>
          <w:szCs w:val="16"/>
          <w:i w:val="1"/>
          <w:iCs w:val="1"/>
          <w:color w:val="auto"/>
        </w:rPr>
        <w:t xml:space="preserve"> </w:t>
      </w:r>
      <w:r>
        <w:rPr>
          <w:rFonts w:ascii="Arial" w:cs="Arial" w:eastAsia="Arial" w:hAnsi="Arial"/>
          <w:sz w:val="16"/>
          <w:szCs w:val="16"/>
          <w:color w:val="auto"/>
        </w:rPr>
        <w:t>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served on the boards of directors of SciClone Pharmaceuticals, Inc. from 2011 to 2013, and Helicos BioSciences Corporation from 2003 to 2012 and Vitae Pharmaceuticals, Inc. from 2014 to 2015. Dr. Barrett currently serves on the boards of directors of the Perkin-Elmer Corporation and Synlogic, Inc., and several other privately held companies. Dr. Barrett is a Senior Fellow at Harvard Business School and is the faculty chair of the key advisory board of the Blavatnik Fellowship Program. He is a member of the research council at Boston Children’s Hospital.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our Board of Directors include his extensive leadership, executive, managerial and business experience with life sciences companies, including experience in the formation, development and business strategy of multiple start-up companies in the life sciences sector.</w:t>
      </w:r>
    </w:p>
    <w:p>
      <w:pPr>
        <w:spacing w:after="0" w:line="16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 xml:space="preserve">Bruce Booth, Ph.D. </w:t>
      </w:r>
      <w:r>
        <w:rPr>
          <w:rFonts w:ascii="Arial" w:cs="Arial" w:eastAsia="Arial" w:hAnsi="Arial"/>
          <w:sz w:val="16"/>
          <w:szCs w:val="16"/>
          <w:color w:val="auto"/>
        </w:rPr>
        <w:t>Dr. Booth has served as a member of our Board of Directors since August 2006. Dr. Booth joined Atlas Venture in 2005, and</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serves as partner. Prior to joining Atlas Venture, from 2004 to 2005, Dr. Booth was a principal at Caxton Health Holdings L.L.C., a healthcare-focused investment firm. Prior to Caxton, from 1999 to 2004, Dr. Booth was an associate principal at McKinsey &amp; Company, a global strategic management consulting firm. Dr. Booth serves on the board of Unum Therapeutics Inc. and miRagen Therapeutics, Inc., publicly-traded companies, and several privately-held companies. Dr. Booth earned a Ph.D. in molecular immunology from Oxford University’s Nuffield Department of Medicine and a B.S. in biochemistry from Pennsylvania State University. Dr. Booth’s qualifications to sit on our Board of Directors include his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extensive leadership, executive, managerial and business experience with life sciences companies, including experience in the formation, development and business strategy of multiple start-up companies in the life sciences sector.</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Frances K. Heller. </w:t>
      </w:r>
      <w:r>
        <w:rPr>
          <w:rFonts w:ascii="Arial" w:cs="Arial" w:eastAsia="Arial" w:hAnsi="Arial"/>
          <w:sz w:val="17"/>
          <w:szCs w:val="17"/>
          <w:color w:val="auto"/>
        </w:rPr>
        <w:t>Ms. Heller has served as a member of our Board of Directors since September 2014. Ms. Heller has nearly 20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pharmaceutical and biotechnology business development, licensing and legal affairs. During her career, Ms. Heller has led a number of strategic transactions and partnerships across a broad range of molecular modalities and in various therapeutic areas. Ms. Heller founded Good2Go, LLC in January 2015, and currently serves as Chief Executive Officer and member of the Board of Directors. From 2012 to 2014, she was senior vice president of business development at Bristol-Myers Squibb Company and a Trustee of the Bristol Myers Foundation. In addition, she currently serves as a Trustee of the Dana Farber Cancer Institute. Prior to joining Bristol-Meyers Squibb, from 2008 to 2011, Ms. Heller was executive vice president of business development at Exelixis, Inc., where she was successful in negotiating multiple partnerships and securing more than $500 million in guaranteed revenue. Prior to joining Exelixis from 2003 to 2008, Ms. Heller was head of strategic alliances at Novartis Pharmaceuticals Corporation, where she was responsible for transactions with partners in the pharmaceutical and biotech industries, as well as academic institutions worldwide. Ms. Heller is an instructor and guest lecturer at several universities as an expert in the business of strategy setting, deal making and negotiation. Ms. Heller is a member of the California State Bar and licensed by the U.S. Patent and Trademark Office. She holds a B.S. in biology from Tulane University, an M.A. in biology from American University and a J.D. from Golden Gate University School of Law. We believe that Ms. Heller’s extensive experience in the pharmaceutical and biotechnology industry combined with her expertise in business development, licensing and legal affairs qualifies her to serve on our Board of Directors.</w:t>
      </w:r>
    </w:p>
    <w:p>
      <w:pPr>
        <w:spacing w:after="0" w:line="185"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i w:val="1"/>
          <w:iCs w:val="1"/>
          <w:color w:val="auto"/>
        </w:rPr>
        <w:t xml:space="preserve">Jeffrey S. Hatfield. </w:t>
      </w:r>
      <w:r>
        <w:rPr>
          <w:rFonts w:ascii="Arial" w:cs="Arial" w:eastAsia="Arial" w:hAnsi="Arial"/>
          <w:sz w:val="17"/>
          <w:szCs w:val="17"/>
          <w:color w:val="auto"/>
        </w:rPr>
        <w:t>Mr. Hatfield has served as our Chief Executive Officer and member of our Board of Directors since October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chief executive officer and director of Vitae Pharmaceuticals, Inc., where he led the growth of the company from start-up in 2004, until its unsolicited acquisition by Allergan Plc. in 2016. Prior to joining Vitae, Mr. Hatfield worked as a senior executive at Bristol-Myers Squibb Corporation, or BMS, for twenty years, where he held roles of increasing responsibility including Senior Vice President, Immunology and Virology Divisions; President, BMS-Canada; and Vice President of US Market Access. During his career at BMS, Mr. Hatfield was directly involved with several successful commercial launches, including Plavix</w:t>
      </w:r>
      <w:r>
        <w:rPr>
          <w:rFonts w:ascii="Arial" w:cs="Arial" w:eastAsia="Arial" w:hAnsi="Arial"/>
          <w:sz w:val="14"/>
          <w:szCs w:val="14"/>
          <w:color w:val="auto"/>
        </w:rPr>
        <w:t>©</w:t>
      </w:r>
      <w:r>
        <w:rPr>
          <w:rFonts w:ascii="Arial" w:cs="Arial" w:eastAsia="Arial" w:hAnsi="Arial"/>
          <w:sz w:val="17"/>
          <w:szCs w:val="17"/>
          <w:color w:val="auto"/>
        </w:rPr>
        <w:t>, Pravachol</w:t>
      </w:r>
      <w:r>
        <w:rPr>
          <w:rFonts w:ascii="Arial" w:cs="Arial" w:eastAsia="Arial" w:hAnsi="Arial"/>
          <w:sz w:val="14"/>
          <w:szCs w:val="14"/>
          <w:color w:val="auto"/>
        </w:rPr>
        <w:t>©</w:t>
      </w:r>
      <w:r>
        <w:rPr>
          <w:rFonts w:ascii="Arial" w:cs="Arial" w:eastAsia="Arial" w:hAnsi="Arial"/>
          <w:sz w:val="17"/>
          <w:szCs w:val="17"/>
          <w:color w:val="auto"/>
        </w:rPr>
        <w:t>, Glucophage</w:t>
      </w:r>
      <w:r>
        <w:rPr>
          <w:rFonts w:ascii="Arial" w:cs="Arial" w:eastAsia="Arial" w:hAnsi="Arial"/>
          <w:sz w:val="14"/>
          <w:szCs w:val="14"/>
          <w:color w:val="auto"/>
        </w:rPr>
        <w:t>©</w:t>
      </w:r>
      <w:r>
        <w:rPr>
          <w:rFonts w:ascii="Arial" w:cs="Arial" w:eastAsia="Arial" w:hAnsi="Arial"/>
          <w:sz w:val="17"/>
          <w:szCs w:val="17"/>
          <w:color w:val="auto"/>
        </w:rPr>
        <w:t xml:space="preserve"> and Atripla</w:t>
      </w:r>
      <w:r>
        <w:rPr>
          <w:rFonts w:ascii="Arial" w:cs="Arial" w:eastAsia="Arial" w:hAnsi="Arial"/>
          <w:sz w:val="14"/>
          <w:szCs w:val="14"/>
          <w:color w:val="auto"/>
        </w:rPr>
        <w:t>©</w:t>
      </w:r>
      <w:r>
        <w:rPr>
          <w:rFonts w:ascii="Arial" w:cs="Arial" w:eastAsia="Arial" w:hAnsi="Arial"/>
          <w:sz w:val="17"/>
          <w:szCs w:val="17"/>
          <w:color w:val="auto"/>
        </w:rPr>
        <w:t>. Mr. Hatfield currently serves as a board member of aTyr Pharma, Inc., InVivo Therapeutics, Inc. and miRagen Therapeutics, Inc. He previously served on the board of Ambit Therapeutics, Inc. before its acquisition by Daiichi-Sankyo, and on the board and Executive Committee of BIO (the Biotechnology Innovation Organization). Mr. Hatfield earned an M.B.A. from The Wharton School, University of Pennsylvania, and a B.S. from the College of Pharmacy, Purdue University, where he currently serves as an Adjunct Professor for doctoral students, and as a member of the Dean’s Advisory Council. We believe that Mr. Hatfield’s extensive experience as a CEO at Vitae, along with his extensive experience in the pharmaceutical and biotechnology industry qualifies him to serve on our Board of Directors.</w:t>
      </w:r>
    </w:p>
    <w:p>
      <w:pPr>
        <w:spacing w:after="0" w:line="18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Thomas E. Hughes, Ph.D. </w:t>
      </w:r>
      <w:r>
        <w:rPr>
          <w:rFonts w:ascii="Arial" w:cs="Arial" w:eastAsia="Arial" w:hAnsi="Arial"/>
          <w:sz w:val="17"/>
          <w:szCs w:val="17"/>
          <w:color w:val="auto"/>
        </w:rPr>
        <w:t>Dr. Hughes has served as a member of our Board of Directors since October 2008, our Chief Scientific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2017 and our President since July 2016. Previously, Dr. Hughes served as our Chief Executive Officer from October 2008 to October 2017 and our President from October 2008 until June 2014. From 1987 to 2008, he held several positions at Novartis AG (and formerly Sandoz Pharmaceuticals) including vice president and global head of the cardiovascular and metabolic diseases therapeutic area at the Novartis Institutes for BioMedical Research in Cambridge, MA. In these roles he oversaw many drug discovery and development projects targeting obesity, diabetes and heart disease. Dr. Hughes is the author of over 40 peer-reviewed publications and is an inventor on numerous issued and pending patents related to the treatment of diabetes, cardiovascular disease and obesity. He currently serves as a member of the board of directors of miRagen Therapeutics, Inc. Dr. Hughes holds a Ph.D. in nutritional biochemistry from Tufts University, an M.S. in Zoology from Virginia Polytechnic Institute &amp; State University and a B.A. in biology from Franklin and Marshall College. Dr. Hughes’ qualifications to sit on our Board of Directors include his extensive knowledge of the obesity and metabolic disease industry combined with his leadership, executive,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managerial and pharmaceutical company experience, and his more than 25 years of industry experience in the development and commercialization of pharmaceutical products.</w:t>
      </w:r>
    </w:p>
    <w:p>
      <w:pPr>
        <w:spacing w:after="0" w:line="170" w:lineRule="exact"/>
        <w:rPr>
          <w:sz w:val="20"/>
          <w:szCs w:val="20"/>
          <w:color w:val="auto"/>
        </w:rPr>
      </w:pPr>
    </w:p>
    <w:p>
      <w:pPr>
        <w:ind w:left="200" w:right="120" w:firstLine="441"/>
        <w:spacing w:after="0" w:line="284" w:lineRule="auto"/>
        <w:rPr>
          <w:sz w:val="20"/>
          <w:szCs w:val="20"/>
          <w:color w:val="auto"/>
        </w:rPr>
      </w:pPr>
      <w:r>
        <w:rPr>
          <w:rFonts w:ascii="Arial" w:cs="Arial" w:eastAsia="Arial" w:hAnsi="Arial"/>
          <w:sz w:val="16"/>
          <w:szCs w:val="16"/>
          <w:i w:val="1"/>
          <w:iCs w:val="1"/>
          <w:color w:val="auto"/>
        </w:rPr>
        <w:t xml:space="preserve">John L. LaMattina, Ph.D. </w:t>
      </w:r>
      <w:r>
        <w:rPr>
          <w:rFonts w:ascii="Arial" w:cs="Arial" w:eastAsia="Arial" w:hAnsi="Arial"/>
          <w:sz w:val="16"/>
          <w:szCs w:val="16"/>
          <w:color w:val="auto"/>
        </w:rPr>
        <w:t>Dr. LaMattina has served as a member of our Board of Directors since December 2013. Since 2009, Dr. LaMattina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a senior partner at PureTech Health, a technology development company focusing on biotech investments. Dr. LaMattina is also on the board of directors of PureTech Health.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w:t>
      </w:r>
    </w:p>
    <w:p>
      <w:pPr>
        <w:spacing w:after="0" w:line="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Dr. LaMattina served on the Board of Directors of Neurogen Corp. Dr. LaMattina currently serves on several boards, including the Board of Directors of Ligand Pharmaceuticals, Inc., Gelesis, Inc. and Vedanta Biosciences, Inc. Dr. LaMattina’s qualifications to sit on our Board of Directors include his valuable pharmaceutical experience, including his service at Pfizer Inc., one of the world’s largest pharmaceutical companies, in addition to his experience on several boards and involvement in the biotechnology industry through his position as a senior partner and member of the board of directors at PureTech Health.</w:t>
      </w:r>
    </w:p>
    <w:p>
      <w:pPr>
        <w:spacing w:after="0" w:line="191"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i w:val="1"/>
          <w:iCs w:val="1"/>
          <w:color w:val="auto"/>
        </w:rPr>
        <w:t>Frank E. Thomas</w:t>
      </w:r>
      <w:r>
        <w:rPr>
          <w:rFonts w:ascii="Arial" w:cs="Arial" w:eastAsia="Arial" w:hAnsi="Arial"/>
          <w:sz w:val="17"/>
          <w:szCs w:val="17"/>
          <w:color w:val="auto"/>
        </w:rPr>
        <w:t>. Mr. Thomas has served as a member of our Board of Directors since June 2014. Mr. Thomas has been the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Chief Business Officer of Orchard Therapeutics Limited since January 2018, a development-stage biotechnology company based in the United Kingdom. Prior to Orchard, Mr. Thomas served as President and Chief Operating Officer of AMAG Pharmaceuticals, Inc., a publicly traded, specialty pharmaceutical company, from April 2015 to April 2017, as AMAG’s Executive Vice President and Chief Operating Officer from May 2012 through April 2015 and as Executive Vice President, Chief Financial Officer and Treasurer from August 2011 through May 2012. Prior to AMAG, he served as Senior Vice President, Chief Operating Officer and Chief Financial Officer for Molecular Biometrics, Inc., a commercial stage medical diagnostics company, from October 2008 to July 2011. Prior to Molecular Biometrics, Mr. Thomas spent four years at Critical Therapeutics, Inc., a public biopharmaceutical company, from April 2004 to March 2008, where he was promoted to President in June 2006 and Chief Executive Officer in December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We believe that Mr. Thomas’ extensive management experience at biopharmaceutical companies and with financial matters qualifies him to serve on our Board of Directors.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Directors will be elected by a plurality of the votes cast by the stockholders entitled to vote on this proposal at the Annual Meeting. Broker non-votes and proxies marked to withhold authority with respect to one or more Class I directors will not be treated as votes cast for this purpose and, therefore, will not affect the outcome of the election.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proposal for the election of directors relates solely to the election of Class I directors nominated by the Board of Directors.</w:t>
      </w:r>
    </w:p>
    <w:p>
      <w:pPr>
        <w:spacing w:after="0" w:line="225" w:lineRule="exact"/>
        <w:rPr>
          <w:sz w:val="20"/>
          <w:szCs w:val="20"/>
          <w:color w:val="auto"/>
        </w:rPr>
      </w:pPr>
    </w:p>
    <w:p>
      <w:pPr>
        <w:jc w:val="center"/>
        <w:ind w:left="480" w:right="660"/>
        <w:spacing w:after="0" w:line="449" w:lineRule="auto"/>
        <w:rPr>
          <w:sz w:val="20"/>
          <w:szCs w:val="20"/>
          <w:color w:val="auto"/>
        </w:rPr>
      </w:pPr>
      <w:r>
        <w:rPr>
          <w:rFonts w:ascii="Arial" w:cs="Arial" w:eastAsia="Arial" w:hAnsi="Arial"/>
          <w:sz w:val="18"/>
          <w:szCs w:val="18"/>
          <w:b w:val="1"/>
          <w:bCs w:val="1"/>
          <w:i w:val="1"/>
          <w:iCs w:val="1"/>
          <w:color w:val="auto"/>
        </w:rPr>
        <w:t xml:space="preserve">The Board of Directors recommends that stockholders vote FOR the election of each of the Class I director nominees listed above. </w:t>
      </w: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On the recommendation of the Audit Committee of the Board of Directors, or the Audit Committee, the Board of Directors has appointed PricewaterhouseCoopers LLP as our independent registered public accounting firm for the fiscal year ending December 31, 2018. The Board of Directors recommends that stockholders vote for ratification of this appointment. If this proposal is not approved at the Annual Meeting, the Board of Directors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our stockholders’ best interests.</w:t>
      </w:r>
    </w:p>
    <w:p>
      <w:pPr>
        <w:spacing w:after="0" w:line="193"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PricewaterhouseCoopers LLP audited our consolidated financial statements for the fiscal years ended December 31, 2017 and 2016. We expect representatives of PricewaterhouseCoopers LLP to be present at the Annual Meeting and available to respond to appropriate questions. They will have the opportunity to make a statement if they desire to do so.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PricewaterhouseCoopers LLP Fees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sets forth the fees that our independent auditors, PricewaterhouseCoopers LLP, an independent registered public accounting firm, billed to us for audit and other services for the fiscal years ended December 31, 2017 and 2016.</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1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$462,200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$ 410,935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Audit-Related Fees</w:t>
            </w:r>
          </w:p>
        </w:tc>
        <w:tc>
          <w:tcPr>
            <w:tcW w:w="25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124,288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All Other Fees</w:t>
            </w:r>
          </w:p>
        </w:tc>
        <w:tc>
          <w:tcPr>
            <w:tcW w:w="2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56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505,842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$ 535,223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the audit of our annual consolidated financial statements, the review of the interim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related services that are normally provided in connection with registration statements.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such fees incurred in 2017 or 2016.</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for professional services, including tax consulting and compliance performed by PricewaterhouseCoopers LLP.</w:t>
      </w:r>
    </w:p>
    <w:p>
      <w:pPr>
        <w:spacing w:after="0" w:line="24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represent payment for access to PricewaterhouseCoopers LLP on-line software tools. These fees were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It is the policy of our Audit Committee that all services to be provided by our independent registered public accounting firm, including audit services and permitted audit-related and non-audit services, must be approved in advance by our Audit Committee, and all such services provided in 2017 and 2016 were pre-approved by the Audit Committee.</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24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approval of Proposal 2 requires that a majority of the votes properly cast vote FOR this proposal. Shares that are voted “abstain” will not affect the outcome of this proposal.</w:t>
      </w:r>
    </w:p>
    <w:p>
      <w:pPr>
        <w:spacing w:after="0" w:line="17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i w:val="1"/>
          <w:iCs w:val="1"/>
          <w:color w:val="auto"/>
        </w:rPr>
        <w:t>The Board of Directors recommends that stockholders vote FOR ratification of the appointment of</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i w:val="1"/>
          <w:iCs w:val="1"/>
          <w:color w:val="auto"/>
        </w:rPr>
        <w:t>PricewaterhouseCoopers LLP as our independent registered public accounting firm, for the fiscal year ending December 31, 2018.</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240" w:top="459" w:right="8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TRANSACTION OF OTHER BUSINESS</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following table sets forth certain information regarding beneficial ownership of our common stock as of April 2, 2018, for: each person known to us to be the beneficial owner of more than five percent of our outstanding common stock; each of our named executive officers; each of our directors and nominees; and all of our directors and executive officers as a group.</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w:t>
      </w:r>
    </w:p>
    <w:p>
      <w:pPr>
        <w:spacing w:after="0" w:line="187" w:lineRule="exact"/>
        <w:rPr>
          <w:sz w:val="20"/>
          <w:szCs w:val="20"/>
          <w:color w:val="auto"/>
        </w:rPr>
      </w:pPr>
    </w:p>
    <w:p>
      <w:pPr>
        <w:jc w:val="both"/>
        <w:ind w:left="200" w:right="40" w:firstLine="441"/>
        <w:spacing w:after="0" w:line="257" w:lineRule="auto"/>
        <w:rPr>
          <w:sz w:val="20"/>
          <w:szCs w:val="20"/>
          <w:color w:val="auto"/>
        </w:rPr>
      </w:pPr>
      <w:r>
        <w:rPr>
          <w:rFonts w:ascii="Arial" w:cs="Arial" w:eastAsia="Arial" w:hAnsi="Arial"/>
          <w:sz w:val="18"/>
          <w:szCs w:val="18"/>
          <w:color w:val="auto"/>
        </w:rPr>
        <w:t>The table lists applicable percentage ownership based on 27,563,346 shares of our common stock outstanding as of April 2, 2018. The number of shares beneficially owned includes shares of our common stock and shares of common stock that each person has the right to acquire within 60 days of April 2, 2018 upon the exercise of stock options. These stock options shall be deemed to be outstanding for the purpose of computing the percentage of outstanding shares of our common stock owned by such person but shall not be deemed to be outstanding for the purpose of computing the percentage of outstanding shares of our common stock owned by any other person.</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Shares beneficially</w:t>
            </w:r>
          </w:p>
        </w:tc>
        <w:tc>
          <w:tcPr>
            <w:tcW w:w="0" w:type="dxa"/>
            <w:vAlign w:val="bottom"/>
          </w:tcPr>
          <w:p>
            <w:pPr>
              <w:spacing w:after="0"/>
              <w:rPr>
                <w:sz w:val="1"/>
                <w:szCs w:val="1"/>
                <w:color w:val="auto"/>
              </w:rPr>
            </w:pPr>
          </w:p>
        </w:tc>
      </w:tr>
      <w:tr>
        <w:trPr>
          <w:trHeight w:val="17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2"/>
                <w:szCs w:val="12"/>
                <w:b w:val="1"/>
                <w:bCs w:val="1"/>
                <w:color w:val="auto"/>
              </w:rPr>
              <w:t>(1)</w:t>
            </w:r>
          </w:p>
        </w:tc>
        <w:tc>
          <w:tcPr>
            <w:tcW w:w="120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4"/>
                <w:szCs w:val="14"/>
                <w:b w:val="1"/>
                <w:bCs w:val="1"/>
                <w:color w:val="auto"/>
                <w:w w:val="90"/>
              </w:rPr>
              <w:t>owned</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gridSpan w:val="3"/>
            <w:vMerge w:val="continue"/>
          </w:tcPr>
          <w:p>
            <w:pPr>
              <w:spacing w:after="0"/>
              <w:rPr>
                <w:sz w:val="12"/>
                <w:szCs w:val="12"/>
                <w:color w:val="auto"/>
              </w:rPr>
            </w:pPr>
          </w:p>
        </w:tc>
        <w:tc>
          <w:tcPr>
            <w:tcW w:w="12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5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w w:val="89"/>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39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Atlas Venture Fund VII, L.P.</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4,632,730</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Entities Affiliated with FMR LLC</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4,068,520</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Jeffrey S. Hatfield </w:t>
            </w:r>
            <w:r>
              <w:rPr>
                <w:rFonts w:ascii="Arial" w:cs="Arial" w:eastAsia="Arial" w:hAnsi="Arial"/>
                <w:sz w:val="15"/>
                <w:szCs w:val="15"/>
                <w:color w:val="auto"/>
              </w:rPr>
              <w:t>(4)</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Thomas E. Hughes, Ph.D. </w:t>
            </w: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826,007</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Dennis Kim, M.D., M.B.A. </w:t>
            </w:r>
            <w:r>
              <w:rPr>
                <w:rFonts w:ascii="Arial" w:cs="Arial" w:eastAsia="Arial" w:hAnsi="Arial"/>
                <w:sz w:val="15"/>
                <w:szCs w:val="15"/>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353,533</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Patricia L. Allen </w:t>
            </w:r>
            <w:r>
              <w:rPr>
                <w:rFonts w:ascii="Arial" w:cs="Arial" w:eastAsia="Arial" w:hAnsi="Arial"/>
                <w:sz w:val="15"/>
                <w:szCs w:val="15"/>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305,262</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Other Directors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Peter Barrett, Ph.D.</w:t>
            </w:r>
            <w:r>
              <w:rPr>
                <w:rFonts w:ascii="Arial" w:cs="Arial" w:eastAsia="Arial" w:hAnsi="Arial"/>
                <w:sz w:val="15"/>
                <w:szCs w:val="15"/>
                <w:color w:val="auto"/>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4,696,597</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Bruce Booth, Ph.D.</w:t>
            </w:r>
            <w:r>
              <w:rPr>
                <w:rFonts w:ascii="Arial" w:cs="Arial" w:eastAsia="Arial" w:hAnsi="Arial"/>
                <w:sz w:val="15"/>
                <w:szCs w:val="15"/>
                <w:color w:val="auto"/>
              </w:rPr>
              <w:t>(9)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4,676,158</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Thomas O. Daniel, M.D. </w:t>
            </w:r>
            <w:r>
              <w:rPr>
                <w:rFonts w:ascii="Arial" w:cs="Arial" w:eastAsia="Arial" w:hAnsi="Arial"/>
                <w:sz w:val="15"/>
                <w:szCs w:val="15"/>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Frances K. Heller </w:t>
            </w:r>
            <w:r>
              <w:rPr>
                <w:rFonts w:ascii="Arial" w:cs="Arial" w:eastAsia="Arial" w:hAnsi="Arial"/>
                <w:sz w:val="15"/>
                <w:szCs w:val="15"/>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rPr>
              <w:t>85,288</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John L. LaMattina, Ph.D. </w:t>
            </w:r>
            <w:r>
              <w:rPr>
                <w:rFonts w:ascii="Arial" w:cs="Arial" w:eastAsia="Arial" w:hAnsi="Arial"/>
                <w:sz w:val="15"/>
                <w:szCs w:val="15"/>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Cameron Geoffrey McDonough, M.D. </w:t>
            </w:r>
            <w:r>
              <w:rPr>
                <w:rFonts w:ascii="Arial" w:cs="Arial" w:eastAsia="Arial" w:hAnsi="Arial"/>
                <w:sz w:val="15"/>
                <w:szCs w:val="15"/>
                <w:color w:val="auto"/>
              </w:rPr>
              <w:t>(13)</w:t>
            </w:r>
          </w:p>
        </w:tc>
        <w:tc>
          <w:tcPr>
            <w:tcW w:w="780" w:type="dxa"/>
            <w:vAlign w:val="bottom"/>
          </w:tcPr>
          <w:p>
            <w:pPr>
              <w:jc w:val="right"/>
              <w:spacing w:after="0"/>
              <w:rPr>
                <w:sz w:val="20"/>
                <w:szCs w:val="20"/>
                <w:color w:val="auto"/>
              </w:rPr>
            </w:pPr>
            <w:r>
              <w:rPr>
                <w:rFonts w:ascii="Arial" w:cs="Arial" w:eastAsia="Arial" w:hAnsi="Arial"/>
                <w:sz w:val="18"/>
                <w:szCs w:val="18"/>
                <w:color w:val="auto"/>
              </w:rPr>
              <w:t>56,789</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Robert J. Perez </w:t>
            </w:r>
            <w:r>
              <w:rPr>
                <w:rFonts w:ascii="Arial" w:cs="Arial" w:eastAsia="Arial" w:hAnsi="Arial"/>
                <w:sz w:val="15"/>
                <w:szCs w:val="15"/>
                <w:color w:val="auto"/>
              </w:rPr>
              <w:t>(14)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55,440</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Frank E. Thomas </w:t>
            </w:r>
            <w:r>
              <w:rPr>
                <w:rFonts w:ascii="Arial" w:cs="Arial" w:eastAsia="Arial" w:hAnsi="Arial"/>
                <w:sz w:val="15"/>
                <w:szCs w:val="15"/>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37,327</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directors and executive officers as a group (12 persons) </w:t>
            </w:r>
            <w:r>
              <w:rPr>
                <w:rFonts w:ascii="Arial" w:cs="Arial" w:eastAsia="Arial" w:hAnsi="Arial"/>
                <w:sz w:val="15"/>
                <w:szCs w:val="15"/>
                <w:b w:val="1"/>
                <w:bCs w:val="1"/>
                <w:color w:val="auto"/>
              </w:rPr>
              <w:t>(16)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6,575,533</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beneficial ownership of less than one percent.</w:t>
      </w:r>
    </w:p>
    <w:p>
      <w:pPr>
        <w:spacing w:after="0" w:line="23"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Unless otherwise indicated, the address of each beneficial owner is c/o Zafgen, Inc., 175 Portland Street, 4th Floor, Boston, MA 02114.</w:t>
      </w:r>
    </w:p>
    <w:p>
      <w:pPr>
        <w:spacing w:after="0" w:line="20" w:lineRule="exact"/>
        <w:rPr>
          <w:rFonts w:ascii="Arial" w:cs="Arial" w:eastAsia="Arial" w:hAnsi="Arial"/>
          <w:sz w:val="17"/>
          <w:szCs w:val="17"/>
          <w:color w:val="auto"/>
        </w:rPr>
      </w:pPr>
    </w:p>
    <w:p>
      <w:pPr>
        <w:ind w:left="640" w:hanging="436"/>
        <w:spacing w:after="0" w:line="25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solely on a Schedule 13G filed on February 12, 2018 by Atlas Venture Fund VII, L.P. (or Atlas Venture VII). All shares are held directly by Atlas Venture VII. Atlas Venture Associates VII, L.P. (or AVA VII LP) is the general partner of Atlas Venture VII, and Atlas Venture Associates VII, Inc. (or AVA VII Inc.) is the general partner of AVA VII LP. Peter Barrett, Bruce Booth, Jean-Francois Formela and Jeff Fagnan is each a director of AVA VII Inc. (or collectively, the Directors). Drs. Barrett and Booth are also</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56" w:lineRule="auto"/>
        <w:rPr>
          <w:sz w:val="20"/>
          <w:szCs w:val="20"/>
          <w:color w:val="auto"/>
        </w:rPr>
      </w:pPr>
      <w:r>
        <w:rPr>
          <w:rFonts w:ascii="Arial" w:cs="Arial" w:eastAsia="Arial" w:hAnsi="Arial"/>
          <w:sz w:val="18"/>
          <w:szCs w:val="18"/>
          <w:color w:val="auto"/>
        </w:rPr>
        <w:t>members of our Board of Directors. Each of Atlas Venture VII, AVA VII LP, AVA VII Inc. and the Directors disclaim beneficial ownership of the shares, except to the extent of their proportionate pecuniary interest therein, if any. The address of the filer is 25 First Street, Suite 303, Cambridge, MA 02141.</w:t>
      </w:r>
    </w:p>
    <w:p>
      <w:pPr>
        <w:ind w:left="640" w:right="20" w:hanging="436"/>
        <w:spacing w:after="0" w:line="281"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solely on a Schedule 13G/A filed on February 13, 2018 by FMR LLC, Abigail P. Johnson and Select Biotechnology Portfolio. Fidelity Management &amp; Research Company (or Fidelity), a wholly-owned subsidiary of FMR LLC and an investment adviser registered under Section 203 of the Investment Advisers Act of 1940, is the beneficial owner of shares of common stock as a result of acting as investment adviser to various investment companies (or Fidelity Funds), registered under Section 8 of the Investment Company Act of 1940. Consists of 4,068,520 shares of common stock held by entities affiliated with FMR LLC. Ms. Johnson is a director, the vice chairman, the chief executive officer and the president of FMR LLC. Ms. Johnson and FMR LLC, through its control of Fidelity and the Fidelity Funds, each has sole power to dispose of the shares owned by the Fidelity Funds. Neither FMR LLC nor Ms. Johnson has the sole power to vote or direct the voting of the shares owned directly by the Fidelity Funds, which power resides with the Fidelity Funds’ Boards of Trustees. Fidelity carries out the voting of the shares under written guidelines established by the Fidelity Funds’ Boards of Trustees. The address of each filer is 245 Summer Street, Boston, MA 02210.</w:t>
      </w:r>
    </w:p>
    <w:p>
      <w:pPr>
        <w:spacing w:after="0" w:line="6" w:lineRule="exact"/>
        <w:rPr>
          <w:rFonts w:ascii="Arial" w:cs="Arial" w:eastAsia="Arial" w:hAnsi="Arial"/>
          <w:sz w:val="16"/>
          <w:szCs w:val="16"/>
          <w:color w:val="auto"/>
        </w:rPr>
      </w:pPr>
    </w:p>
    <w:p>
      <w:pPr>
        <w:ind w:left="640" w:right="42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Hatfield was hired in October 2017. He does not own any common stock and does not have any common stock issuable upon exercise of options within 60 days of April 2, 2018.</w:t>
      </w:r>
    </w:p>
    <w:p>
      <w:pPr>
        <w:ind w:left="640" w:right="30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157,247 shares of common stock and 668,760 shares of common stock issuable upon exercise of options within 60 days of April 2, 2018.</w:t>
      </w:r>
    </w:p>
    <w:p>
      <w:pPr>
        <w:ind w:left="640" w:right="38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21,443 shares of common stock and 332,090 shares of common stock issuable upon exercise of options within 60 days of April 2, 2018.</w:t>
      </w:r>
    </w:p>
    <w:p>
      <w:pPr>
        <w:ind w:left="640" w:right="38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24,793 shares of common stock and 280,469 shares of common stock issuable upon exercise of options within 60 days of April 2, 2018.</w:t>
      </w:r>
    </w:p>
    <w:p>
      <w:pPr>
        <w:ind w:left="640" w:right="20" w:hanging="436"/>
        <w:spacing w:after="0" w:line="265"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(i) 10,597 shares of common stock Dr. Barrett holds in his individual capacity, (ii) 53,270 shares of common stock issuable upon exercise of options within 60 days of April 2, 2018 and (iii) 4,632,730 shares of common stock described in note (2) above.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400 Technology Square, 10th Floor, Cambridge, MA 02139.</w:t>
      </w:r>
    </w:p>
    <w:p>
      <w:pPr>
        <w:spacing w:after="0" w:line="1"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(i) 5,298 shares of common stock Dr. Booth holds in his individual capacity, (ii) 38,130 shares of common stock issuable upon exercise of options within 60 days of April 2, 2018 and (iii) 4,632,730 shares of common stock described in note (2) above. Dr. Booth is a general partner of Atlas Venture Fund VII, L.P., and as such Dr. Booth may be deemed to share voting and dispositive power with respect to all shares held by such entity. Dr. Booth disclaims beneficial ownership of such shares except to the extent of any pecuniary interest therein. Dr. Booth’s business address is 400 Technology Square, 10th Floor, Cambridge, MA 02139.</w:t>
      </w:r>
    </w:p>
    <w:p>
      <w:pPr>
        <w:spacing w:after="0" w:line="2" w:lineRule="exact"/>
        <w:rPr>
          <w:rFonts w:ascii="Arial" w:cs="Arial" w:eastAsia="Arial" w:hAnsi="Arial"/>
          <w:sz w:val="18"/>
          <w:szCs w:val="18"/>
          <w:color w:val="auto"/>
        </w:rPr>
      </w:pPr>
    </w:p>
    <w:p>
      <w:pPr>
        <w:jc w:val="both"/>
        <w:ind w:left="640" w:right="6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(i) 10,765 shares of common stock, (ii) 8,687 shares of common stock Dr. Daniel holds subject to restrictions under a Restricted Stock Agreement, which lapse over a period of one year starting January 1, 2018 on a quarterly basis in arrears and (iii) 33,174 shares of common stock issuable upon exercise of options within 60 days of April 2,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47,961 shares of common stock and 37,327 shares of common stock issuable upon exercise of options within 60 days of April 2, 2018.</w:t>
      </w:r>
    </w:p>
    <w:p>
      <w:pPr>
        <w:spacing w:after="0" w:line="32"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(i) 11,363 shares of common stock, (ii) 9,169 shares of common stock Dr. LaMattina holds subject to restrictions under a Restricted Stock Agreement, which lapse over a period of one year starting January 1, 2018 on a quarterly basis in arrears and (iii) 42,704 shares of common stock issuable upon exercise of options within 60 days of April 2,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56,789 shares of common stock issuable upon exercise of options within 60 days of April 2,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6,463 shares of common stock and 48,977 shares of common stock issuable upon exercise of options within 60 days of April 2, 2018.</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37,327 shares of common stock issuable upon exercise of options within 60 days of April 2, 2018.</w:t>
      </w:r>
    </w:p>
    <w:p>
      <w:pPr>
        <w:spacing w:after="0" w:line="23" w:lineRule="exact"/>
        <w:rPr>
          <w:rFonts w:ascii="Arial" w:cs="Arial" w:eastAsia="Arial" w:hAnsi="Arial"/>
          <w:sz w:val="18"/>
          <w:szCs w:val="18"/>
          <w:color w:val="auto"/>
        </w:rPr>
      </w:pPr>
    </w:p>
    <w:p>
      <w:pPr>
        <w:ind w:left="640" w:hanging="436"/>
        <w:spacing w:after="0" w:line="26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4,946,516 shares of common stock and 1,629,017 shares of common stock issuable upon exercise of options within 60 days of April 2, 2018.</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identifies our executive officers and sets forth their current position(s) at Zafgen and their ages as of April 2, 2018.</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68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tcBorders>
            <w:vMerge w:val="restart"/>
          </w:tcPr>
          <w:p>
            <w:pPr>
              <w:jc w:val="right"/>
              <w:spacing w:after="0" w:line="195" w:lineRule="exact"/>
              <w:rPr>
                <w:sz w:val="20"/>
                <w:szCs w:val="20"/>
                <w:color w:val="auto"/>
              </w:rPr>
            </w:pPr>
            <w:r>
              <w:rPr>
                <w:rFonts w:ascii="Arial" w:cs="Arial" w:eastAsia="Arial" w:hAnsi="Arial"/>
                <w:sz w:val="18"/>
                <w:szCs w:val="18"/>
                <w:color w:val="auto"/>
              </w:rPr>
              <w:t>60</w:t>
            </w: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20" w:type="dxa"/>
            <w:vAlign w:val="bottom"/>
            <w:vMerge w:val="restart"/>
          </w:tcPr>
          <w:p>
            <w:pPr>
              <w:spacing w:after="0" w:line="195" w:lineRule="exact"/>
              <w:rPr>
                <w:sz w:val="20"/>
                <w:szCs w:val="20"/>
                <w:color w:val="auto"/>
              </w:rPr>
            </w:pPr>
            <w:r>
              <w:rPr>
                <w:rFonts w:ascii="Arial" w:cs="Arial" w:eastAsia="Arial" w:hAnsi="Arial"/>
                <w:sz w:val="18"/>
                <w:szCs w:val="18"/>
                <w:color w:val="auto"/>
              </w:rPr>
              <w:t>Executive Officer and Director</w:t>
            </w: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940" w:type="dxa"/>
            <w:vAlign w:val="bottom"/>
            <w:gridSpan w:val="2"/>
          </w:tcPr>
          <w:p>
            <w:pPr>
              <w:spacing w:after="0" w:line="176" w:lineRule="exact"/>
              <w:rPr>
                <w:sz w:val="20"/>
                <w:szCs w:val="20"/>
                <w:color w:val="auto"/>
              </w:rPr>
            </w:pPr>
            <w:r>
              <w:rPr>
                <w:rFonts w:ascii="Arial" w:cs="Arial" w:eastAsia="Arial" w:hAnsi="Arial"/>
                <w:sz w:val="18"/>
                <w:szCs w:val="18"/>
                <w:color w:val="auto"/>
              </w:rPr>
              <w:t>Jeffrey S. Hatfield</w:t>
            </w:r>
          </w:p>
        </w:tc>
        <w:tc>
          <w:tcPr>
            <w:tcW w:w="7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80" w:type="dxa"/>
            <w:vAlign w:val="bottom"/>
          </w:tcPr>
          <w:p>
            <w:pPr>
              <w:spacing w:after="0" w:line="176" w:lineRule="exact"/>
              <w:rPr>
                <w:sz w:val="20"/>
                <w:szCs w:val="20"/>
                <w:color w:val="auto"/>
              </w:rPr>
            </w:pPr>
            <w:r>
              <w:rPr>
                <w:rFonts w:ascii="Arial" w:cs="Arial" w:eastAsia="Arial" w:hAnsi="Arial"/>
                <w:sz w:val="18"/>
                <w:szCs w:val="18"/>
                <w:color w:val="auto"/>
              </w:rPr>
              <w:t>Chief</w:t>
            </w: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Thomas E. Hughes, Ph.D.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680" w:type="dxa"/>
            <w:vAlign w:val="bottom"/>
            <w:gridSpan w:val="3"/>
          </w:tcPr>
          <w:p>
            <w:pPr>
              <w:ind w:left="280"/>
              <w:spacing w:after="0"/>
              <w:rPr>
                <w:sz w:val="20"/>
                <w:szCs w:val="20"/>
                <w:color w:val="auto"/>
              </w:rPr>
            </w:pPr>
            <w:r>
              <w:rPr>
                <w:rFonts w:ascii="Arial" w:cs="Arial" w:eastAsia="Arial" w:hAnsi="Arial"/>
                <w:sz w:val="18"/>
                <w:szCs w:val="18"/>
                <w:color w:val="auto"/>
                <w:w w:val="92"/>
              </w:rPr>
              <w:t>President, Chief Scientific Officer and Director</w:t>
            </w: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Dennis D. Kim, M.D., M.B.A.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680" w:type="dxa"/>
            <w:vAlign w:val="bottom"/>
            <w:gridSpan w:val="3"/>
          </w:tcPr>
          <w:p>
            <w:pPr>
              <w:ind w:left="2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30"/>
        </w:trPr>
        <w:tc>
          <w:tcPr>
            <w:tcW w:w="2960" w:type="dxa"/>
            <w:vAlign w:val="bottom"/>
            <w:gridSpan w:val="3"/>
          </w:tcPr>
          <w:p>
            <w:pPr>
              <w:spacing w:after="0"/>
              <w:rPr>
                <w:sz w:val="20"/>
                <w:szCs w:val="20"/>
                <w:color w:val="auto"/>
              </w:rPr>
            </w:pPr>
            <w:r>
              <w:rPr>
                <w:rFonts w:ascii="Arial" w:cs="Arial" w:eastAsia="Arial" w:hAnsi="Arial"/>
                <w:sz w:val="18"/>
                <w:szCs w:val="18"/>
                <w:color w:val="auto"/>
              </w:rPr>
              <w:t>Patricia L. Allen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6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You should refer to “</w:t>
      </w:r>
      <w:r>
        <w:rPr>
          <w:rFonts w:ascii="Arial" w:cs="Arial" w:eastAsia="Arial" w:hAnsi="Arial"/>
          <w:sz w:val="18"/>
          <w:szCs w:val="18"/>
          <w:i w:val="1"/>
          <w:iCs w:val="1"/>
          <w:color w:val="auto"/>
        </w:rPr>
        <w:t>Proposal 1: Election of Directors</w:t>
      </w:r>
      <w:r>
        <w:rPr>
          <w:rFonts w:ascii="Arial" w:cs="Arial" w:eastAsia="Arial" w:hAnsi="Arial"/>
          <w:sz w:val="18"/>
          <w:szCs w:val="18"/>
          <w:color w:val="auto"/>
        </w:rPr>
        <w:t>” above for information about our Chief Executive Officer, Jeffrey S. Hatfield and our President and Chief Scientific Officer, Thomas E. Hughes, Ph.D. Biographical information for our other executive officers, as of April 2, 2018, is set forth below.</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 xml:space="preserve">Dennis D. Kim, M.D., M.B.A. </w:t>
      </w:r>
      <w:r>
        <w:rPr>
          <w:rFonts w:ascii="Arial" w:cs="Arial" w:eastAsia="Arial" w:hAnsi="Arial"/>
          <w:sz w:val="17"/>
          <w:szCs w:val="17"/>
          <w:color w:val="auto"/>
        </w:rPr>
        <w:t>Dr. Kim has served as our Chief Medical Officer since September 2011. From 2001 to 2012, Dr. Kim was an</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assistant professor of medicine, division of endocrinology/metabolism, at the University of California, San Diego School of Medicine. From September 2008 to February 2011, Dr. Kim held multiple senior-level clinical and corporate affairs positions at Orexigen Therapeutics, Inc. a publicly-traded biopharmaceutical company focused on the treatment of obesity, including senior vice president, head of obesity/metabolic diseases; senior vice president, corporate development; and senior vice president, medical affairs and communications. Prior to Orexigen, from September 2007 to September 2008, he was chief medical officer and vice president of medical affairs at EnteroMedics, Inc. a publicly traded medical device company, where he oversaw all aspects of clinical affairs and successfully implemented an initial public offering as part of the executive team in 2007. Previously, from July 2001 to September 2007, he held positions of increasing responsibility at Amylin Pharmaceuticals, Inc., a publicly traded biotechnology company, most recently as executive director, corporate strategy, where he managed corporate and business strategic planning spanning all commercial products, developmental drug candidates, corporate alliance partnership and manufacturing support. Dr. Kim holds an M.D. from the University of Health Sciences, The Chicago Medical School, an M.B.A from University of California, San Diego Rady School of Management and a B.S. in biology from the University of California at Los Angeles.</w:t>
      </w:r>
    </w:p>
    <w:p>
      <w:pPr>
        <w:spacing w:after="0" w:line="180"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i w:val="1"/>
          <w:iCs w:val="1"/>
          <w:color w:val="auto"/>
        </w:rPr>
        <w:t>Patricia L. Allen</w:t>
      </w:r>
      <w:r>
        <w:rPr>
          <w:rFonts w:ascii="Arial" w:cs="Arial" w:eastAsia="Arial" w:hAnsi="Arial"/>
          <w:sz w:val="16"/>
          <w:szCs w:val="16"/>
          <w:color w:val="auto"/>
        </w:rPr>
        <w:t>. Ms. Allen has served as our Chief Financial Officer since January 2013. Ms. Allen has over 20 years of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biotechnology industry at both publicly traded and private companies. From 2011 to 2012, she provided independent consulting services to biotechnology companies in a variety of areas, including interim CFO services, fundraising, deal structures, financial planning, organizational structure, investor relations and business development. Previously, from 2004 to 2011, Ms. Allen served as the Vice President of Finance, Treasurer and Principal Financial Officer of Alnylam Pharmaceuticals, Inc., a publicly traded biotechnology company, where she had significant interactions with the investment community and was influential in raising over $900 million via the company’s initial public offering, follow-on common stock offerings and multiple business development transactions with top-tier pharmaceutical companies. Prior to Alnylam, Ms. Allen was at Alkermes, Inc., a publicly traded biotechnology company, most recently as the Director of Finance. Ms. Allen began her career as an auditor at Deloitte &amp; Touche, LLP. Since September 2016, Ms. Allen has served on the board of directors of Deciphera Pharmaceuticals, Inc., a publicly traded clinical stage biopharmaceutical company. Ms. Allen graduated summa cum laude from Bryant College with a B.S. in business administration.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describe below the transactions, and series of similar transactions, since January 1, 2017, to which we were a party or will be a party, in which:</w:t>
      </w:r>
    </w:p>
    <w:p>
      <w:pPr>
        <w:spacing w:after="0" w:line="154"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enter into any related party transactions in 2017.</w:t>
      </w:r>
    </w:p>
    <w:p>
      <w:pPr>
        <w:spacing w:after="0" w:line="22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have adopted a written policy that requires all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During 2017, John L. LaMattina, Ph.D., Thomas O. Daniel, M.D. and Cameron Geoffrey McDonough, M.D. served on the Compensation Committee of the Board of Directors, or Compensation Committee, which was chaired by Dr. Daniel. None of the members of our Compensation Committee has at any time during the last three years been one of our officers or employees or had any relationship requiring disclosure under Item 404 of Regulation S-K.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10% of our outstanding common stock, or Reporting Persons, to file reports of beneficial ownership and changes in beneficial ownership with the SEC. Reporting Persons are required by SEC regulations to furnish us with copies of all Section 16(a) forms they file. Based solely on our review of such reports received or written representations from certain Reporting Persons during the fiscal year ended December 31, 2017, we believe that all Reporting Persons complied with all Section 16(a) reporting requirements.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Matters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Board Leadership and Independence. </w:t>
      </w:r>
      <w:r>
        <w:rPr>
          <w:rFonts w:ascii="Arial" w:cs="Arial" w:eastAsia="Arial" w:hAnsi="Arial"/>
          <w:sz w:val="16"/>
          <w:szCs w:val="16"/>
          <w:color w:val="auto"/>
        </w:rPr>
        <w:t>Our Board of Directors has determined that all members of the Board of Directors, except Mr. Hatfield and</w:t>
      </w:r>
      <w:r>
        <w:rPr>
          <w:rFonts w:ascii="Arial" w:cs="Arial" w:eastAsia="Arial" w:hAnsi="Arial"/>
          <w:sz w:val="16"/>
          <w:szCs w:val="16"/>
          <w:i w:val="1"/>
          <w:iCs w:val="1"/>
          <w:color w:val="auto"/>
        </w:rPr>
        <w:t xml:space="preserve"> </w:t>
      </w:r>
      <w:r>
        <w:rPr>
          <w:rFonts w:ascii="Arial" w:cs="Arial" w:eastAsia="Arial" w:hAnsi="Arial"/>
          <w:sz w:val="16"/>
          <w:szCs w:val="16"/>
          <w:color w:val="auto"/>
        </w:rPr>
        <w:t>Dr. Hughes, are independent, as determined in accordance with the rules of the NASDAQ Stock Market. In making such independence determination, the Board of Directors considered the relationships that each such nonemployee director has with us and all other facts and circumstances that the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positions of our Chairman of the Board of Directors, or Chairman of the Board, and Chief Executive Officer are presently separated.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must devote to his position in the current business environment, as well as the commitment required to serve as Chairman of the Board,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Chairman of the Board and Chief Executive Officer positions to be separate, our Board of Directors believes that having separate positions is the appropriate leadership structure for us at this time.</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We have adopted a Code of Business Conduct and Ethics that applies to all of our employees,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including those officers responsible for financial reporting. The current version of the Code of Business Conduct and Ethics is available on our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 A copy of the Code of Business Conduct and Ethics may also be obtained, free of charge, upon a request directed to: Zafgen, Inc., 175 Portland Street, 4th Floor, Boston, MA 02114, Attention: Chief Financial Officer. We intend to disclose any amendment or waiver of a provision of the Code of Business Conduct and Ethics that applies to our principal executive officer, principal financial officer, or principal accounting officer, or persons performing similar functions, by posting such information on our website (available at http://www.zafgen.com/) and/or in our public filings with the SEC.</w:t>
      </w:r>
    </w:p>
    <w:p>
      <w:pPr>
        <w:spacing w:after="0" w:line="18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The Board of Directors has adopted corporate governance guidelines to assist and guide its members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exercise of its responsibilities. These guidelines should be interpreted in accordance with any requirements imposed by applicable federal or state law or regulation, the NASDAQ Stock Market and our Certificate of Incorporation and By-laws. Our corporate governance guidelines are available in the corporate governance section of our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Although these corporate governance guidelines have been approved by the Board of Directors, it is expected that these guidelines will 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the Board of Directors at any time as it deems appropriate.</w:t>
      </w:r>
    </w:p>
    <w:p>
      <w:pPr>
        <w:spacing w:after="0" w:line="17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 xml:space="preserve">Board Meetings and Committees. </w:t>
      </w:r>
      <w:r>
        <w:rPr>
          <w:rFonts w:ascii="Arial" w:cs="Arial" w:eastAsia="Arial" w:hAnsi="Arial"/>
          <w:sz w:val="18"/>
          <w:szCs w:val="18"/>
          <w:color w:val="auto"/>
        </w:rPr>
        <w:t>Our Board of Directors held 5 meetings during 2017. The independent directors regularly hold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sessions at meetings of the Board of Directors. During 2017, each of the directors then in office attended at least 75% of the aggregate of all meetings of the Board of Directors and 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60"/>
        <w:spacing w:after="0" w:line="286" w:lineRule="auto"/>
        <w:rPr>
          <w:sz w:val="20"/>
          <w:szCs w:val="20"/>
          <w:color w:val="auto"/>
        </w:rPr>
      </w:pPr>
      <w:r>
        <w:rPr>
          <w:rFonts w:ascii="Arial" w:cs="Arial" w:eastAsia="Arial" w:hAnsi="Arial"/>
          <w:sz w:val="17"/>
          <w:szCs w:val="17"/>
          <w:color w:val="auto"/>
        </w:rPr>
        <w:t>least 75% of the aggregate of all meetings of the committees of the Board of Directors on which such director then served. Continuing directors and nominees for election as directors in a given year are encouraged to attend the annual meeting of stockholders. All directors serving on the Board of Directors as of our 2017 annual meeting of stockholders attended that meeting except for Frances K. Heller.</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Board of Directors has three standing committees: Audit Committee, Compensation Committee and Nominating and Corporate Governance Committee.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Frances K. Heller, John L. LaMattina, Ph.D. and Frank E. Thomas serve on the Audit Committee, which is chaired by Mr. Thomas. Our Board of Directors has determined that all members of the Audit Committee are “independent” for Audit Committee purposes as that term is defined in the rules of the SEC and the applicable NASDAQ Stock Market rules, and have sufficient knowledge in financial and auditing matters to serve on the Audit Committee. Our Board of Directors has designated Frank E. Thomas as an “audit committee financial expert,” as defined under the applicable rules of the SEC. The Audit Committee’s responsibilities include:</w:t>
      </w:r>
    </w:p>
    <w:p>
      <w:pPr>
        <w:spacing w:after="0" w:line="94"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42" w:lineRule="exact"/>
        <w:rPr>
          <w:rFonts w:ascii="Arial" w:cs="Arial" w:eastAsia="Arial" w:hAnsi="Arial"/>
          <w:sz w:val="17"/>
          <w:szCs w:val="17"/>
          <w:color w:val="auto"/>
        </w:rPr>
      </w:pPr>
    </w:p>
    <w:p>
      <w:pPr>
        <w:ind w:left="1060" w:right="3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consolidated financial statements;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consolidated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720" w:hanging="316"/>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our independent registered public accounting firm whether our audited consolidated financial statements shall be included in our Annual Report on Form 10-K;</w:t>
      </w:r>
    </w:p>
    <w:p>
      <w:pPr>
        <w:spacing w:after="0" w:line="29" w:lineRule="exact"/>
        <w:rPr>
          <w:rFonts w:ascii="Arial" w:cs="Arial" w:eastAsia="Arial" w:hAnsi="Arial"/>
          <w:sz w:val="16"/>
          <w:szCs w:val="16"/>
          <w:color w:val="auto"/>
        </w:rPr>
      </w:pPr>
    </w:p>
    <w:p>
      <w:pPr>
        <w:ind w:left="1060" w:right="4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the integrity of our consolidated financial statements and our compliance with legal and regulatory requirements as they relate to our consolidated financial statements and accounting matters;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The Audit Committee held 4 meetings during 2017. The Audit Committee operates under a written charter that satisfies the applicable standards of the SEC and the NASDAQ Stock Market. A copy of the audit committee charter is available on our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Thomas O. Daniel, M.D., John L. LaMattina, Ph.D. and Cameron Geoffrey McDonough, M.D. serve on the Compensation Committee, which is chaired by Dr. Daniel. Our Board of Directors has determined that each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member of the Compensation Committee is “independent” as defined in the applicable NASDAQ Stock Market rules. The Compensation Committee’s responsibilities include:</w:t>
      </w:r>
    </w:p>
    <w:p>
      <w:pPr>
        <w:spacing w:after="0" w:line="7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determining the compensation of our Chief Executive Officer;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the corporate succession plans for the Chief Executive Officer and other key officers.</w:t>
      </w:r>
    </w:p>
    <w:p>
      <w:pPr>
        <w:spacing w:after="0" w:line="24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The Compensation Committee held 2 meetings during 2017. The Compensation Committee operates under a written charter adopted by the Board, which is available on our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Peter Barrett, Ph.D. and Robert J. Perez serve on the Nominating and Corporate Governance Committee, which is chaired by Dr. Barrett. Our Board of Directors has determined that each member of the Nominating and Corporate Governance Committee is “independent” as defined in the applicable NASDAQ Stock Market rules. The Nominating and Corporate Governance Committee’s responsibilities include:</w:t>
      </w:r>
    </w:p>
    <w:p>
      <w:pPr>
        <w:spacing w:after="0" w:line="71"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auto"/>
        </w:rPr>
      </w:pPr>
    </w:p>
    <w:p>
      <w:pPr>
        <w:ind w:left="1060" w:right="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code of business conduct and ethics and a set of corporate governance guidelines;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developing a mechanism by which violations of the code of business conduct and ethics can be reported in a confidential manner;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 xml:space="preserve">The Nominating and Corporate Governance Committee held no meetings during 2017, and conducted its business through unanimous written consent. The Nominating and Corporate Governance Committee operates pursuant to a written charter adopted by the Board, which is available on our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Nominating and Corporate Governance Committee considers candidates for Board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Board of Directors. Any stockholder who wishes to recommend a candidate for consideration by the committee as a nominee for director should follow the procedures described later in this Proxy Statement under the heading “Stockholder Recommendations.” The Nominating and Corporate Governance Committee will also consider whether to nominate any person proposed by a stockholder in accordance with the provisions of our By-laws relating to stockholder nominations as described previously in this Proxy Statement under the heading “Procedure for Submitting Stockholder Proposals.”</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 xml:space="preserve">Identifying and Evaluating Director Nominees. </w:t>
      </w:r>
      <w:r>
        <w:rPr>
          <w:rFonts w:ascii="Arial" w:cs="Arial" w:eastAsia="Arial" w:hAnsi="Arial"/>
          <w:sz w:val="18"/>
          <w:szCs w:val="18"/>
          <w:color w:val="auto"/>
        </w:rPr>
        <w:t>The Board of Directors is responsible for selecting its own members.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8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Board of Directors. Based on the results of the evaluation process, the Nominating and Corporate Governance Committee recommends candidates for the Board of Director’s approval as director nominees for election to the Board of Directors.</w:t>
      </w:r>
    </w:p>
    <w:p>
      <w:pPr>
        <w:spacing w:after="0" w:line="16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 xml:space="preserve">Minimum Qualifications. </w:t>
      </w:r>
      <w:r>
        <w:rPr>
          <w:rFonts w:ascii="Arial" w:cs="Arial" w:eastAsia="Arial" w:hAnsi="Arial"/>
          <w:sz w:val="18"/>
          <w:szCs w:val="18"/>
          <w:color w:val="auto"/>
        </w:rPr>
        <w:t>The Nominating and Corporate Governance Committee will consider, among other things, the following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skills and attributes when recommending candidates for the Board of Director’s selection as nominees for the Board of Directors and as candidates for appointment to the Board of Director’s committees. The nominee shall have the highest personal and professional integrity, shall have demonstrated exceptional ability and judgment, and shall be most effective, in conjunction with the other nominees to the Board of Directors, in collectively serving the long-term interests of the stockholders.</w:t>
      </w:r>
    </w:p>
    <w:p>
      <w:pPr>
        <w:spacing w:after="0" w:line="18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In evaluating proposed director candidates, the Nominating and Corporate Governance Committee may consider, in addition to the minimum qualifications and other criteria for Board of Directors membership approved by the Board of Directors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Board of Directors.</w:t>
      </w:r>
    </w:p>
    <w:p>
      <w:pPr>
        <w:spacing w:after="0" w:line="154"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 xml:space="preserve">Stockholder Recommendations. </w:t>
      </w:r>
      <w:r>
        <w:rPr>
          <w:rFonts w:ascii="Arial" w:cs="Arial" w:eastAsia="Arial" w:hAnsi="Arial"/>
          <w:sz w:val="17"/>
          <w:szCs w:val="17"/>
          <w:color w:val="auto"/>
        </w:rPr>
        <w:t>Stockholders may submit recommendations for director candidates to the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by sending the individual’s name and qualifications to our Secretary at Zafgen, Inc., 175 Portland Street, 4th Floor, Boston, MA 02114,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 xml:space="preserve">Stockholder Communications. </w:t>
      </w:r>
      <w:r>
        <w:rPr>
          <w:rFonts w:ascii="Arial" w:cs="Arial" w:eastAsia="Arial" w:hAnsi="Arial"/>
          <w:sz w:val="16"/>
          <w:szCs w:val="16"/>
          <w:color w:val="auto"/>
        </w:rPr>
        <w:t>The Board of Directors provides to every stockholder the ability to communicate with the Board of Directors, as a</w:t>
      </w:r>
      <w:r>
        <w:rPr>
          <w:rFonts w:ascii="Arial" w:cs="Arial" w:eastAsia="Arial" w:hAnsi="Arial"/>
          <w:sz w:val="16"/>
          <w:szCs w:val="16"/>
          <w:i w:val="1"/>
          <w:iCs w:val="1"/>
          <w:color w:val="auto"/>
        </w:rPr>
        <w:t xml:space="preserve"> </w:t>
      </w:r>
      <w:r>
        <w:rPr>
          <w:rFonts w:ascii="Arial" w:cs="Arial" w:eastAsia="Arial" w:hAnsi="Arial"/>
          <w:sz w:val="16"/>
          <w:szCs w:val="16"/>
          <w:color w:val="auto"/>
        </w:rPr>
        <w:t>whole, and with individual directors on the Board of Directors through an established process for stockholder communication. For a stockholder communication directed to the Board of Directors as a whole, stockholders may send such communication to the attention of the Chairman of the Board via U.S. Mail or Expedited Delivery Service to: Zafgen, Inc., 175 Portland Street, 4th Floor, Boston, MA 02114, Attention: Chairman of the Board.</w:t>
      </w:r>
    </w:p>
    <w:p>
      <w:pPr>
        <w:spacing w:after="0" w:line="15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stockholder communication directed to an individual director in his or her capacity as a member of the Board of Directors, stockholders may send such communication to the attention of the individual director via U.S. Mail or Expedited Delivery Service to: Zafgen, Inc., 175 Portland Street, 4th Floor, Boston, MA 02114, Attention: [Name of Individual Director].</w:t>
      </w:r>
    </w:p>
    <w:p>
      <w:pPr>
        <w:spacing w:after="0" w:line="18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We will forward by U.S. Mail any such stockholder communication to each director, and the Chairman of the Board in his or her capacity as a representative of the Board of Directors, to whom such stockholder communication is addressed to the address specified by each such director and the Chairman of the Board, unless there are safety or security concerns that mitigate against further transmission.</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Our Board of Directors oversees the management of risks inherent in the operation of our business and the implementation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Each committee of our Board of Directors also oversees the management of our risk that falls within the committee’s areas of responsibility. In performing this function, each committee has full access to management, as well as the ability to engage advisors. In connection with its risk management role, our Audit Committee meets privately with representatives from our independent registered public accounting firm, and privately with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87" w:lineRule="exact"/>
        <w:rPr>
          <w:sz w:val="20"/>
          <w:szCs w:val="20"/>
          <w:color w:val="auto"/>
        </w:rPr>
      </w:pPr>
    </w:p>
    <w:p>
      <w:pPr>
        <w:ind w:left="200" w:right="260" w:firstLine="441"/>
        <w:spacing w:after="0" w:line="272" w:lineRule="auto"/>
        <w:rPr>
          <w:sz w:val="20"/>
          <w:szCs w:val="20"/>
          <w:color w:val="auto"/>
        </w:rPr>
      </w:pPr>
      <w:r>
        <w:rPr>
          <w:rFonts w:ascii="Arial" w:cs="Arial" w:eastAsia="Arial" w:hAnsi="Arial"/>
          <w:sz w:val="17"/>
          <w:szCs w:val="17"/>
          <w:color w:val="auto"/>
        </w:rPr>
        <w:t>The Audit Committee operates under a written charter approved by the Board of Directors, which provides that its responsibilities include the oversight of the quality of our financial reports and other financial information and its compliance with legal and regulatory requirements; the appointment, compensation, and oversight of our independent registered public accounting firm, PricewaterhouseCoopers LLP, including reviewing their independence; reviewing and approving the planned scope of our annual audit; reviewing and pre-approving any non-audit services that may be performed by PricewaterhouseCoopers LLP; the oversight of our internal audit function; reviewing with management and our independent registered public accounting firm the adequacy of internal financial controls; and reviewing our critical accounting policies and estimates and the application of accounting principles generally accepted in the United States of America.</w:t>
      </w:r>
    </w:p>
    <w:p>
      <w:pPr>
        <w:spacing w:after="0" w:line="17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Audit Committee oversees our financial reporting process on behalf of the Board of Directors. Management is responsible for our internal controls, financial reporting process, and compliance with laws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regulations and ethical business standards. PricewaterhouseCoopers LLP is responsible for performing an independent audit of our consolidated financial statements in accordance with the standards of the Public Company Accounting Oversight Board (United States), or PCAOB. The Audit Committee’s main responsibility is to monitor and oversee this process.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The Audit Committee reviewed and discussed our audited consolidated financial statements for the fiscal year ended December 31, 2017, with management. The Audit Committee discussed with PricewaterhouseCoopers LLP the matters required to be discussed by PCAOB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and SEC Regulation S-X Rule 207,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Audit Committee considered any fees paid to PricewaterhouseCoopers LLP for the provision of non-audit related services, if any, and does not believe that these fees compromise PricewaterhouseCoopers LLP’s independence in performing the audit.</w:t>
      </w:r>
    </w:p>
    <w:p>
      <w:pPr>
        <w:spacing w:after="0" w:line="170"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such audited consolidated financial statements be included in our Annual Report on Form 10-K for the year ended December 31, 2017, for filing with the SEC.</w:t>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THE AUDIT COMMITTEE</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E. Thomas,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L. LaMattina,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Frances K. Heller</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240" w:top="459"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executive compensation consists of base salary, cash incentive bonuses, long-term incentive compensation in the form of restricted common stock, restricted stock units and/or stock options and broad-based benefits programs. We have not adopted any formal guidelines for allocating total compensation between long-term and short-term compensation, cash compensation and non-cash compensation, or among different forms of non-cash compensation. The Compensation Committee considers a number of factors in setting compensation for its executive officers, including Company performance, as well as the executive’s performance, experience, responsibilities and the compensation of executive officers in similar positions at comparable companies.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our named executive officers are intended to be competitive with those received by other individuals in similar positions at the companies with which we compete for talent. Base salaries are originally established at the time the executive is hired based on individual experience, skills and expected contributions, our understanding of what executives in similar positions at peer companies were paid, and also negotiations during the hiring process. The base salaries of our named executive officers are reviewed annually and may be adjusted to reflect market conditions and our executives’ performance during the prior year as well as the financial position of the Company, or if there is a change in the scope of the officer’s responsibilities.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Cash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Compensation Committee has the authority to award annual performance-based cash bonuses to our executive officers. In 2018, the Compensation Committee awarded cash bonuses to named executive officers in recognition of their performance in achieving certain corporate, clinical, and operational milestones for 2017. In 2017, the Compensation Committee awarded cash bonuses to our named executive officers in recognition of their performance in achieving certain corporate, clinical, and operational milestones during 2016. The amounts of such performance-based cash bonus awarded for 2017 and 2016 are set forth in the column “Non-Equity Incentive Plan Compensation” in the “Summary Compensation Table—2017 and 2016 Fiscal Years” below.</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Equity incentive grants to our named executive officers are made at the discretion of the Compensation Committee under the terms of the 2014 Stock Option and Incentive Plan. We believe that equity incentives subject to vesting over time can be an effective vehicle for the long-term element of compensation, as these awards align individual and team performance with the achievement of our strategic and financial goals over time, and with stockholders’ interests. Stock options, which have exercise prices equal to at least fair market value of our common stock on the date of grant, reward executive officers only if the stock price increases from the date of grant.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addition to the primary elements of compensation described above, the named executive officers also participate in the same broad-based employee benefits programs available to all of our employees, including health insurance, life and disability insurance, dental insurance and our new 401(k) plan. The Company does not provide special benefits to its executives and officers.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Simple IRA and 401(k)</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2009, we established a Savings Incentive Match Plan, or Simple IRA, for employees. Under the terms of the plan, we contribute 2% of an employee’s annual base salary, up to a maximum of the annual Internal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Revenue Service, or IRS, compensation limits, for all full-time employees. We terminated this plan as of December 31, 2017 and implemented a new 401(k) plan in 2018. Under the terms of the 401(k) plan, we contribute 3% of an employee’s annual base salary for all full-time employees.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Table—2017 and 2016 Fiscal Years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during the fiscal years ended December 31, 2017 and 2016 to each individual serving as our Chief Executive Officer in 2017 and the two most highly-compensated executive officers (other than any individual serving as Chief Executive Officer in 2017) who were serving as executive officers as of December 31, 2017. These individuals are our named executive officers for 2017.</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60" w:type="dxa"/>
            <w:vAlign w:val="bottom"/>
          </w:tcPr>
          <w:p>
            <w:pPr>
              <w:spacing w:after="0"/>
              <w:rPr>
                <w:sz w:val="14"/>
                <w:szCs w:val="14"/>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83"/>
              <w:spacing w:after="0"/>
              <w:rPr>
                <w:sz w:val="20"/>
                <w:szCs w:val="20"/>
                <w:color w:val="auto"/>
              </w:rPr>
            </w:pPr>
            <w:r>
              <w:rPr>
                <w:rFonts w:ascii="Arial" w:cs="Arial" w:eastAsia="Arial" w:hAnsi="Arial"/>
                <w:sz w:val="14"/>
                <w:szCs w:val="14"/>
                <w:b w:val="1"/>
                <w:bCs w:val="1"/>
                <w:color w:val="auto"/>
              </w:rPr>
              <w:t>Salary</w:t>
            </w:r>
          </w:p>
        </w:tc>
        <w:tc>
          <w:tcPr>
            <w:tcW w:w="108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87"/>
              </w:rPr>
              <w:t>Bonus</w:t>
            </w: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30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156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(5)</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1"/>
        </w:trPr>
        <w:tc>
          <w:tcPr>
            <w:tcW w:w="37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640" w:type="dxa"/>
            <w:vAlign w:val="bottom"/>
          </w:tcPr>
          <w:p>
            <w:pPr>
              <w:jc w:val="right"/>
              <w:ind w:right="16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Jeffrey S. Hatfield</w:t>
            </w:r>
          </w:p>
        </w:tc>
        <w:tc>
          <w:tcPr>
            <w:tcW w:w="19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40"/>
              <w:spacing w:after="0" w:line="189" w:lineRule="exact"/>
              <w:rPr>
                <w:sz w:val="20"/>
                <w:szCs w:val="20"/>
                <w:color w:val="auto"/>
              </w:rPr>
            </w:pPr>
            <w:r>
              <w:rPr>
                <w:rFonts w:ascii="Arial" w:cs="Arial" w:eastAsia="Arial" w:hAnsi="Arial"/>
                <w:sz w:val="18"/>
                <w:szCs w:val="18"/>
                <w:color w:val="auto"/>
                <w:w w:val="89"/>
              </w:rPr>
              <w:t>2017</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114,583</w:t>
            </w:r>
          </w:p>
        </w:tc>
        <w:tc>
          <w:tcPr>
            <w:tcW w:w="340" w:type="dxa"/>
            <w:vAlign w:val="bottom"/>
            <w:tcBorders>
              <w:top w:val="single" w:sz="8" w:color="CCEEFF"/>
            </w:tcBorders>
            <w:shd w:val="clear" w:color="auto" w:fill="CCEEFF"/>
          </w:tcPr>
          <w:p>
            <w:pPr>
              <w:jc w:val="right"/>
              <w:ind w:right="83"/>
              <w:spacing w:after="0" w:line="155" w:lineRule="exact"/>
              <w:rPr>
                <w:sz w:val="20"/>
                <w:szCs w:val="20"/>
                <w:color w:val="auto"/>
              </w:rPr>
            </w:pPr>
            <w:r>
              <w:rPr>
                <w:rFonts w:ascii="Arial" w:cs="Arial" w:eastAsia="Arial" w:hAnsi="Arial"/>
                <w:sz w:val="15"/>
                <w:szCs w:val="15"/>
                <w:color w:val="auto"/>
                <w:w w:val="87"/>
              </w:rPr>
              <w:t>(3)</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100,000</w:t>
            </w:r>
          </w:p>
        </w:tc>
        <w:tc>
          <w:tcPr>
            <w:tcW w:w="440" w:type="dxa"/>
            <w:vAlign w:val="bottom"/>
            <w:tcBorders>
              <w:top w:val="single" w:sz="8" w:color="CCEEFF"/>
            </w:tcBorders>
            <w:shd w:val="clear" w:color="auto" w:fill="CCEEFF"/>
          </w:tcPr>
          <w:p>
            <w:pPr>
              <w:jc w:val="right"/>
              <w:ind w:right="183"/>
              <w:spacing w:after="0" w:line="155" w:lineRule="exact"/>
              <w:rPr>
                <w:sz w:val="20"/>
                <w:szCs w:val="20"/>
                <w:color w:val="auto"/>
              </w:rPr>
            </w:pPr>
            <w:r>
              <w:rPr>
                <w:rFonts w:ascii="Arial" w:cs="Arial" w:eastAsia="Arial" w:hAnsi="Arial"/>
                <w:sz w:val="15"/>
                <w:szCs w:val="15"/>
                <w:color w:val="auto"/>
                <w:w w:val="87"/>
              </w:rPr>
              <w:t>(4)</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4,262,335</w:t>
            </w: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48,177</w:t>
            </w: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4,292</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4,529,387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Thomas E. Hughes, Ph.D.</w:t>
            </w:r>
          </w:p>
        </w:tc>
        <w:tc>
          <w:tcPr>
            <w:tcW w:w="62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480,000</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1,346,659</w:t>
            </w: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222,000</w:t>
            </w: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5,400</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2,054,059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i w:val="1"/>
                <w:iCs w:val="1"/>
                <w:color w:val="auto"/>
              </w:rPr>
              <w:t>President and Chief Scientific Officer</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463,500</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1,835,192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196,988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5,300</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2,500,980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D. Kim, M.D., M.B.A.</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9"/>
              </w:rPr>
              <w:t>2017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392,000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261,492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Chief Medical Officer</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378,525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1,049,205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Patricia L. Allen</w:t>
            </w:r>
          </w:p>
        </w:tc>
        <w:tc>
          <w:tcPr>
            <w:tcW w:w="62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331,000</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261,492</w:t>
            </w: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107,161</w:t>
            </w: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5,400</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705,053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i w:val="1"/>
                <w:iCs w:val="1"/>
                <w:color w:val="auto"/>
              </w:rPr>
              <w:t>Chief Financial Officer</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320,000</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530,658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95,200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5,300</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951,158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40" w:hanging="436"/>
        <w:spacing w:after="0" w:line="285"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our named executive officers in 2017 and 2016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Results of Operations” included in our Annual Report on Form 10-K for 2017. The amounts above reflect our aggregate accounting expense for these awards and do not necessarily correspond to the actual value that will be recognized by the named executive officers.</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amount of performance-based cash bonuses earned for 2017 and 2016.</w:t>
      </w:r>
    </w:p>
    <w:p>
      <w:pPr>
        <w:spacing w:after="0" w:line="9" w:lineRule="exact"/>
        <w:rPr>
          <w:rFonts w:ascii="Arial" w:cs="Arial" w:eastAsia="Arial" w:hAnsi="Arial"/>
          <w:sz w:val="18"/>
          <w:szCs w:val="18"/>
          <w:color w:val="auto"/>
        </w:rPr>
      </w:pPr>
    </w:p>
    <w:p>
      <w:pPr>
        <w:ind w:left="640" w:right="90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base salary earned by Mr. Hatfield for services as Chief Executive Officer during 2017. Mr. Hatfield’s employment with us commenced on October 9, 2017 and his annual base salary during this period was $500,000.</w:t>
      </w: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 sign-on bonus of $100,000.</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employer match contribution to the Simple IRA.</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229"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have entered into an employment agreement or offer letter with each of our named executive officers in connection with their employment with us. These employment agreements and offer letters provide for “at will” employment and a double trigger for change of control.</w:t>
      </w:r>
    </w:p>
    <w:p>
      <w:pPr>
        <w:spacing w:after="0" w:line="12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Jeffrey S. Hatfield</w:t>
      </w:r>
      <w:r>
        <w:rPr>
          <w:rFonts w:ascii="Arial" w:cs="Arial" w:eastAsia="Arial" w:hAnsi="Arial"/>
          <w:sz w:val="18"/>
          <w:szCs w:val="18"/>
          <w:color w:val="auto"/>
        </w:rPr>
        <w:t>. On October 9, 2017, we entered into an offer letter and a severance and change in control agreement with Mr. Hatfield,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Pursuant to the severance and change in control agreement, in the event that Mr. Hatfield terminates his employment with “good reason” or is terminated without “cause,” he is eligible to receive 12 months of base salary continuation and 12 months of COBRA continuation medical benefits subsidized by us, provided that he executes and does not revoke a separation agreement and release of us and our affiliates. In the event that Mr. Hatfield’s employment is terminated without “cause” or he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terminates his employment for “good reason” within 12 months of a “change of control,” Mr. Hatfield is eligible to receive 18 months base salary continuation, 18 months of COBRA continuation medical benefits subsidized by us, and all options and other stock-based awards held by him shall immediately accelerate and become fully exercisable or non-forfeitable as of the date of termination, provided that he executes and does not revoke a separation agreement and release of us and our affiliates. Currently, Mr. Hatfield receives a base salary of $518,000, which is subject to review and adjustment in accordance with company policy. Mr. Hatfield is also eligible for an annual merit bonus with a target bonus opportunity of 50% of his base salary for 2018, payable at the discretion of the Board of Directors, based upon performance. Mr. Hatfield is eligible to participate in our employee benefit plans generally available to our executive employees, subject to the terms of those plans.</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 xml:space="preserve">Thomas E. Hughes, Ph.D. </w:t>
      </w:r>
      <w:r>
        <w:rPr>
          <w:rFonts w:ascii="Arial" w:cs="Arial" w:eastAsia="Arial" w:hAnsi="Arial"/>
          <w:sz w:val="16"/>
          <w:szCs w:val="16"/>
          <w:color w:val="auto"/>
        </w:rPr>
        <w:t>On June 30, 2016, we entered into a severance and change in control agreement with Dr. Hughes, our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Scientific Officer, which supersedes any terms of his prior offer letter. Pursuant to the severance and change in control agreement, in the event that Dr. Hughes terminates his employment with “good reason” or is terminated without “cause,” he is eligible to receive 12 months of base salary continuation and 12 months of COBRA continuation medical benefits subsidized by us, provided that he executes and does not revoke a separation agreement and release of us and our affiliates. In the event that Dr. Hughes’ employment is terminated without “cause” or he terminates his employment for “good reason” within 12 months of a “change of control,” Dr. Hughes is eligible to receive 18 months of base salary continuation, 18 months of COBRA continuation medical benefits subsidized by us, and all options and other stock-based awards held by him shall immediately accelerate and become fully exercisable or non-forfeitable as of the date of termination, provided that he executes and does not revoke a separation agreement and release of us and our affiliates. Furthermore, effective as of October 9, 2017, we entered into an offer letter with Dr. Hughes in connection with his transition from Chief Executive Officer to Chief Scientific Officer. Pursuant to the offer letter, Dr. Hughes agreed to waive his option to resign for “good reason,” in connection with such transition, but if he terminates his employment on the third anniversary of the effective date of the offer letter, he is eligible to receive (i) 12 months of base salary continuation and 12 months of COBRA continuation medical benefits subsidized by us, (ii) pro-rated bonus for the time period between January 1, 2020 and such third anniversary, as determined by the Compensation Committee, and (iii) 12 months of accelerated vesting of his then outstanding time-based equity awards, provided that he executes and does not revoke a separation agreement and release of us and our affiliates. Currently, Dr. Hughes receives a base salary of $497,000, which is subject to review and adjustment in accordance with company policy. Dr. Hughes is also eligible for an annual merit bonus with a target bonus opportunity of 50% of his base salary for 2018, payable at the discretion of the Board of Directors, based upon performance. Dr. Hughes is eligible to participate in our employee benefit plans generally available to our executive employees, subject to the terms of those plans.</w:t>
      </w:r>
    </w:p>
    <w:p>
      <w:pPr>
        <w:spacing w:after="0" w:line="391"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i w:val="1"/>
          <w:iCs w:val="1"/>
          <w:color w:val="auto"/>
        </w:rPr>
        <w:t>Dennis D. Kim, M.D., M.B.A</w:t>
      </w:r>
      <w:r>
        <w:rPr>
          <w:rFonts w:ascii="Arial" w:cs="Arial" w:eastAsia="Arial" w:hAnsi="Arial"/>
          <w:sz w:val="16"/>
          <w:szCs w:val="16"/>
          <w:color w:val="auto"/>
        </w:rPr>
        <w:t>. On June 30, 2016, we entered into a severance and change in control agreement with Dr. Kim, our Chief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which supersedes any terms of his prior offer letter. Pursuant to his severance and change in control agreement, in the event that Dr. Kim terminates his employment with “good reason” or is terminated without “cause,” he is eligible to receive nine months of base salary continuation and nine months of COBRA continuation medical benefits subsidized by us, provided that he executes and does not revoke a separation agreement and release of us and our affiliates. In the event that Dr. Kim’s employment is terminated without “cause” or he terminates his employment for “good reason” within 12 months of a “change of control”, he is eligible to receive 12 months of base salary continuation and 12 months of COBRA continuation medical benefits subsidized by us, and all options and other stock-based awards held by him shall immediately accelerate and become fully exercisable or non-forfeitable as of the date of termination, provided that he executes and does not revoke a separation agreement and release of us and our affiliates. Currently, Dr. Kim receives a base salary of $409,000, which is subject to review and adjustment in accordance with company policy.</w:t>
      </w:r>
    </w:p>
    <w:p>
      <w:pPr>
        <w:spacing w:after="0" w:line="7" w:lineRule="exact"/>
        <w:rPr>
          <w:sz w:val="20"/>
          <w:szCs w:val="20"/>
          <w:color w:val="auto"/>
        </w:rPr>
      </w:pPr>
    </w:p>
    <w:p>
      <w:pPr>
        <w:ind w:left="200" w:right="300"/>
        <w:spacing w:after="0" w:line="255" w:lineRule="auto"/>
        <w:rPr>
          <w:sz w:val="20"/>
          <w:szCs w:val="20"/>
          <w:color w:val="auto"/>
        </w:rPr>
      </w:pPr>
      <w:r>
        <w:rPr>
          <w:rFonts w:ascii="Arial" w:cs="Arial" w:eastAsia="Arial" w:hAnsi="Arial"/>
          <w:sz w:val="18"/>
          <w:szCs w:val="18"/>
          <w:color w:val="auto"/>
        </w:rPr>
        <w:t>Dr. Kim is also eligible for an annual merit bonus with a target bonus opportunity of 35% of his base salary for 2018, payable at the discretion of the Board of Directors, based upon performance. Dr. Kim is eligible to participate in our employee benefit plans generally available to our executive employees, subject to the terms of those plans.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 xml:space="preserve">Patricia L. Allen. </w:t>
      </w:r>
      <w:r>
        <w:rPr>
          <w:rFonts w:ascii="Arial" w:cs="Arial" w:eastAsia="Arial" w:hAnsi="Arial"/>
          <w:sz w:val="17"/>
          <w:szCs w:val="17"/>
          <w:color w:val="auto"/>
        </w:rPr>
        <w:t>On June 30, 2016, we entered into a severance and change in control agreement with Ms. Allen, our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supersedes any terms of her prior offer letter. Pursuant to her severance and change in control agreement, in the event that Ms. Allen terminates her employment with “good reason” or is terminated without “cause,” she is eligible to receive nine months of base salary continuation and nine months of COBRA continuation medical benefits subsidized by us, provided that she executes and does not revoke a separation agreement and release of us and our affiliates. In the event that Ms. Allen’s employment is terminated without “cause” or she terminates her employment for “good reason” within 12 months of a “change of control”, she is eligible to receive 12 months of base salary continuation and 12 months of COBRA continuation medical benefits subsidized by us, and all options and other stock-based awards held by her shall immediately accelerate and become fully exercisable or non-forfeitable as of the date of termination, provided that she executes and does not revoke a separation agreement and release of us and our affiliates. Currently, Ms. Allen receives a base salary of $370,000, which is subject to review and adjustment in accordance with company policy. Ms. Allen is also eligible for an annual merit bonus with a target bonus opportunity of 35% of her base salary for 2018, payable at the discretion of the Board of Directors, based upon performance. Ms. Allen is eligible to participate in our employee benefit plans generally available to our executive employees, subject to the terms of those plans.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severance and change in control agreements of our named executive officers, “cause” means:</w:t>
      </w:r>
    </w:p>
    <w:p>
      <w:pPr>
        <w:spacing w:after="0" w:line="13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commission by the officer of any felony, any crime involving the Company, or any crime involving fraud or dishonesty;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unauthorized use or disclosure of the Company’s proprietary information by the officer;</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officer’s part which has a materially adverse effect on the Company’s business or reputation; or</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officer’s repeated and willful failure to perform the duties, functions and responsibilities of the officer’s position after a written warning from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severance and change in control agreements of our named executive officers, “good reason” means:</w:t>
      </w:r>
    </w:p>
    <w:p>
      <w:pPr>
        <w:spacing w:after="0" w:line="131"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material diminution in the officer’s title, responsibilities, authority or duties;</w:t>
      </w:r>
    </w:p>
    <w:p>
      <w:pPr>
        <w:spacing w:after="0" w:line="130" w:lineRule="exact"/>
        <w:rPr>
          <w:rFonts w:ascii="Arial" w:cs="Arial" w:eastAsia="Arial" w:hAnsi="Arial"/>
          <w:sz w:val="18"/>
          <w:szCs w:val="18"/>
          <w:color w:val="auto"/>
        </w:rPr>
      </w:pPr>
    </w:p>
    <w:p>
      <w:pPr>
        <w:ind w:left="1060" w:right="900" w:hanging="316"/>
        <w:spacing w:after="0" w:line="308"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material diminution in the officer’s base salary except for across-the-board salary reductions based on the Company’s financial performance similarly affecting all or substantially all senior management employees of the Company;</w:t>
      </w:r>
    </w:p>
    <w:p>
      <w:pPr>
        <w:spacing w:after="0" w:line="51" w:lineRule="exact"/>
        <w:rPr>
          <w:rFonts w:ascii="Arial" w:cs="Arial" w:eastAsia="Arial" w:hAnsi="Arial"/>
          <w:sz w:val="17"/>
          <w:szCs w:val="17"/>
          <w:color w:val="auto"/>
        </w:rPr>
      </w:pPr>
    </w:p>
    <w:p>
      <w:pPr>
        <w:ind w:left="1060" w:right="2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breach by the Company of the material terms of the severance and change in control agreement or any other written agreement between the Company and the officer; or</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officer is required to provide services to the Company, not including business travel and short-term assignments.</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For purposes of the severance and change in control agreements of our named executive officers, a “change in control” shall be deemed to have occurred upon the occurrence of any one of the following events:</w:t>
      </w:r>
    </w:p>
    <w:p>
      <w:pPr>
        <w:spacing w:after="0" w:line="76" w:lineRule="exact"/>
        <w:rPr>
          <w:sz w:val="20"/>
          <w:szCs w:val="20"/>
          <w:color w:val="auto"/>
        </w:rPr>
      </w:pPr>
    </w:p>
    <w:p>
      <w:pPr>
        <w:ind w:left="1060" w:right="14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sale or exclusive out-license (even as to the Company) of all or substantially all of the assets of the Company on a consolidated basis to an unrelated person or entity;</w:t>
      </w:r>
    </w:p>
    <w:p>
      <w:pPr>
        <w:spacing w:after="0" w:line="75" w:lineRule="exact"/>
        <w:rPr>
          <w:rFonts w:ascii="Arial" w:cs="Arial" w:eastAsia="Arial" w:hAnsi="Arial"/>
          <w:sz w:val="18"/>
          <w:szCs w:val="18"/>
          <w:color w:val="auto"/>
        </w:rPr>
      </w:pPr>
    </w:p>
    <w:p>
      <w:pPr>
        <w:ind w:left="1060" w:right="20" w:hanging="316"/>
        <w:spacing w:after="0" w:line="31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 of all of the stock of the Company to an unrelated person, entity or group thereof acting in concert; or</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Confidentiality, Non-Competition, Non-Solicitation and Assignment Agreements</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Outstanding Equity Awards at Fiscal Year-End—2017</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for each of the named executive officers, the number of shares of common stock underlying outstanding stock options held as of December 31, 2017.</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620"/>
              <w:spacing w:after="0"/>
              <w:rPr>
                <w:sz w:val="20"/>
                <w:szCs w:val="20"/>
                <w:color w:val="auto"/>
              </w:rPr>
            </w:pPr>
            <w:r>
              <w:rPr>
                <w:rFonts w:ascii="Arial" w:cs="Arial" w:eastAsia="Arial" w:hAnsi="Arial"/>
                <w:sz w:val="14"/>
                <w:szCs w:val="14"/>
                <w:b w:val="1"/>
                <w:bCs w:val="1"/>
                <w:color w:val="auto"/>
                <w:w w:val="98"/>
              </w:rPr>
              <w:t>Option Awards</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Number of Securities</w:t>
            </w:r>
          </w:p>
        </w:tc>
        <w:tc>
          <w:tcPr>
            <w:tcW w:w="240" w:type="dxa"/>
            <w:vAlign w:val="bottom"/>
          </w:tcPr>
          <w:p>
            <w:pPr>
              <w:spacing w:after="0"/>
              <w:rPr>
                <w:sz w:val="10"/>
                <w:szCs w:val="10"/>
                <w:color w:val="auto"/>
              </w:rPr>
            </w:pPr>
          </w:p>
        </w:tc>
        <w:tc>
          <w:tcPr>
            <w:tcW w:w="1960" w:type="dxa"/>
            <w:vAlign w:val="bottom"/>
            <w:gridSpan w:val="2"/>
            <w:vMerge w:val="restart"/>
          </w:tcPr>
          <w:p>
            <w:pPr>
              <w:jc w:val="right"/>
              <w:ind w:right="506"/>
              <w:spacing w:after="0"/>
              <w:rPr>
                <w:sz w:val="20"/>
                <w:szCs w:val="20"/>
                <w:color w:val="auto"/>
              </w:rPr>
            </w:pPr>
            <w:r>
              <w:rPr>
                <w:rFonts w:ascii="Arial" w:cs="Arial" w:eastAsia="Arial" w:hAnsi="Arial"/>
                <w:sz w:val="14"/>
                <w:szCs w:val="14"/>
                <w:b w:val="1"/>
                <w:bCs w:val="1"/>
                <w:color w:val="auto"/>
                <w:w w:val="96"/>
              </w:rPr>
              <w:t>Number of Securities</w:t>
            </w:r>
          </w:p>
        </w:tc>
        <w:tc>
          <w:tcPr>
            <w:tcW w:w="260" w:type="dxa"/>
            <w:vAlign w:val="bottom"/>
          </w:tcPr>
          <w:p>
            <w:pPr>
              <w:spacing w:after="0"/>
              <w:rPr>
                <w:sz w:val="10"/>
                <w:szCs w:val="10"/>
                <w:color w:val="auto"/>
              </w:rPr>
            </w:pPr>
          </w:p>
        </w:tc>
        <w:tc>
          <w:tcPr>
            <w:tcW w:w="18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Equity Incentive Plan</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 Number</w:t>
            </w:r>
          </w:p>
        </w:tc>
        <w:tc>
          <w:tcPr>
            <w:tcW w:w="240" w:type="dxa"/>
            <w:vAlign w:val="bottom"/>
          </w:tcPr>
          <w:p>
            <w:pPr>
              <w:spacing w:after="0"/>
              <w:rPr>
                <w:sz w:val="12"/>
                <w:szCs w:val="12"/>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200" w:type="dxa"/>
            <w:vAlign w:val="bottom"/>
            <w:gridSpan w:val="3"/>
          </w:tcPr>
          <w:p>
            <w:pPr>
              <w:jc w:val="center"/>
              <w:ind w:right="166"/>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60" w:type="dxa"/>
            <w:vAlign w:val="bottom"/>
          </w:tcPr>
          <w:p>
            <w:pPr>
              <w:spacing w:after="0"/>
              <w:rPr>
                <w:sz w:val="12"/>
                <w:szCs w:val="12"/>
                <w:color w:val="auto"/>
              </w:rPr>
            </w:pPr>
          </w:p>
        </w:tc>
        <w:tc>
          <w:tcPr>
            <w:tcW w:w="1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of Securities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960" w:type="dxa"/>
            <w:vAlign w:val="bottom"/>
            <w:gridSpan w:val="2"/>
          </w:tcPr>
          <w:p>
            <w:pPr>
              <w:jc w:val="center"/>
              <w:ind w:right="426"/>
              <w:spacing w:after="0" w:line="149" w:lineRule="exact"/>
              <w:rPr>
                <w:sz w:val="20"/>
                <w:szCs w:val="20"/>
                <w:color w:val="auto"/>
              </w:rPr>
            </w:pPr>
            <w:r>
              <w:rPr>
                <w:rFonts w:ascii="Arial" w:cs="Arial" w:eastAsia="Arial" w:hAnsi="Arial"/>
                <w:sz w:val="14"/>
                <w:szCs w:val="14"/>
                <w:b w:val="1"/>
                <w:bCs w:val="1"/>
                <w:color w:val="auto"/>
                <w:w w:val="94"/>
              </w:rPr>
              <w:t>Options</w:t>
            </w:r>
          </w:p>
        </w:tc>
        <w:tc>
          <w:tcPr>
            <w:tcW w:w="2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1720" w:type="dxa"/>
            <w:vAlign w:val="bottom"/>
            <w:gridSpan w:val="2"/>
          </w:tcPr>
          <w:p>
            <w:pPr>
              <w:jc w:val="center"/>
              <w:ind w:left="133"/>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Unearned Options</w:t>
            </w:r>
          </w:p>
        </w:tc>
        <w:tc>
          <w:tcPr>
            <w:tcW w:w="2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Exercisable</w:t>
            </w:r>
          </w:p>
        </w:tc>
        <w:tc>
          <w:tcPr>
            <w:tcW w:w="240" w:type="dxa"/>
            <w:vAlign w:val="bottom"/>
          </w:tcPr>
          <w:p>
            <w:pPr>
              <w:spacing w:after="0"/>
              <w:rPr>
                <w:sz w:val="14"/>
                <w:szCs w:val="14"/>
                <w:color w:val="auto"/>
              </w:rPr>
            </w:pPr>
          </w:p>
        </w:tc>
        <w:tc>
          <w:tcPr>
            <w:tcW w:w="1960" w:type="dxa"/>
            <w:vAlign w:val="bottom"/>
            <w:gridSpan w:val="2"/>
          </w:tcPr>
          <w:p>
            <w:pPr>
              <w:jc w:val="center"/>
              <w:ind w:right="426"/>
              <w:spacing w:after="0"/>
              <w:rPr>
                <w:sz w:val="20"/>
                <w:szCs w:val="20"/>
                <w:color w:val="auto"/>
              </w:rPr>
            </w:pPr>
            <w:r>
              <w:rPr>
                <w:rFonts w:ascii="Arial" w:cs="Arial" w:eastAsia="Arial" w:hAnsi="Arial"/>
                <w:sz w:val="14"/>
                <w:szCs w:val="14"/>
                <w:b w:val="1"/>
                <w:bCs w:val="1"/>
                <w:color w:val="auto"/>
                <w:w w:val="90"/>
              </w:rPr>
              <w:t>Unexercisable</w:t>
            </w:r>
          </w:p>
        </w:tc>
        <w:tc>
          <w:tcPr>
            <w:tcW w:w="174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7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80" w:type="dxa"/>
            <w:vAlign w:val="bottom"/>
            <w:tcBorders>
              <w:top w:val="single" w:sz="8" w:color="CCEEFF"/>
            </w:tcBorders>
            <w:vMerge w:val="restart"/>
            <w:shd w:val="clear" w:color="auto" w:fill="CCEEFF"/>
          </w:tcPr>
          <w:p>
            <w:pPr>
              <w:jc w:val="right"/>
              <w:ind w:right="226"/>
              <w:spacing w:after="0"/>
              <w:rPr>
                <w:sz w:val="20"/>
                <w:szCs w:val="20"/>
                <w:color w:val="auto"/>
              </w:rPr>
            </w:pPr>
            <w:r>
              <w:rPr>
                <w:rFonts w:ascii="Arial" w:cs="Arial" w:eastAsia="Arial" w:hAnsi="Arial"/>
                <w:sz w:val="15"/>
                <w:szCs w:val="15"/>
                <w:color w:val="auto"/>
                <w:w w:val="87"/>
              </w:rPr>
              <w:t>(1)</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10/9/2027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S. Hatfield</w:t>
            </w:r>
          </w:p>
        </w:tc>
        <w:tc>
          <w:tcPr>
            <w:tcW w:w="3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96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240"/>
              <w:spacing w:after="0"/>
              <w:rPr>
                <w:sz w:val="20"/>
                <w:szCs w:val="20"/>
                <w:color w:val="auto"/>
              </w:rPr>
            </w:pPr>
            <w:r>
              <w:rPr>
                <w:rFonts w:ascii="Arial" w:cs="Arial" w:eastAsia="Arial" w:hAnsi="Arial"/>
                <w:sz w:val="18"/>
                <w:szCs w:val="18"/>
                <w:color w:val="auto"/>
              </w:rPr>
              <w:t>1,100,000</w:t>
            </w:r>
            <w:r>
              <w:rPr>
                <w:rFonts w:ascii="Arial" w:cs="Arial" w:eastAsia="Arial" w:hAnsi="Arial"/>
                <w:sz w:val="15"/>
                <w:szCs w:val="15"/>
                <w:color w:val="auto"/>
              </w:rPr>
              <w:t>(2)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Hughes, Ph.D.</w:t>
            </w:r>
          </w:p>
        </w:tc>
        <w:tc>
          <w:tcPr>
            <w:tcW w:w="2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160,555</w:t>
            </w:r>
            <w:r>
              <w:rPr>
                <w:rFonts w:ascii="Arial" w:cs="Arial" w:eastAsia="Arial" w:hAnsi="Arial"/>
                <w:sz w:val="15"/>
                <w:szCs w:val="15"/>
                <w:color w:val="auto"/>
              </w:rPr>
              <w:t>(3)</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123,750</w:t>
            </w:r>
          </w:p>
        </w:tc>
        <w:tc>
          <w:tcPr>
            <w:tcW w:w="500" w:type="dxa"/>
            <w:vAlign w:val="bottom"/>
          </w:tcPr>
          <w:p>
            <w:pPr>
              <w:spacing w:after="0"/>
              <w:rPr>
                <w:sz w:val="18"/>
                <w:szCs w:val="18"/>
                <w:color w:val="auto"/>
              </w:rPr>
            </w:pPr>
          </w:p>
        </w:tc>
        <w:tc>
          <w:tcPr>
            <w:tcW w:w="2200" w:type="dxa"/>
            <w:vAlign w:val="bottom"/>
            <w:gridSpan w:val="3"/>
          </w:tcPr>
          <w:p>
            <w:pPr>
              <w:jc w:val="right"/>
              <w:ind w:right="226"/>
              <w:spacing w:after="0"/>
              <w:rPr>
                <w:sz w:val="20"/>
                <w:szCs w:val="20"/>
                <w:color w:val="auto"/>
              </w:rPr>
            </w:pPr>
            <w:r>
              <w:rPr>
                <w:rFonts w:ascii="Arial" w:cs="Arial" w:eastAsia="Arial" w:hAnsi="Arial"/>
                <w:sz w:val="18"/>
                <w:szCs w:val="18"/>
                <w:color w:val="auto"/>
              </w:rPr>
              <w:t>56,250</w:t>
            </w:r>
            <w:r>
              <w:rPr>
                <w:rFonts w:ascii="Arial" w:cs="Arial" w:eastAsia="Arial" w:hAnsi="Arial"/>
                <w:sz w:val="15"/>
                <w:szCs w:val="15"/>
                <w:color w:val="auto"/>
              </w:rPr>
              <w:t>(4)</w:t>
            </w:r>
          </w:p>
        </w:tc>
        <w:tc>
          <w:tcPr>
            <w:tcW w:w="260" w:type="dxa"/>
            <w:vAlign w:val="bottom"/>
          </w:tcPr>
          <w:p>
            <w:pPr>
              <w:spacing w:after="0"/>
              <w:rPr>
                <w:sz w:val="18"/>
                <w:szCs w:val="18"/>
                <w:color w:val="auto"/>
              </w:rPr>
            </w:pPr>
          </w:p>
        </w:tc>
        <w:tc>
          <w:tcPr>
            <w:tcW w:w="18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45.57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108,937</w:t>
            </w:r>
          </w:p>
        </w:tc>
        <w:tc>
          <w:tcPr>
            <w:tcW w:w="50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226"/>
              <w:spacing w:after="0"/>
              <w:rPr>
                <w:sz w:val="20"/>
                <w:szCs w:val="20"/>
                <w:color w:val="auto"/>
              </w:rPr>
            </w:pPr>
            <w:r>
              <w:rPr>
                <w:rFonts w:ascii="Arial" w:cs="Arial" w:eastAsia="Arial" w:hAnsi="Arial"/>
                <w:sz w:val="18"/>
                <w:szCs w:val="18"/>
                <w:color w:val="auto"/>
              </w:rPr>
              <w:t>140,063</w:t>
            </w:r>
            <w:r>
              <w:rPr>
                <w:rFonts w:ascii="Arial" w:cs="Arial" w:eastAsia="Arial" w:hAnsi="Arial"/>
                <w:sz w:val="15"/>
                <w:szCs w:val="15"/>
                <w:color w:val="auto"/>
              </w:rPr>
              <w:t>(5)</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62,250</w:t>
            </w:r>
          </w:p>
        </w:tc>
        <w:tc>
          <w:tcPr>
            <w:tcW w:w="500" w:type="dxa"/>
            <w:vAlign w:val="bottom"/>
          </w:tcPr>
          <w:p>
            <w:pPr>
              <w:spacing w:after="0"/>
              <w:rPr>
                <w:sz w:val="18"/>
                <w:szCs w:val="18"/>
                <w:color w:val="auto"/>
              </w:rPr>
            </w:pPr>
          </w:p>
        </w:tc>
        <w:tc>
          <w:tcPr>
            <w:tcW w:w="2200" w:type="dxa"/>
            <w:vAlign w:val="bottom"/>
            <w:gridSpan w:val="3"/>
          </w:tcPr>
          <w:p>
            <w:pPr>
              <w:jc w:val="right"/>
              <w:ind w:right="226"/>
              <w:spacing w:after="0"/>
              <w:rPr>
                <w:sz w:val="20"/>
                <w:szCs w:val="20"/>
                <w:color w:val="auto"/>
              </w:rPr>
            </w:pPr>
            <w:r>
              <w:rPr>
                <w:rFonts w:ascii="Arial" w:cs="Arial" w:eastAsia="Arial" w:hAnsi="Arial"/>
                <w:sz w:val="18"/>
                <w:szCs w:val="18"/>
                <w:color w:val="auto"/>
              </w:rPr>
              <w:t>62,250</w:t>
            </w:r>
            <w:r>
              <w:rPr>
                <w:rFonts w:ascii="Arial" w:cs="Arial" w:eastAsia="Arial" w:hAnsi="Arial"/>
                <w:sz w:val="15"/>
                <w:szCs w:val="15"/>
                <w:color w:val="auto"/>
              </w:rPr>
              <w:t>(6)</w:t>
            </w:r>
          </w:p>
        </w:tc>
        <w:tc>
          <w:tcPr>
            <w:tcW w:w="260" w:type="dxa"/>
            <w:vAlign w:val="bottom"/>
          </w:tcPr>
          <w:p>
            <w:pPr>
              <w:spacing w:after="0"/>
              <w:rPr>
                <w:sz w:val="18"/>
                <w:szCs w:val="18"/>
                <w:color w:val="auto"/>
              </w:rPr>
            </w:pPr>
          </w:p>
        </w:tc>
        <w:tc>
          <w:tcPr>
            <w:tcW w:w="18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CCEEFF"/>
          </w:tcPr>
          <w:p>
            <w:pPr>
              <w:jc w:val="right"/>
              <w:ind w:right="226"/>
              <w:spacing w:after="0"/>
              <w:rPr>
                <w:sz w:val="20"/>
                <w:szCs w:val="20"/>
                <w:color w:val="auto"/>
              </w:rPr>
            </w:pPr>
            <w:r>
              <w:rPr>
                <w:rFonts w:ascii="Arial" w:cs="Arial" w:eastAsia="Arial" w:hAnsi="Arial"/>
                <w:sz w:val="18"/>
                <w:szCs w:val="18"/>
                <w:color w:val="auto"/>
              </w:rPr>
              <w:t>319,000</w:t>
            </w:r>
            <w:r>
              <w:rPr>
                <w:rFonts w:ascii="Arial" w:cs="Arial" w:eastAsia="Arial" w:hAnsi="Arial"/>
                <w:sz w:val="15"/>
                <w:szCs w:val="15"/>
                <w:color w:val="auto"/>
              </w:rPr>
              <w:t>(7)</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96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240"/>
              <w:spacing w:after="0"/>
              <w:rPr>
                <w:sz w:val="20"/>
                <w:szCs w:val="20"/>
                <w:color w:val="auto"/>
              </w:rPr>
            </w:pPr>
            <w:r>
              <w:rPr>
                <w:rFonts w:ascii="Arial" w:cs="Arial" w:eastAsia="Arial" w:hAnsi="Arial"/>
                <w:sz w:val="18"/>
                <w:szCs w:val="18"/>
                <w:color w:val="auto"/>
              </w:rPr>
              <w:t>275,000</w:t>
            </w:r>
            <w:r>
              <w:rPr>
                <w:rFonts w:ascii="Arial" w:cs="Arial" w:eastAsia="Arial" w:hAnsi="Arial"/>
                <w:sz w:val="15"/>
                <w:szCs w:val="15"/>
                <w:color w:val="auto"/>
              </w:rPr>
              <w:t>(8)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Dennis D. Kim, M.D.,</w:t>
            </w: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M.B.A.</w:t>
            </w:r>
          </w:p>
        </w:tc>
        <w:tc>
          <w:tcPr>
            <w:tcW w:w="2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103,312</w:t>
            </w:r>
            <w:r>
              <w:rPr>
                <w:rFonts w:ascii="Arial" w:cs="Arial" w:eastAsia="Arial" w:hAnsi="Arial"/>
                <w:sz w:val="15"/>
                <w:szCs w:val="15"/>
                <w:color w:val="auto"/>
              </w:rPr>
              <w:t>(9)</w:t>
            </w:r>
          </w:p>
        </w:tc>
        <w:tc>
          <w:tcPr>
            <w:tcW w:w="2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10/11/2021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300" w:type="dxa"/>
            <w:vAlign w:val="bottom"/>
            <w:gridSpan w:val="3"/>
          </w:tcPr>
          <w:p>
            <w:pPr>
              <w:jc w:val="right"/>
              <w:ind w:right="240"/>
              <w:spacing w:after="0"/>
              <w:rPr>
                <w:sz w:val="20"/>
                <w:szCs w:val="20"/>
                <w:color w:val="auto"/>
              </w:rPr>
            </w:pPr>
            <w:r>
              <w:rPr>
                <w:rFonts w:ascii="Arial" w:cs="Arial" w:eastAsia="Arial" w:hAnsi="Arial"/>
                <w:sz w:val="18"/>
                <w:szCs w:val="18"/>
                <w:color w:val="auto"/>
              </w:rPr>
              <w:t>48,197</w:t>
            </w: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196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50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166"/>
              <w:spacing w:after="0"/>
              <w:rPr>
                <w:sz w:val="20"/>
                <w:szCs w:val="20"/>
                <w:color w:val="auto"/>
              </w:rPr>
            </w:pPr>
            <w:r>
              <w:rPr>
                <w:rFonts w:ascii="Arial" w:cs="Arial" w:eastAsia="Arial" w:hAnsi="Arial"/>
                <w:sz w:val="18"/>
                <w:szCs w:val="18"/>
                <w:color w:val="auto"/>
              </w:rPr>
              <w:t>26,250</w:t>
            </w:r>
            <w:r>
              <w:rPr>
                <w:rFonts w:ascii="Arial" w:cs="Arial" w:eastAsia="Arial" w:hAnsi="Arial"/>
                <w:sz w:val="15"/>
                <w:szCs w:val="15"/>
                <w:color w:val="auto"/>
              </w:rPr>
              <w:t>(11)</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32,812</w:t>
            </w:r>
          </w:p>
        </w:tc>
        <w:tc>
          <w:tcPr>
            <w:tcW w:w="500" w:type="dxa"/>
            <w:vAlign w:val="bottom"/>
          </w:tcPr>
          <w:p>
            <w:pPr>
              <w:spacing w:after="0"/>
              <w:rPr>
                <w:sz w:val="18"/>
                <w:szCs w:val="18"/>
                <w:color w:val="auto"/>
              </w:rPr>
            </w:pPr>
          </w:p>
        </w:tc>
        <w:tc>
          <w:tcPr>
            <w:tcW w:w="2200" w:type="dxa"/>
            <w:vAlign w:val="bottom"/>
            <w:gridSpan w:val="3"/>
          </w:tcPr>
          <w:p>
            <w:pPr>
              <w:jc w:val="right"/>
              <w:ind w:right="146"/>
              <w:spacing w:after="0"/>
              <w:rPr>
                <w:sz w:val="20"/>
                <w:szCs w:val="20"/>
                <w:color w:val="auto"/>
              </w:rPr>
            </w:pPr>
            <w:r>
              <w:rPr>
                <w:rFonts w:ascii="Arial" w:cs="Arial" w:eastAsia="Arial" w:hAnsi="Arial"/>
                <w:sz w:val="18"/>
                <w:szCs w:val="18"/>
                <w:color w:val="auto"/>
              </w:rPr>
              <w:t>42,188</w:t>
            </w:r>
            <w:r>
              <w:rPr>
                <w:rFonts w:ascii="Arial" w:cs="Arial" w:eastAsia="Arial" w:hAnsi="Arial"/>
                <w:sz w:val="15"/>
                <w:szCs w:val="15"/>
                <w:color w:val="auto"/>
              </w:rPr>
              <w:t>(12)</w:t>
            </w:r>
          </w:p>
        </w:tc>
        <w:tc>
          <w:tcPr>
            <w:tcW w:w="260" w:type="dxa"/>
            <w:vAlign w:val="bottom"/>
          </w:tcPr>
          <w:p>
            <w:pPr>
              <w:spacing w:after="0"/>
              <w:rPr>
                <w:sz w:val="18"/>
                <w:szCs w:val="18"/>
                <w:color w:val="auto"/>
              </w:rPr>
            </w:pPr>
          </w:p>
        </w:tc>
        <w:tc>
          <w:tcPr>
            <w:tcW w:w="18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50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146"/>
              <w:spacing w:after="0"/>
              <w:rPr>
                <w:sz w:val="20"/>
                <w:szCs w:val="20"/>
                <w:color w:val="auto"/>
              </w:rPr>
            </w:pPr>
            <w:r>
              <w:rPr>
                <w:rFonts w:ascii="Arial" w:cs="Arial" w:eastAsia="Arial" w:hAnsi="Arial"/>
                <w:sz w:val="18"/>
                <w:szCs w:val="18"/>
                <w:color w:val="auto"/>
              </w:rPr>
              <w:t>18,750</w:t>
            </w:r>
            <w:r>
              <w:rPr>
                <w:rFonts w:ascii="Arial" w:cs="Arial" w:eastAsia="Arial" w:hAnsi="Arial"/>
                <w:sz w:val="15"/>
                <w:szCs w:val="15"/>
                <w:color w:val="auto"/>
              </w:rPr>
              <w:t>(13)</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146"/>
              <w:spacing w:after="0"/>
              <w:rPr>
                <w:sz w:val="20"/>
                <w:szCs w:val="20"/>
                <w:color w:val="auto"/>
              </w:rPr>
            </w:pPr>
            <w:r>
              <w:rPr>
                <w:rFonts w:ascii="Arial" w:cs="Arial" w:eastAsia="Arial" w:hAnsi="Arial"/>
                <w:sz w:val="18"/>
                <w:szCs w:val="18"/>
                <w:color w:val="auto"/>
              </w:rPr>
              <w:t>88,000</w:t>
            </w:r>
            <w:r>
              <w:rPr>
                <w:rFonts w:ascii="Arial" w:cs="Arial" w:eastAsia="Arial" w:hAnsi="Arial"/>
                <w:sz w:val="15"/>
                <w:szCs w:val="15"/>
                <w:color w:val="auto"/>
              </w:rPr>
              <w:t>(14)</w:t>
            </w:r>
          </w:p>
        </w:tc>
        <w:tc>
          <w:tcPr>
            <w:tcW w:w="260" w:type="dxa"/>
            <w:vAlign w:val="bottom"/>
          </w:tcPr>
          <w:p>
            <w:pPr>
              <w:spacing w:after="0"/>
              <w:rPr>
                <w:sz w:val="18"/>
                <w:szCs w:val="18"/>
                <w:color w:val="auto"/>
              </w:rPr>
            </w:pPr>
          </w:p>
        </w:tc>
        <w:tc>
          <w:tcPr>
            <w:tcW w:w="18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L. Allen</w:t>
            </w:r>
          </w:p>
        </w:tc>
        <w:tc>
          <w:tcPr>
            <w:tcW w:w="2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127,388</w:t>
            </w:r>
            <w:r>
              <w:rPr>
                <w:rFonts w:ascii="Arial" w:cs="Arial" w:eastAsia="Arial" w:hAnsi="Arial"/>
                <w:sz w:val="15"/>
                <w:szCs w:val="15"/>
                <w:color w:val="auto"/>
              </w:rPr>
              <w:t>(15)</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42,500</w:t>
            </w:r>
          </w:p>
        </w:tc>
        <w:tc>
          <w:tcPr>
            <w:tcW w:w="500" w:type="dxa"/>
            <w:vAlign w:val="bottom"/>
          </w:tcPr>
          <w:p>
            <w:pPr>
              <w:spacing w:after="0"/>
              <w:rPr>
                <w:sz w:val="18"/>
                <w:szCs w:val="18"/>
                <w:color w:val="auto"/>
              </w:rPr>
            </w:pPr>
          </w:p>
        </w:tc>
        <w:tc>
          <w:tcPr>
            <w:tcW w:w="2200" w:type="dxa"/>
            <w:vAlign w:val="bottom"/>
            <w:gridSpan w:val="3"/>
          </w:tcPr>
          <w:p>
            <w:pPr>
              <w:jc w:val="right"/>
              <w:ind w:right="146"/>
              <w:spacing w:after="0"/>
              <w:rPr>
                <w:sz w:val="20"/>
                <w:szCs w:val="20"/>
                <w:color w:val="auto"/>
              </w:rPr>
            </w:pPr>
            <w:r>
              <w:rPr>
                <w:rFonts w:ascii="Arial" w:cs="Arial" w:eastAsia="Arial" w:hAnsi="Arial"/>
                <w:sz w:val="18"/>
                <w:szCs w:val="18"/>
                <w:color w:val="auto"/>
              </w:rPr>
              <w:t>17,500</w:t>
            </w:r>
            <w:r>
              <w:rPr>
                <w:rFonts w:ascii="Arial" w:cs="Arial" w:eastAsia="Arial" w:hAnsi="Arial"/>
                <w:sz w:val="15"/>
                <w:szCs w:val="15"/>
                <w:color w:val="auto"/>
              </w:rPr>
              <w:t>(16)</w:t>
            </w:r>
          </w:p>
        </w:tc>
        <w:tc>
          <w:tcPr>
            <w:tcW w:w="260" w:type="dxa"/>
            <w:vAlign w:val="bottom"/>
          </w:tcPr>
          <w:p>
            <w:pPr>
              <w:spacing w:after="0"/>
              <w:rPr>
                <w:sz w:val="18"/>
                <w:szCs w:val="18"/>
                <w:color w:val="auto"/>
              </w:rPr>
            </w:pPr>
          </w:p>
        </w:tc>
        <w:tc>
          <w:tcPr>
            <w:tcW w:w="18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38.65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50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146"/>
              <w:spacing w:after="0"/>
              <w:rPr>
                <w:sz w:val="20"/>
                <w:szCs w:val="20"/>
                <w:color w:val="auto"/>
              </w:rPr>
            </w:pPr>
            <w:r>
              <w:rPr>
                <w:rFonts w:ascii="Arial" w:cs="Arial" w:eastAsia="Arial" w:hAnsi="Arial"/>
                <w:sz w:val="18"/>
                <w:szCs w:val="18"/>
                <w:color w:val="auto"/>
              </w:rPr>
              <w:t>40,500</w:t>
            </w:r>
            <w:r>
              <w:rPr>
                <w:rFonts w:ascii="Arial" w:cs="Arial" w:eastAsia="Arial" w:hAnsi="Arial"/>
                <w:sz w:val="15"/>
                <w:szCs w:val="15"/>
                <w:color w:val="auto"/>
              </w:rPr>
              <w:t>(17)</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500" w:type="dxa"/>
            <w:vAlign w:val="bottom"/>
          </w:tcPr>
          <w:p>
            <w:pPr>
              <w:spacing w:after="0"/>
              <w:rPr>
                <w:sz w:val="18"/>
                <w:szCs w:val="18"/>
                <w:color w:val="auto"/>
              </w:rPr>
            </w:pPr>
          </w:p>
        </w:tc>
        <w:tc>
          <w:tcPr>
            <w:tcW w:w="2200" w:type="dxa"/>
            <w:vAlign w:val="bottom"/>
            <w:gridSpan w:val="3"/>
          </w:tcPr>
          <w:p>
            <w:pPr>
              <w:jc w:val="right"/>
              <w:ind w:right="146"/>
              <w:spacing w:after="0"/>
              <w:rPr>
                <w:sz w:val="20"/>
                <w:szCs w:val="20"/>
                <w:color w:val="auto"/>
              </w:rPr>
            </w:pPr>
            <w:r>
              <w:rPr>
                <w:rFonts w:ascii="Arial" w:cs="Arial" w:eastAsia="Arial" w:hAnsi="Arial"/>
                <w:sz w:val="18"/>
                <w:szCs w:val="18"/>
                <w:color w:val="auto"/>
              </w:rPr>
              <w:t>18,000</w:t>
            </w:r>
            <w:r>
              <w:rPr>
                <w:rFonts w:ascii="Arial" w:cs="Arial" w:eastAsia="Arial" w:hAnsi="Arial"/>
                <w:sz w:val="15"/>
                <w:szCs w:val="15"/>
                <w:color w:val="auto"/>
              </w:rPr>
              <w:t>(18)</w:t>
            </w:r>
          </w:p>
        </w:tc>
        <w:tc>
          <w:tcPr>
            <w:tcW w:w="260" w:type="dxa"/>
            <w:vAlign w:val="bottom"/>
          </w:tcPr>
          <w:p>
            <w:pPr>
              <w:spacing w:after="0"/>
              <w:rPr>
                <w:sz w:val="18"/>
                <w:szCs w:val="18"/>
                <w:color w:val="auto"/>
              </w:rPr>
            </w:pPr>
          </w:p>
        </w:tc>
        <w:tc>
          <w:tcPr>
            <w:tcW w:w="18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CCEEFF"/>
          </w:tcPr>
          <w:p>
            <w:pPr>
              <w:jc w:val="right"/>
              <w:ind w:right="146"/>
              <w:spacing w:after="0"/>
              <w:rPr>
                <w:sz w:val="20"/>
                <w:szCs w:val="20"/>
                <w:color w:val="auto"/>
              </w:rPr>
            </w:pPr>
            <w:r>
              <w:rPr>
                <w:rFonts w:ascii="Arial" w:cs="Arial" w:eastAsia="Arial" w:hAnsi="Arial"/>
                <w:sz w:val="18"/>
                <w:szCs w:val="18"/>
                <w:color w:val="auto"/>
              </w:rPr>
              <w:t>88,000</w:t>
            </w:r>
            <w:r>
              <w:rPr>
                <w:rFonts w:ascii="Arial" w:cs="Arial" w:eastAsia="Arial" w:hAnsi="Arial"/>
                <w:sz w:val="15"/>
                <w:szCs w:val="15"/>
                <w:color w:val="auto"/>
              </w:rPr>
              <w:t>(19)</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400" w:hanging="436"/>
        <w:spacing w:after="0" w:line="25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 on October 9, 2018 and the remaining shares will vest in 36 equal monthly installments through October 9, 2021.</w:t>
      </w:r>
    </w:p>
    <w:p>
      <w:pPr>
        <w:spacing w:after="0" w:line="1" w:lineRule="exact"/>
        <w:rPr>
          <w:rFonts w:ascii="Arial" w:cs="Arial" w:eastAsia="Arial" w:hAnsi="Arial"/>
          <w:sz w:val="18"/>
          <w:szCs w:val="18"/>
          <w:color w:val="auto"/>
        </w:rPr>
      </w:pPr>
    </w:p>
    <w:p>
      <w:pPr>
        <w:ind w:left="640" w:right="420" w:hanging="436"/>
        <w:spacing w:after="0" w:line="261"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Mr. Hatfield’s option agreement option awards vest and become exercisable based on the Company’s common stock price during the two years after the first anniversary of the date of grant as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56" w:lineRule="auto"/>
        <w:rPr>
          <w:sz w:val="20"/>
          <w:szCs w:val="20"/>
          <w:color w:val="auto"/>
        </w:rPr>
      </w:pPr>
      <w:r>
        <w:rPr>
          <w:rFonts w:ascii="Arial" w:cs="Arial" w:eastAsia="Arial" w:hAnsi="Arial"/>
          <w:sz w:val="18"/>
          <w:szCs w:val="18"/>
          <w:color w:val="auto"/>
        </w:rPr>
        <w:t>follows: 25% of shares subject to the option vest after the stock price is equal to or greater than $10.00 per share for 20 consecutive trading days; and an additional 6.25% of the shares subject to the option vest for every additional $2.50 in stock price above $10.00 per share for 20 consecutive trading days. Options become exercisable upon completion of the three-year performance period.</w:t>
      </w:r>
    </w:p>
    <w:p>
      <w:pPr>
        <w:ind w:left="640" w:right="46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Hughes’ option agreement, 25% of the shares vested on December 19, 2013 and the remaining shares vested in equal installments and became fully vested on December 19, 2016.</w:t>
      </w:r>
    </w:p>
    <w:p>
      <w:pPr>
        <w:ind w:left="640" w:right="34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Hughes’ option agreement, 25% of the shares vested on March 17, 2016 and the remaining shares will vest in 36 equal monthly installments through March 17, 2019.</w:t>
      </w:r>
    </w:p>
    <w:p>
      <w:pPr>
        <w:ind w:left="640" w:right="34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Hughes’ option agreement, 25% of the shares vested on March 31, 2017 and the remaining shares will vest in 36 equal monthly installments through March 31, 2020.</w:t>
      </w:r>
    </w:p>
    <w:p>
      <w:pPr>
        <w:ind w:left="640" w:right="38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Hughes’ option agreement, 25% of the shares vested on March 31, 2017, 25% vested on September 30, 2017 and 50% vested on March 31, 2018.</w:t>
      </w:r>
    </w:p>
    <w:p>
      <w:pPr>
        <w:ind w:left="640" w:right="26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Hughes’ option agreement, 25% of the shares vested on January 27, 2018 and the remaining shares will vest in 36 equal monthly installments through January 27, 2021.</w:t>
      </w:r>
    </w:p>
    <w:p>
      <w:pPr>
        <w:ind w:left="64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Hughes’ option agreement, option awards vest and become exercisable based on the Company’s common stock price during the two years after the first anniversary of the date of grant as follows: 25% of shares subject to the option vest after the stock price is equal to or greater than $10.00 per share for 20 consecutive trading days; and an additional 6.25% of the shares subject to the option vest for every additional $2.50 in stock price above $10.00 per share for 20 consecutive trading days. Options become exercisable upon completion of the three-year performance period.</w:t>
      </w:r>
    </w:p>
    <w:p>
      <w:pPr>
        <w:spacing w:after="0" w:line="2" w:lineRule="exact"/>
        <w:rPr>
          <w:rFonts w:ascii="Arial" w:cs="Arial" w:eastAsia="Arial" w:hAnsi="Arial"/>
          <w:sz w:val="18"/>
          <w:szCs w:val="18"/>
          <w:color w:val="auto"/>
        </w:rPr>
      </w:pPr>
    </w:p>
    <w:p>
      <w:pPr>
        <w:ind w:left="640" w:right="68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September 5, 2012 and the remaining shares vested in equal installments and became fully vested on September 5, 2015.</w:t>
      </w:r>
    </w:p>
    <w:p>
      <w:pPr>
        <w:ind w:left="640" w:right="62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December 19, 2013 and the remaining shares vested in equal installments and became fully vested on December 19, 2016.</w:t>
      </w:r>
    </w:p>
    <w:p>
      <w:pPr>
        <w:ind w:left="640" w:right="34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February 27, 2016 and the remaining shares will vest in 36 equal monthly installments through February 27, 2019.</w:t>
      </w:r>
    </w:p>
    <w:p>
      <w:pPr>
        <w:ind w:left="640" w:right="52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March 31, 2017 and the remaining shares will vest in 36 equal monthly installments through March 31, 2020.</w:t>
      </w:r>
    </w:p>
    <w:p>
      <w:pPr>
        <w:ind w:left="640" w:right="4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March 31, 2017, 25% vested on September 30, 2017 and 50% vested on March 31, 2018.</w:t>
      </w:r>
    </w:p>
    <w:p>
      <w:pPr>
        <w:ind w:left="640" w:right="42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January 27, 2018 and the remaining shares will vest in 36 equal monthly installments through January 27, 2021.</w:t>
      </w:r>
    </w:p>
    <w:p>
      <w:pPr>
        <w:ind w:left="640" w:right="78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Ms. Allen’s option agreement, 25% of the shares vested on January 2, 2014 and the remaining shares vested in equal installments and became fully vested on January 2, 2017.</w:t>
      </w:r>
    </w:p>
    <w:p>
      <w:pPr>
        <w:ind w:left="640" w:right="22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Ms. Allen’s option agreement, 25% of the shares vested on February 27, 2016 and the remaining shares will vest in 36 equal monthly installments through February 27, 2019.</w:t>
      </w:r>
    </w:p>
    <w:p>
      <w:pPr>
        <w:ind w:left="640" w:right="40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Ms. Allen’s option agreement, 25% of the shares vested on March 31, 2017 and the remaining shares will vest in 36 equal monthly installments through March 31, 2020.</w:t>
      </w:r>
    </w:p>
    <w:p>
      <w:pPr>
        <w:ind w:left="640" w:right="42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Ms. Allen’s option agreement, 25% of the shares vested on March 31, 2017, 25% vested on September 30, 2017 and 50% vested on March 31, 2018.</w:t>
      </w:r>
    </w:p>
    <w:p>
      <w:pPr>
        <w:ind w:left="640" w:right="300" w:hanging="436"/>
        <w:spacing w:after="0" w:line="26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Ms. Allen’s option agreement, 25% of the shares vested on January 27, 2018 and the remaining shares will vest in 36 equal monthly installments through January 27, 2021.</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the Company.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policy governing transactions in our securities by directors, officers and employees permits our officers, directors and certain other persons to enter into trading plans complying with Rule 10b5-1 under the Exchange Act.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 All sales made by our executive officers were made pursuant to trading plans complying with Rule 10b5-1 under the Exchange Act.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8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The Compensation Committee reviewed and discussed the disclosure included in the Executive Compensation section of this Proxy Statement with management. Based on the review and discussions, the Compensation Committee recommended to the Board of Directors that the disclosure included in the Executive Compensation section be included in this Proxy Statement for the year ended December 31, 2017, for filing with the SEC.</w:t>
      </w:r>
    </w:p>
    <w:p>
      <w:pPr>
        <w:spacing w:after="0" w:line="25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O. Daniel, M.D.,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L. LaMattina,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Cameron Geoffrey McDonough, M.D.</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following table sets forth a summary of the compensation we paid to our nonemployee directors during 2017. Mr. Hatfield, our Chief Executive Officer, and Dr. Hughes, our President and Chief Scientific Officer, receive no compensation for their service as directors, and, consequently, are not included in this table. The compensation received by Mr. Hatfield and Dr. Hughes as employees during 2017 are presented in the “Summary Compensation Table—2017 and 2016 Fiscal Years.”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Fees earned or</w:t>
            </w:r>
          </w:p>
        </w:tc>
        <w:tc>
          <w:tcPr>
            <w:tcW w:w="460" w:type="dxa"/>
            <w:vAlign w:val="bottom"/>
          </w:tcPr>
          <w:p>
            <w:pPr>
              <w:spacing w:after="0"/>
              <w:rPr>
                <w:sz w:val="14"/>
                <w:szCs w:val="14"/>
                <w:color w:val="auto"/>
              </w:rPr>
            </w:pPr>
          </w:p>
        </w:tc>
        <w:tc>
          <w:tcPr>
            <w:tcW w:w="9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Option</w:t>
            </w:r>
          </w:p>
        </w:tc>
        <w:tc>
          <w:tcPr>
            <w:tcW w:w="46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Restricted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7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stock awards</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1"/>
        </w:trPr>
        <w:tc>
          <w:tcPr>
            <w:tcW w:w="4520" w:type="dxa"/>
            <w:vAlign w:val="bottom"/>
            <w:gridSpan w:val="3"/>
            <w:vMerge w:val="continue"/>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126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4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4"/>
              </w:rPr>
              <w:t>Peter</w:t>
            </w:r>
          </w:p>
        </w:tc>
        <w:tc>
          <w:tcPr>
            <w:tcW w:w="416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Barrett, Ph.D.</w:t>
            </w:r>
          </w:p>
        </w:tc>
        <w:tc>
          <w:tcPr>
            <w:tcW w:w="17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116,408</w:t>
            </w:r>
          </w:p>
        </w:tc>
        <w:tc>
          <w:tcPr>
            <w:tcW w:w="4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116,408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Bruce Booth, Ph.D.</w:t>
            </w:r>
          </w:p>
        </w:tc>
        <w:tc>
          <w:tcPr>
            <w:tcW w:w="174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78,916</w:t>
            </w:r>
          </w:p>
        </w:tc>
        <w:tc>
          <w:tcPr>
            <w:tcW w:w="46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O. Daniel, M.D.</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Frances K. Heller</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43,925</w:t>
            </w:r>
          </w:p>
        </w:tc>
        <w:tc>
          <w:tcPr>
            <w:tcW w:w="46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LaMattina, Ph.D.</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Cameron Geoffrey McDonough, M.D.</w:t>
            </w:r>
          </w:p>
        </w:tc>
        <w:tc>
          <w:tcPr>
            <w:tcW w:w="174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83,916</w:t>
            </w:r>
          </w:p>
        </w:tc>
        <w:tc>
          <w:tcPr>
            <w:tcW w:w="46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Perez</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82,665</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43,925</w:t>
            </w:r>
          </w:p>
        </w:tc>
        <w:tc>
          <w:tcPr>
            <w:tcW w:w="46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40" w:hanging="436"/>
        <w:spacing w:after="0" w:line="285"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our directors in 2017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 of Operations,” included in our Annual Report on Form 10-K for the year ended December 31, 2017. The amounts above reflect our aggregate accounting expense for these awards and do not necessarily correspond to the actual value that will be recognized by the directors.</w:t>
      </w:r>
    </w:p>
    <w:p>
      <w:pPr>
        <w:spacing w:after="0" w:line="2" w:lineRule="exact"/>
        <w:rPr>
          <w:rFonts w:ascii="Arial" w:cs="Arial" w:eastAsia="Arial" w:hAnsi="Arial"/>
          <w:sz w:val="16"/>
          <w:szCs w:val="16"/>
          <w:color w:val="auto"/>
        </w:rPr>
      </w:pPr>
    </w:p>
    <w:p>
      <w:pPr>
        <w:ind w:left="640" w:right="100" w:hanging="436"/>
        <w:spacing w:after="0" w:line="265"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nonemployee director was granted an annual stock option grant in accordance with the non-employee director compensation policy for 14,500 shares on June 21, 2017, which vests upon the earlier of the first anniversary of the date of grant or the date of the 2018 annual meeting of stockholders. Dr. Barrett was granted an option for 24,864 shares of common stock in lieu of $72,500 in fees, Dr. Booth was granted an option for 12,003 shares of common stock in lieu of $35,000 in fees, Dr. McDonough was granted an option for 13,718 shares of common stock in lieu of $40,000 in fees and Mr. Perez was granted an option for 13,289 shares of common stock in lieu of $38,750 in fees. Each such option was granted on February 13, 2017, and vested on a quarterly basis over 2017.</w:t>
      </w:r>
    </w:p>
    <w:p>
      <w:pPr>
        <w:spacing w:after="0" w:line="1" w:lineRule="exact"/>
        <w:rPr>
          <w:rFonts w:ascii="Arial" w:cs="Arial" w:eastAsia="Arial" w:hAnsi="Arial"/>
          <w:sz w:val="17"/>
          <w:szCs w:val="17"/>
          <w:color w:val="auto"/>
        </w:rPr>
      </w:pPr>
    </w:p>
    <w:p>
      <w:pPr>
        <w:ind w:left="640" w:right="80"/>
        <w:spacing w:after="0" w:line="281" w:lineRule="auto"/>
        <w:rPr>
          <w:rFonts w:ascii="Arial" w:cs="Arial" w:eastAsia="Arial" w:hAnsi="Arial"/>
          <w:sz w:val="17"/>
          <w:szCs w:val="17"/>
          <w:color w:val="auto"/>
        </w:rPr>
      </w:pPr>
      <w:r>
        <w:rPr>
          <w:rFonts w:ascii="Arial" w:cs="Arial" w:eastAsia="Arial" w:hAnsi="Arial"/>
          <w:sz w:val="16"/>
          <w:szCs w:val="16"/>
          <w:color w:val="auto"/>
        </w:rPr>
        <w:t>As of December 31, 2017, the aggregate number of outstanding vested and unvested stock option awards held by each nonemployee director was: Dr. Barrett, 63,364 shares; Dr. Booth, 50,503 shares; Dr. Daniel, 54,341 shares; Ms. Heller, 51,827 shares; Dr. LaMattina, 57,204 shares;</w:t>
      </w:r>
    </w:p>
    <w:p>
      <w:pPr>
        <w:spacing w:after="0" w:line="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Dr. McDonough, 71,525 shares; Mr. Perez, 63,789 shares; and Mr. Thomas, 51,827 shares.</w:t>
      </w:r>
    </w:p>
    <w:p>
      <w:pPr>
        <w:spacing w:after="0" w:line="9" w:lineRule="exact"/>
        <w:rPr>
          <w:rFonts w:ascii="Arial" w:cs="Arial" w:eastAsia="Arial" w:hAnsi="Arial"/>
          <w:sz w:val="17"/>
          <w:szCs w:val="17"/>
          <w:color w:val="auto"/>
        </w:rPr>
      </w:pPr>
    </w:p>
    <w:p>
      <w:pPr>
        <w:ind w:left="640" w:right="520" w:hanging="436"/>
        <w:spacing w:after="0" w:line="25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Daniel and Dr. LaMattina were granted restricted stock awards for: 10,765 shares in lieu of $45,000 in fees for serving on the Board of Directors and committees thereof and 11,363 shares in lieu of $47,500 in fees for serving on the Board of Directors and committees thereof, respectively, on February 13, 2017, each of which vested on a quarterly basis over 2017.</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Our Board of Directors has adopted a nonemployee director compensation policy that is designed to provide a total compensation package that enables us to attract and retain, on a long-term basis, high caliber nonemployee directors. Under the policy, all nonemployee directors will be paid compensation as set forth below:</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920" w:type="dxa"/>
            <w:vAlign w:val="bottom"/>
            <w:gridSpan w:val="4"/>
          </w:tcPr>
          <w:p>
            <w:pPr>
              <w:ind w:left="1840"/>
              <w:spacing w:after="0"/>
              <w:rPr>
                <w:sz w:val="20"/>
                <w:szCs w:val="20"/>
                <w:color w:val="auto"/>
              </w:rPr>
            </w:pPr>
            <w:r>
              <w:rPr>
                <w:rFonts w:ascii="Arial" w:cs="Arial" w:eastAsia="Arial" w:hAnsi="Arial"/>
                <w:sz w:val="14"/>
                <w:szCs w:val="14"/>
                <w:b w:val="1"/>
                <w:bCs w:val="1"/>
                <w:color w:val="auto"/>
                <w:w w:val="98"/>
              </w:rPr>
              <w:t>Annual Retainer</w:t>
            </w:r>
          </w:p>
        </w:tc>
      </w:tr>
      <w:tr>
        <w:trPr>
          <w:trHeight w:val="196"/>
        </w:trPr>
        <w:tc>
          <w:tcPr>
            <w:tcW w:w="20" w:type="dxa"/>
            <w:vAlign w:val="bottom"/>
          </w:tcPr>
          <w:p>
            <w:pPr>
              <w:spacing w:after="0"/>
              <w:rPr>
                <w:sz w:val="17"/>
                <w:szCs w:val="17"/>
                <w:color w:val="auto"/>
              </w:rPr>
            </w:pPr>
          </w:p>
        </w:tc>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 of Directors:</w:t>
            </w:r>
          </w:p>
        </w:tc>
        <w:tc>
          <w:tcPr>
            <w:tcW w:w="1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All nonemployee members (including Chairman of the Board of Directors)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Non-Chairman members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Chairman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Non-Chairman members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3,750</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nonemployee director compensation policy, each person who is initially appointed or elected to the Board of Directors will be eligible for an option grant to purchase up to 29,000 shares of our common stock under the 2014 Stock Option and Incentive Plan on the date he or she first becomes a nonemployee director, which will vest monthly over a three-year period. In addition, on the date of the annual meeting of stockholders, each continuing nonemployee director who has served on the Board of Directors for a minimum of six months will be eligible to receive an annual option grant to purchase up to 14,500 shares of our common stock, which will vest in full upon the earlier of the first anniversary of the date of grant or the date of the following annual meeting of stockholders. All of the foregoing options will be granted at fair market value on the date of grant. All of the foregoing option grants will become immediately exercisable upon the death or disability of the applicable director, or upon a change in control of the company.</w:t>
      </w:r>
    </w:p>
    <w:p>
      <w:pPr>
        <w:spacing w:after="0" w:line="19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Each nonemployee director shall have the right to elect to receive all or a portion of his or her annual director compensation under the nonemployee director compensation policy in the form of either cash, restricted common stock based on the closing price of the stock on the date of grant, or stock options to purchase our common stock based on the Black-Scholes option-pricing model as of the date of grant. Any such election will be made before the start of our fiscal year and with any such stock options or restricted common stock elected by the directors to vest over a period of one year on a quarterly basis in arrears, with stock options to expire ten years from the date of grant.</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the Notice of Internet Availability of Proxy Materials, Proxy Statement and Annual Report on Form 10-K for the year ended December 31, 2017, is being delivered to stockholders sharing an address unless we have received contrary instructions. We will promptly deliver a separate copy of any of these documents to you if you write to us at 175 Portland Street, 4th Floor, Boston, MA 02114, Attention: Secretary or call us at (617) 622-4003. If you want to receive separate copies of the Notice of Internet Availability of Proxy Materials, Proxy Statement, or Annual Report on Form 10-K for the year ended December 31, 2017,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ZAFGEN, INC.</w:t>
      </w:r>
    </w:p>
    <w:p>
      <w:pPr>
        <w:ind w:left="300"/>
        <w:spacing w:after="0"/>
        <w:rPr>
          <w:sz w:val="20"/>
          <w:szCs w:val="20"/>
          <w:color w:val="auto"/>
        </w:rPr>
      </w:pPr>
      <w:r>
        <w:rPr>
          <w:rFonts w:ascii="Arial" w:cs="Arial" w:eastAsia="Arial" w:hAnsi="Arial"/>
          <w:sz w:val="13"/>
          <w:szCs w:val="13"/>
          <w:b w:val="1"/>
          <w:bCs w:val="1"/>
          <w:i w:val="1"/>
          <w:iCs w:val="1"/>
          <w:color w:val="auto"/>
        </w:rPr>
        <w:t>175 PORTLAND STREET, 4TH FLOOR</w:t>
      </w:r>
    </w:p>
    <w:p>
      <w:pPr>
        <w:ind w:left="300"/>
        <w:spacing w:after="0"/>
        <w:rPr>
          <w:sz w:val="20"/>
          <w:szCs w:val="20"/>
          <w:color w:val="auto"/>
        </w:rPr>
      </w:pPr>
      <w:r>
        <w:rPr>
          <w:rFonts w:ascii="Arial" w:cs="Arial" w:eastAsia="Arial" w:hAnsi="Arial"/>
          <w:sz w:val="14"/>
          <w:szCs w:val="14"/>
          <w:b w:val="1"/>
          <w:bCs w:val="1"/>
          <w:i w:val="1"/>
          <w:iCs w:val="1"/>
          <w:color w:val="auto"/>
        </w:rPr>
        <w:t>BOSTON, MA 02114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-627380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40" w:lineRule="exact"/>
        <w:rPr>
          <w:sz w:val="20"/>
          <w:szCs w:val="20"/>
          <w:color w:val="auto"/>
        </w:rPr>
      </w:pPr>
    </w:p>
    <w:p>
      <w:pPr>
        <w:jc w:val="both"/>
        <w:ind w:right="40"/>
        <w:spacing w:after="0" w:line="23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40"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2">
            <w:col w:w="5160" w:space="720"/>
            <w:col w:w="544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606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60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6, 2018, 8:30 AM</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left="480" w:right="460"/>
        <w:spacing w:after="0" w:line="302" w:lineRule="auto"/>
        <w:rPr>
          <w:sz w:val="20"/>
          <w:szCs w:val="20"/>
          <w:color w:val="auto"/>
        </w:rPr>
      </w:pPr>
      <w:r>
        <w:rPr>
          <w:rFonts w:ascii="Arial" w:cs="Arial" w:eastAsia="Arial" w:hAnsi="Arial"/>
          <w:sz w:val="16"/>
          <w:szCs w:val="16"/>
          <w:color w:val="auto"/>
        </w:rPr>
        <w:t>The stockholder(s) hereby appoint(s) Jeffrey S. Hatfield and Patricia L. Allen, or either of them, as proxies, each with the power to appoint his substitute, and hereby authorizes them to represent and to vote, as designated on the reverse side of this proxy, all of the shares of common stock of ZAFGEN, INC. that the stockholder(s) is entitled to vote at the Annual Meeting of Stockholders to be held at 8:30 AM, ET on June 6, 2018, at the offices of Goodwin Procter at 100 Northern Avenue, Boston, Massachusetts 02210, and any adjournments or postponements thereof.</w:t>
      </w:r>
    </w:p>
    <w:p>
      <w:pPr>
        <w:spacing w:after="0" w:line="150" w:lineRule="exact"/>
        <w:rPr>
          <w:sz w:val="20"/>
          <w:szCs w:val="20"/>
          <w:color w:val="auto"/>
        </w:rPr>
      </w:pPr>
    </w:p>
    <w:p>
      <w:pPr>
        <w:ind w:left="480" w:right="4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lvl w:ilvl="1">
      <w:lvlJc w:val="left"/>
      <w:lvlText w:val="(%2)"/>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3"/>
    </w:lvl>
  </w:abstractNum>
  <w:abstractNum w:abstractNumId="11">
    <w:nsid w:val="431BD7B7"/>
    <w:multiLevelType w:val="hybridMultilevel"/>
    <w:lvl w:ilvl="0">
      <w:lvlJc w:val="left"/>
      <w:lvlText w:val="(%1)"/>
      <w:numFmt w:val="decimal"/>
      <w:start w:val="15"/>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3"/>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2019-12-07T06:03:17Z</dcterms:created>
  <dcterms:modified xsi:type="dcterms:W3CDTF">2019-12-07T06:03:17Z</dcterms:modified>
</cp:coreProperties>
</file>