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333-268312</w:t>
      </w:r>
    </w:p>
    <w:p>
      <w:pPr>
        <w:spacing w:after="0" w:line="135" w:lineRule="exact"/>
        <w:rPr>
          <w:sz w:val="24"/>
          <w:szCs w:val="24"/>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spacing w:after="0" w:line="22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FF4338"/>
        </w:rPr>
        <w:t>SUBJECT TO COMPLETION, DATED FEBRUARY 13, 2024</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67310</wp:posOffset>
            </wp:positionV>
            <wp:extent cx="261429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         Shares of Common Stock</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Pre-Funded Warrants to Purchase up to 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p>
      <w:pPr>
        <w:ind w:left="120" w:right="380"/>
        <w:spacing w:after="0" w:line="267" w:lineRule="auto"/>
        <w:rPr>
          <w:sz w:val="20"/>
          <w:szCs w:val="20"/>
          <w:color w:val="auto"/>
        </w:rPr>
      </w:pPr>
      <w:r>
        <w:rPr>
          <w:rFonts w:ascii="Times New Roman" w:cs="Times New Roman" w:eastAsia="Times New Roman" w:hAnsi="Times New Roman"/>
          <w:sz w:val="16"/>
          <w:szCs w:val="16"/>
          <w:color w:val="auto"/>
        </w:rPr>
        <w:t>We are offering         shares of our common stock and, in lieu of offering shares of our common stock to certain investors, pre-funded warrants, or Pre-Funded Warrants, to purchase up to an aggregate of  shares of our common stock. A holder of Pre-Funded Warrants will not have the right to exercise any portion of its Pre-Funded Warrants if the holder, together with its affiliates and certain related parties, would beneficially own in excess of 4.99% (or, at the election of the holder,</w:t>
      </w:r>
    </w:p>
    <w:p>
      <w:pPr>
        <w:spacing w:after="0" w:line="1" w:lineRule="exact"/>
        <w:rPr>
          <w:sz w:val="24"/>
          <w:szCs w:val="24"/>
          <w:color w:val="auto"/>
        </w:rPr>
      </w:pPr>
    </w:p>
    <w:p>
      <w:pPr>
        <w:ind w:left="120" w:right="40"/>
        <w:spacing w:after="0" w:line="270" w:lineRule="auto"/>
        <w:rPr>
          <w:sz w:val="20"/>
          <w:szCs w:val="20"/>
          <w:color w:val="auto"/>
        </w:rPr>
      </w:pPr>
      <w:r>
        <w:rPr>
          <w:rFonts w:ascii="Times New Roman" w:cs="Times New Roman" w:eastAsia="Times New Roman" w:hAnsi="Times New Roman"/>
          <w:sz w:val="16"/>
          <w:szCs w:val="16"/>
          <w:color w:val="auto"/>
        </w:rPr>
        <w:t>9.99%) of the number of shares of our common stock outstanding immediately after giving effect to such exercise. Each Pre-Funded Warrant is exercisable for one share of our common stock. The purchase price of each Pre-Funded Warrant is equal to the price at which a share of our common stock is sold to the public in this offering, minus $0.01, which is the exercise price of each Pre-Funded Warrant. The Pre-Funded Warrants are immediately exercisable and may be exercised at any time until all of the Pre-Funded Warrants are exercised in full. This prospectus supplement also relates to the offering by us of our common stock issuable upon exercise of such Pre-Funded Warrants.</w:t>
      </w:r>
    </w:p>
    <w:p>
      <w:pPr>
        <w:spacing w:after="0" w:line="37" w:lineRule="exact"/>
        <w:rPr>
          <w:sz w:val="24"/>
          <w:szCs w:val="24"/>
          <w:color w:val="auto"/>
        </w:rPr>
      </w:pPr>
    </w:p>
    <w:p>
      <w:pPr>
        <w:ind w:left="120" w:right="20"/>
        <w:spacing w:after="0" w:line="281" w:lineRule="auto"/>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and we do not expect a market to develop. We do not intend to apply for listing of the Pre-Funded Warrants on The Nasdaq Global Market or any securities exchange or nationally recognized trading system. Without an active trading market, the liquidity of the Pre-Funded Warrants will be limited.</w:t>
      </w:r>
    </w:p>
    <w:p>
      <w:pPr>
        <w:spacing w:after="0" w:line="42" w:lineRule="exact"/>
        <w:rPr>
          <w:sz w:val="24"/>
          <w:szCs w:val="24"/>
          <w:color w:val="auto"/>
        </w:rPr>
      </w:pPr>
    </w:p>
    <w:p>
      <w:pPr>
        <w:ind w:left="120" w:right="60"/>
        <w:spacing w:after="0" w:line="272" w:lineRule="auto"/>
        <w:rPr>
          <w:sz w:val="20"/>
          <w:szCs w:val="20"/>
          <w:color w:val="auto"/>
        </w:rPr>
      </w:pPr>
      <w:r>
        <w:rPr>
          <w:rFonts w:ascii="Times New Roman" w:cs="Times New Roman" w:eastAsia="Times New Roman" w:hAnsi="Times New Roman"/>
          <w:sz w:val="16"/>
          <w:szCs w:val="16"/>
          <w:color w:val="auto"/>
        </w:rPr>
        <w:t>Deerfield Management Company, L.P., which we refer to as Deerfield Management, our largest stockholder, and/or certain of its affiliates, which we refer to collectively with Deerfield Management as the Deerfield Funds, have indicated an interest in purchasing shares of our common stock in this offering. The amount of such investment could be a significant portion of the securities sold in this offering. However, because indications of interest are not binding agreements or commitments to purchase, such Deerfield Funds may decide not to purchase any shares of our common stock in this offering or they could purchase fewer shares of our common stock than indicated. In addition, the underwriters could determine to sell fewer or not to sell any shares of our common stock to such Deerfield Funds.</w:t>
      </w:r>
    </w:p>
    <w:p>
      <w:pPr>
        <w:spacing w:after="0" w:line="37" w:lineRule="exact"/>
        <w:rPr>
          <w:sz w:val="24"/>
          <w:szCs w:val="24"/>
          <w:color w:val="auto"/>
        </w:rPr>
      </w:pPr>
    </w:p>
    <w:p>
      <w:pPr>
        <w:ind w:left="12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“LRMR.” On February 12, 2024, the last reported sale price of our common stock was $7.83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ind w:left="120" w:right="60"/>
        <w:spacing w:after="0" w:line="301"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S-8 of this prospectus supplement, as well as in the documents incorporated or deemed to be incorporated by reference into this prospectus supplement and the accompanying prospectus.</w:t>
      </w:r>
    </w:p>
    <w:p>
      <w:pPr>
        <w:spacing w:after="0" w:line="11" w:lineRule="exact"/>
        <w:rPr>
          <w:sz w:val="24"/>
          <w:szCs w:val="24"/>
          <w:color w:val="auto"/>
        </w:rPr>
      </w:pPr>
    </w:p>
    <w:p>
      <w:pPr>
        <w:ind w:left="120" w:right="36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9" w:lineRule="exact"/>
        <w:rPr>
          <w:sz w:val="24"/>
          <w:szCs w:val="24"/>
          <w:color w:val="auto"/>
        </w:rPr>
      </w:pPr>
    </w:p>
    <w:tbl>
      <w:tblPr>
        <w:tblLayout w:type="fixed"/>
        <w:tblInd w:w="100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Per Pre-</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46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Funded</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46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4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Warrant</w:t>
            </w:r>
          </w:p>
        </w:tc>
        <w:tc>
          <w:tcPr>
            <w:tcW w:w="400" w:type="dxa"/>
            <w:vAlign w:val="bottom"/>
          </w:tcPr>
          <w:p>
            <w:pPr>
              <w:spacing w:after="0"/>
              <w:rPr>
                <w:sz w:val="13"/>
                <w:szCs w:val="13"/>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8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248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us, before expenses</w:t>
            </w:r>
          </w:p>
        </w:tc>
        <w:tc>
          <w:tcPr>
            <w:tcW w:w="248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r>
    </w:tbl>
    <w:p>
      <w:pPr>
        <w:spacing w:after="0" w:line="6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beginning on page S-28 of this prospectus supplement for additional information regarding underwriting compensation.</w:t>
      </w:r>
    </w:p>
    <w:p>
      <w:pPr>
        <w:spacing w:after="0" w:line="86" w:lineRule="exact"/>
        <w:rPr>
          <w:sz w:val="24"/>
          <w:szCs w:val="24"/>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We have granted the underwriters an option for a period of up to 30 days from the date of this prospectus supplement to purchase up to an additional         shares of our common stock at the public offering price, less the underwriting discounts and commissions.</w:t>
      </w:r>
    </w:p>
    <w:p>
      <w:pPr>
        <w:spacing w:after="0" w:line="29" w:lineRule="exact"/>
        <w:rPr>
          <w:sz w:val="24"/>
          <w:szCs w:val="24"/>
          <w:color w:val="auto"/>
        </w:rPr>
      </w:pPr>
    </w:p>
    <w:tbl>
      <w:tblPr>
        <w:tblLayout w:type="fixed"/>
        <w:tblInd w:w="120" w:type="dxa"/>
        <w:tblCellMar>
          <w:top w:w="0" w:type="dxa"/>
          <w:left w:w="0" w:type="dxa"/>
          <w:bottom w:w="0" w:type="dxa"/>
          <w:right w:w="0" w:type="dxa"/>
        </w:tblCellMar>
      </w:tblP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Delivery of the securities is expected to be made on or about     </w:t>
            </w:r>
          </w:p>
        </w:tc>
        <w:tc>
          <w:tcPr>
            <w:tcW w:w="2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 2024.</w:t>
            </w:r>
          </w:p>
        </w:tc>
        <w:tc>
          <w:tcPr>
            <w:tcW w:w="4360" w:type="dxa"/>
            <w:vAlign w:val="bottom"/>
          </w:tcPr>
          <w:p>
            <w:pPr>
              <w:spacing w:after="0"/>
              <w:rPr>
                <w:sz w:val="18"/>
                <w:szCs w:val="18"/>
                <w:color w:val="auto"/>
              </w:rPr>
            </w:pPr>
          </w:p>
        </w:tc>
      </w:tr>
      <w:tr>
        <w:trPr>
          <w:trHeight w:val="195"/>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4360" w:type="dxa"/>
            <w:vAlign w:val="bottom"/>
          </w:tcPr>
          <w:p>
            <w:pPr>
              <w:spacing w:after="0"/>
              <w:rPr>
                <w:sz w:val="16"/>
                <w:szCs w:val="16"/>
                <w:color w:val="auto"/>
              </w:rPr>
            </w:pPr>
          </w:p>
        </w:tc>
      </w:tr>
      <w:tr>
        <w:trPr>
          <w:trHeight w:val="277"/>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Joint Bookrunning Managers</w:t>
            </w:r>
          </w:p>
        </w:tc>
        <w:tc>
          <w:tcPr>
            <w:tcW w:w="4360" w:type="dxa"/>
            <w:vAlign w:val="bottom"/>
          </w:tcPr>
          <w:p>
            <w:pPr>
              <w:spacing w:after="0"/>
              <w:rPr>
                <w:sz w:val="24"/>
                <w:szCs w:val="24"/>
                <w:color w:val="auto"/>
              </w:rPr>
            </w:pPr>
          </w:p>
        </w:tc>
      </w:tr>
      <w:tr>
        <w:trPr>
          <w:trHeight w:val="3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Leerink Partners</w:t>
            </w:r>
          </w:p>
        </w:tc>
        <w:tc>
          <w:tcPr>
            <w:tcW w:w="120" w:type="dxa"/>
            <w:vAlign w:val="bottom"/>
          </w:tcPr>
          <w:p>
            <w:pPr>
              <w:spacing w:after="0"/>
              <w:rPr>
                <w:sz w:val="24"/>
                <w:szCs w:val="24"/>
                <w:color w:val="auto"/>
              </w:rPr>
            </w:pPr>
          </w:p>
        </w:tc>
        <w:tc>
          <w:tcPr>
            <w:tcW w:w="23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436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w w:val="99"/>
              </w:rPr>
              <w:t>Guggenheim Securities</w:t>
            </w:r>
          </w:p>
        </w:tc>
      </w:tr>
      <w:tr>
        <w:trPr>
          <w:trHeight w:val="432"/>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Lead Manager</w:t>
            </w:r>
          </w:p>
        </w:tc>
        <w:tc>
          <w:tcPr>
            <w:tcW w:w="4360" w:type="dxa"/>
            <w:vAlign w:val="bottom"/>
          </w:tcPr>
          <w:p>
            <w:pPr>
              <w:spacing w:after="0"/>
              <w:rPr>
                <w:sz w:val="24"/>
                <w:szCs w:val="24"/>
                <w:color w:val="auto"/>
              </w:rPr>
            </w:pPr>
          </w:p>
        </w:tc>
      </w:tr>
      <w:tr>
        <w:trPr>
          <w:trHeight w:val="256"/>
        </w:trPr>
        <w:tc>
          <w:tcPr>
            <w:tcW w:w="4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LifeSci Capital</w:t>
            </w:r>
          </w:p>
        </w:tc>
        <w:tc>
          <w:tcPr>
            <w:tcW w:w="4360" w:type="dxa"/>
            <w:vAlign w:val="bottom"/>
          </w:tcPr>
          <w:p>
            <w:pPr>
              <w:spacing w:after="0"/>
              <w:rPr>
                <w:sz w:val="22"/>
                <w:szCs w:val="22"/>
                <w:color w:val="auto"/>
              </w:rPr>
            </w:pPr>
          </w:p>
        </w:tc>
      </w:tr>
    </w:tbl>
    <w:p>
      <w:pPr>
        <w:spacing w:after="0" w:line="52" w:lineRule="exact"/>
        <w:rPr>
          <w:sz w:val="24"/>
          <w:szCs w:val="24"/>
          <w:color w:val="auto"/>
        </w:rPr>
      </w:pPr>
    </w:p>
    <w:p>
      <w:pPr>
        <w:sectPr>
          <w:pgSz w:w="11900" w:h="16838" w:orient="portrait"/>
          <w:cols w:equalWidth="0" w:num="1">
            <w:col w:w="11140"/>
          </w:cols>
          <w:pgMar w:left="320" w:top="226" w:right="439" w:bottom="1440" w:gutter="0" w:footer="0" w:header="0"/>
        </w:sect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Prospectus Supplement dated February    , 2024</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3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3440" w:type="dxa"/>
            <w:vAlign w:val="bottom"/>
            <w:tcBorders>
              <w:bottom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20" w:type="dxa"/>
            <w:vAlign w:val="bottom"/>
            <w:gridSpan w:val="7"/>
          </w:tcPr>
          <w:p>
            <w:pPr>
              <w:spacing w:after="0"/>
              <w:rPr>
                <w:sz w:val="16"/>
                <w:szCs w:val="16"/>
                <w:color w:val="auto"/>
              </w:rPr>
            </w:pPr>
          </w:p>
        </w:tc>
        <w:tc>
          <w:tcPr>
            <w:tcW w:w="2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2"/>
          </w:tcPr>
          <w:p>
            <w:pPr>
              <w:spacing w:after="0"/>
              <w:rPr>
                <w:sz w:val="17"/>
                <w:szCs w:val="17"/>
                <w:color w:val="auto"/>
              </w:rPr>
            </w:pPr>
          </w:p>
        </w:tc>
        <w:tc>
          <w:tcPr>
            <w:tcW w:w="5380" w:type="dxa"/>
            <w:vAlign w:val="bottom"/>
            <w:gridSpan w:val="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8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80" w:type="dxa"/>
            <w:vAlign w:val="bottom"/>
            <w:gridSpan w:val="1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800" w:type="dxa"/>
            <w:vAlign w:val="bottom"/>
            <w:gridSpan w:val="2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45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 WE ARE OFFERING</w:t>
            </w:r>
          </w:p>
        </w:tc>
        <w:tc>
          <w:tcPr>
            <w:tcW w:w="4100" w:type="dxa"/>
            <w:vAlign w:val="bottom"/>
            <w:gridSpan w:val="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080" w:type="dxa"/>
            <w:vAlign w:val="bottom"/>
            <w:gridSpan w:val="1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19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200" w:type="dxa"/>
            <w:vAlign w:val="bottom"/>
            <w:gridSpan w:val="1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80" w:type="dxa"/>
            <w:vAlign w:val="bottom"/>
            <w:gridSpan w:val="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434"/>
        </w:trPr>
        <w:tc>
          <w:tcPr>
            <w:tcW w:w="120" w:type="dxa"/>
            <w:vAlign w:val="bottom"/>
          </w:tcPr>
          <w:p>
            <w:pPr>
              <w:spacing w:after="0"/>
              <w:rPr>
                <w:sz w:val="24"/>
                <w:szCs w:val="24"/>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3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6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80" w:type="dxa"/>
            <w:vAlign w:val="bottom"/>
            <w:gridSpan w:val="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8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LARIMAR</w:t>
            </w:r>
          </w:p>
        </w:tc>
        <w:tc>
          <w:tcPr>
            <w:tcW w:w="716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80" w:type="dxa"/>
            <w:vAlign w:val="bottom"/>
            <w:gridSpan w:val="16"/>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40" w:type="dxa"/>
            <w:vAlign w:val="bottom"/>
            <w:gridSpan w:val="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180" w:type="dxa"/>
            <w:vAlign w:val="bottom"/>
            <w:gridSpan w:val="1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640" w:type="dxa"/>
            <w:vAlign w:val="bottom"/>
            <w:gridSpan w:val="1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10"/>
          </w:tcPr>
          <w:p>
            <w:pPr>
              <w:spacing w:after="0"/>
              <w:rPr>
                <w:sz w:val="17"/>
                <w:szCs w:val="17"/>
                <w:color w:val="auto"/>
              </w:rPr>
            </w:pPr>
          </w:p>
        </w:tc>
        <w:tc>
          <w:tcPr>
            <w:tcW w:w="4780" w:type="dxa"/>
            <w:vAlign w:val="bottom"/>
            <w:gridSpan w:val="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6620" w:type="dxa"/>
            <w:vAlign w:val="bottom"/>
            <w:gridSpan w:val="1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86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8" w:lineRule="exact"/>
        <w:rPr>
          <w:sz w:val="20"/>
          <w:szCs w:val="20"/>
          <w:color w:val="auto"/>
        </w:rPr>
      </w:pPr>
    </w:p>
    <w:p>
      <w:pPr>
        <w:ind w:left="120" w:right="6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3"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When we refer to “Larimar,” “we,” “our,” “us” and the “Company” in this prospectus supplement,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160"/>
        <w:spacing w:after="0" w:line="216" w:lineRule="auto"/>
        <w:rPr>
          <w:sz w:val="20"/>
          <w:szCs w:val="20"/>
          <w:color w:val="auto"/>
        </w:rPr>
      </w:pPr>
      <w:r>
        <w:rPr>
          <w:rFonts w:ascii="Times New Roman" w:cs="Times New Roman" w:eastAsia="Times New Roman" w:hAnsi="Times New Roman"/>
          <w:sz w:val="18"/>
          <w:szCs w:val="18"/>
          <w:color w:val="auto"/>
        </w:rPr>
        <w:t>Larimar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are some of our trademarks used in this prospectus supplement. This prospectus supplement may also include trademarks, tradenames, and service marks that are the property of other organizations. Solely for convenience, our trademarks and tradenames referred to in this prospectus supplement and the accompanying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and the accompanying prospectus or incorporated in this prospectus supplement and the accompanying prospectus by reference. This summary does not contain all of the information you should consider before deciding to invest in our securities. You should carefully read this entire prospectus supplement, the accompanying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S-8 and in the documents incorporated by reference into this prospectus supplement and the accompanying prospectus.</w:t>
      </w: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new International Nonproprietary Name and the United States Adopted Name for CTI-1601), is a subcutaneously administered, recombinant fusion protein intended to deliver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w:t>
      </w:r>
    </w:p>
    <w:p>
      <w:pPr>
        <w:spacing w:after="0" w:line="189"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We have completed two Phase 1 clinical trials and, following the decision by the U.S. Food and Drug Administration, or FDA, to lift its previously imposed full clinical hold on the nomlabofusp clinical development program and impose a partial hold, the 25 mg and 50 mg cohorts of the four-week, placebo-controlled, Phase 2 dose exploration trial in patients with Friedreich’s ataxia. The dose exploration trial is designed to further characterize nomlabofusp’s safety, pharmacodynamics, or PD, and pharmacokinetics, or PK, profiles to provide information about the preferred long-term dose and dose regimen. Data from the 25 mg cohort of the Phase 2 trial indicated nomlabofusp was generally well tolerated and showed increases in FXN levels from baseline compared to placebo in all evaluated tissues (skin and buccal cells) at day 14.</w:t>
      </w:r>
    </w:p>
    <w:p>
      <w:pPr>
        <w:spacing w:after="0" w:line="187"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In January 2024, we initiated the open label extension, or OLE, trial evaluating daily subcutaneous injections of 25 mg of nomlabofusp, which will start dosing in the first quarter of 2024. Participants who complete treatment in the Phase 2 dose exploration trial, or who previously completed a prior clinical trial of nomlabofusp are potentially eligible for the OLE. Further dose expansion in the OLE trial will be considered based on safety, pharmacokinetics, and tissue FXN levels from the 25 mg dose of nomlabofusp. We expect initial data from the OLE trial in the fourth quarter of 2024.</w:t>
      </w:r>
    </w:p>
    <w:p>
      <w:pPr>
        <w:spacing w:after="0" w:line="18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have received an orphan drug designation, fast track designation and rare pediatric disease designation, from the FDA for nomlabofusp. In addition, we received orphan designation for nomlabofusp from the European Commission and a Priority Medicines designation from the European Medicines Agency, or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3"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0272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2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Top-Line Data from Phase 2 Trial at 50 mg Dose Level</w:t>
      </w:r>
    </w:p>
    <w:p>
      <w:pPr>
        <w:spacing w:after="0" w:line="121"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On February 12, 2024, we announced positive top-line data and successful completion of our four-week, placebo-controlled Phase 2 dose exploration study of nomlabofusp in participants with Friedreich’s ataxia.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Phase 2 Results</w:t>
      </w:r>
    </w:p>
    <w:p>
      <w:pPr>
        <w:spacing w:after="0" w:line="13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Median </w:t>
      </w:r>
      <w:r>
        <w:rPr>
          <w:rFonts w:ascii="Times New Roman" w:cs="Times New Roman" w:eastAsia="Times New Roman" w:hAnsi="Times New Roman"/>
          <w:sz w:val="18"/>
          <w:szCs w:val="18"/>
          <w:b w:val="1"/>
          <w:bCs w:val="1"/>
          <w:color w:val="auto"/>
        </w:rPr>
        <w:t>changes in FXN levels</w:t>
      </w:r>
      <w:r>
        <w:rPr>
          <w:rFonts w:ascii="Times New Roman" w:cs="Times New Roman" w:eastAsia="Times New Roman" w:hAnsi="Times New Roman"/>
          <w:sz w:val="18"/>
          <w:szCs w:val="18"/>
          <w:color w:val="auto"/>
        </w:rPr>
        <w:t xml:space="preserve"> from baseline for the 25 mg and 50 mg cohorts of nomlabofusp</w:t>
      </w:r>
    </w:p>
    <w:p>
      <w:pPr>
        <w:spacing w:after="0" w:line="134"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Skin cells: 2.81 pg/µg for the 25 mg cohort and 5.57 pg/µg for the 50 mg cohort</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Buccal cells: 0.56 pg/µg for the 25 mg cohort and 0.72 pg/µg for the 50 mg cohort</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seen in our multiple ascending dose (MAD) study, when dosing is switched to every other day, FXN levels decline from the levels achieved with daily dosing but remain above baseline.</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treated patients demonstrated increases in FXN levels in skin cells and the majority of patients also demonstrated increases in FXN levels in buccal cells.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Day 14, all patients with quantifiable levels at baseline and Day 14 treated with 50 mg of nomlabofusp achieved FXN levels in skin cells greater than 33% of the average level found in healthy volunteers, and 3 of the patients achieved levels greater than 50% of the average healthy volunteer level.</w:t>
      </w:r>
    </w:p>
    <w:p>
      <w:pPr>
        <w:spacing w:after="0" w:line="81" w:lineRule="exact"/>
        <w:rPr>
          <w:rFonts w:ascii="Times New Roman" w:cs="Times New Roman" w:eastAsia="Times New Roman" w:hAnsi="Times New Roman"/>
          <w:sz w:val="18"/>
          <w:szCs w:val="18"/>
          <w:color w:val="auto"/>
        </w:rPr>
      </w:pPr>
    </w:p>
    <w:p>
      <w:pPr>
        <w:ind w:left="1240" w:right="240" w:hanging="415"/>
        <w:spacing w:after="0" w:line="258"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FXN levels measured in buccal cells show a high degree of correlation with FXN levels measured in skin cells, higher variability in FXN levels was seen in buccal cells compared to skin cells in both the multiple ascending dose study and the Phase 2 dose exploration study. Skin cells have a lower turnover rate and skin is a more stable tissue. The collection method for skin cells is also well-established and standardized, which provides a more reliable and reproducible measure of changes in FXN levels with treatment compared to buccal cells.</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84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7849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Median baseline tissue FXN levels in skin cells were 3.70 pg/µg and 2.12 pg/µg for the 25 mg and 50 mg cohorts, respectively, and in buccal cells were 1.78 pg/µg and 1.61 pg/µg for the 25 mg and 50 mg cohorts, respectively. Changes in FXN levels after nomlabofusp administration in the Phase 2 trial at day 14 (QD: once daily for 14 days) and day 28 (QOD: every other day after day 14) are:</w:t>
      </w:r>
    </w:p>
    <w:p>
      <w:pPr>
        <w:spacing w:after="0" w:line="1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Median Change from Baseline in FXN Levels (pg FXN/ µg total protein)</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i w:val="1"/>
          <w:iCs w:val="1"/>
          <w:color w:val="auto"/>
        </w:rPr>
        <w:t>(25th, 75th percentile)</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117"/>
        </w:trPr>
        <w:tc>
          <w:tcPr>
            <w:tcW w:w="2700" w:type="dxa"/>
            <w:vAlign w:val="bottom"/>
            <w:tcBorders>
              <w:top w:val="single" w:sz="8" w:color="auto"/>
            </w:tcBorders>
          </w:tcPr>
          <w:p>
            <w:pPr>
              <w:spacing w:after="0"/>
              <w:rPr>
                <w:sz w:val="10"/>
                <w:szCs w:val="10"/>
                <w:color w:val="auto"/>
              </w:rPr>
            </w:pPr>
          </w:p>
        </w:tc>
        <w:tc>
          <w:tcPr>
            <w:tcW w:w="2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Placebo</w:t>
            </w:r>
          </w:p>
        </w:tc>
        <w:tc>
          <w:tcPr>
            <w:tcW w:w="2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25 mg Nomlabofusp</w:t>
            </w:r>
          </w:p>
        </w:tc>
        <w:tc>
          <w:tcPr>
            <w:tcW w:w="2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50 mg Nomlabofusp</w:t>
            </w:r>
          </w:p>
        </w:tc>
        <w:tc>
          <w:tcPr>
            <w:tcW w:w="0" w:type="dxa"/>
            <w:vAlign w:val="bottom"/>
          </w:tcPr>
          <w:p>
            <w:pPr>
              <w:spacing w:after="0"/>
              <w:rPr>
                <w:sz w:val="1"/>
                <w:szCs w:val="1"/>
                <w:color w:val="auto"/>
              </w:rPr>
            </w:pPr>
          </w:p>
        </w:tc>
      </w:tr>
      <w:tr>
        <w:trPr>
          <w:trHeight w:val="187"/>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Skin Biopsies*</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 9</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 9</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 = 10</w:t>
            </w:r>
          </w:p>
        </w:tc>
        <w:tc>
          <w:tcPr>
            <w:tcW w:w="0" w:type="dxa"/>
            <w:vAlign w:val="bottom"/>
          </w:tcPr>
          <w:p>
            <w:pPr>
              <w:spacing w:after="0"/>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-0.53</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2.81</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5.57</w:t>
            </w:r>
          </w:p>
        </w:tc>
        <w:tc>
          <w:tcPr>
            <w:tcW w:w="0" w:type="dxa"/>
            <w:vAlign w:val="bottom"/>
          </w:tcPr>
          <w:p>
            <w:pPr>
              <w:spacing w:after="0"/>
              <w:rPr>
                <w:sz w:val="1"/>
                <w:szCs w:val="1"/>
                <w:color w:val="auto"/>
              </w:rPr>
            </w:pPr>
          </w:p>
        </w:tc>
      </w:tr>
      <w:tr>
        <w:trPr>
          <w:trHeight w:val="196"/>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Day 14 QD</w:t>
            </w:r>
          </w:p>
        </w:tc>
        <w:tc>
          <w:tcPr>
            <w:tcW w:w="254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(-0.96, 0.57)</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(2.16, 3.32)</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(4.25, 6.55)</w:t>
            </w: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Day 28 QOD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-0.34</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2.28</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3.14</w:t>
            </w: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(-0.74, 0.31)</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(-0.03, 2.71)</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(2.50, 3.64)</w:t>
            </w: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Buccal Cells**</w:t>
            </w:r>
          </w:p>
        </w:tc>
        <w:tc>
          <w:tcPr>
            <w:tcW w:w="254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-0.35</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0.56</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0.72</w:t>
            </w:r>
          </w:p>
        </w:tc>
        <w:tc>
          <w:tcPr>
            <w:tcW w:w="0" w:type="dxa"/>
            <w:vAlign w:val="bottom"/>
          </w:tcPr>
          <w:p>
            <w:pPr>
              <w:spacing w:after="0"/>
              <w:rPr>
                <w:sz w:val="1"/>
                <w:szCs w:val="1"/>
                <w:color w:val="auto"/>
              </w:rPr>
            </w:pPr>
          </w:p>
        </w:tc>
      </w:tr>
      <w:tr>
        <w:trPr>
          <w:trHeight w:val="196"/>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Day 14 QD</w:t>
            </w:r>
          </w:p>
        </w:tc>
        <w:tc>
          <w:tcPr>
            <w:tcW w:w="254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(-0.75, 0.04)</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(-0.28, 0.64)</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(0.05, 1.06)</w:t>
            </w: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78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Day 28 QOD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-0.52</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0.48</w:t>
            </w: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(-1.07, 0.01)</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(-0.66, 0.86)</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(-0.16, 0.76)</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720" w:right="180" w:hanging="422"/>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w:t>
      </w:r>
      <w:r>
        <w:rPr>
          <w:rFonts w:ascii="Times New Roman" w:cs="Times New Roman" w:eastAsia="Times New Roman" w:hAnsi="Times New Roman"/>
          <w:sz w:val="18"/>
          <w:szCs w:val="18"/>
          <w:i w:val="1"/>
          <w:iCs w:val="1"/>
          <w:color w:val="auto"/>
        </w:rPr>
        <w:t>who had one or more FXN measurements below quantifiable levels are excluded from the above analysis.</w:t>
      </w:r>
      <w:r>
        <w:rPr>
          <w:rFonts w:ascii="Times New Roman" w:cs="Times New Roman" w:eastAsia="Times New Roman" w:hAnsi="Times New Roman"/>
          <w:sz w:val="18"/>
          <w:szCs w:val="18"/>
          <w:color w:val="auto"/>
        </w:rPr>
        <w:t xml:space="preserve"> For the placebo group, one participant had skin cell FXN levels below quantifiable levels on day 14 and day 28. For the 25 mg group, Day 14 and 28 skin biopsies were not collected from one nomlabofusp treated participant who discontinued treatment and one nomlabofusp treated participant had FXN levels below quantifiable levels at day 14 and day 28. For the 50 mg group, one participant had skin cell FXN levels below quantifiable levels at baseline.</w:t>
      </w:r>
    </w:p>
    <w:p>
      <w:pPr>
        <w:spacing w:after="0" w:line="1" w:lineRule="exact"/>
        <w:rPr>
          <w:sz w:val="20"/>
          <w:szCs w:val="20"/>
          <w:color w:val="auto"/>
        </w:rPr>
      </w:pPr>
    </w:p>
    <w:p>
      <w:pPr>
        <w:ind w:left="720" w:right="60" w:hanging="422"/>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w:t>
      </w:r>
      <w:r>
        <w:rPr>
          <w:rFonts w:ascii="Times New Roman" w:cs="Times New Roman" w:eastAsia="Times New Roman" w:hAnsi="Times New Roman"/>
          <w:sz w:val="18"/>
          <w:szCs w:val="18"/>
          <w:i w:val="1"/>
          <w:iCs w:val="1"/>
          <w:color w:val="auto"/>
        </w:rPr>
        <w:t>who had one or more FXN measurements below quantifiable levels are excluded from the above analysis</w:t>
      </w:r>
      <w:r>
        <w:rPr>
          <w:rFonts w:ascii="Times New Roman" w:cs="Times New Roman" w:eastAsia="Times New Roman" w:hAnsi="Times New Roman"/>
          <w:sz w:val="18"/>
          <w:szCs w:val="18"/>
          <w:color w:val="auto"/>
        </w:rPr>
        <w:t>. For the placebo group, one participant had buccal cell FXN levels below quantifiable levels at baseline and four participants had buccal cell FXN levels below quantifiable levels at day 14 and day 28. For 25 mg group, day 28 buccal FXN were not collected from one participant who discontinued treatment and two participants had buccal FXN levels below quantifiable levels at baseline. For the 50 mg, one participant had buccal cell FXN levels below quantifiable levels at baseline, day 14 and day 28, and two participants had buccal FXN levels below quantifiable levels at day 14 and day 28.</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Phase 2 Pharmacokinetic and Safety Data for 25 mg and 50 mg Cohorts of Nomlabofusp</w:t>
      </w:r>
    </w:p>
    <w:p>
      <w:pPr>
        <w:spacing w:after="0" w:line="135" w:lineRule="exact"/>
        <w:rPr>
          <w:sz w:val="20"/>
          <w:szCs w:val="20"/>
          <w:color w:val="auto"/>
        </w:rPr>
      </w:pPr>
    </w:p>
    <w:p>
      <w:pPr>
        <w:ind w:left="1240" w:right="1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Quick absorption after subcutaneous administration of nomlabofusp with dose proportional increases in exposure were observed with increasing doses.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well tolerated with no serious adverse events reported.</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severe adverse events in the 50 mg cohort. One severe adverse event for an allergic reaction to the study drug was reported in the 25 mg cohort and was resolved with standard treatment.</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of the 19 participants dosed with nomlabofusp completed the trial, with one participant in the 25 mg cohort withdrawing due to the aforementioned allergic reaction that resolved with standard treatment.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common adverse events were mild and moderate injection site reactions.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Unaudited Preliminary Financial Information</w:t>
      </w:r>
    </w:p>
    <w:p>
      <w:pPr>
        <w:spacing w:after="0" w:line="121"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We estimate that our cash, cash equivalents and marketable securities were approximately $86.8 million as of December 31, 2023. This amount is unaudited and preliminary and is subject to completion of financial closing</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1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57" w:lineRule="auto"/>
        <w:rPr>
          <w:sz w:val="20"/>
          <w:szCs w:val="20"/>
          <w:color w:val="auto"/>
        </w:rPr>
      </w:pPr>
      <w:r>
        <w:rPr>
          <w:rFonts w:ascii="Times New Roman" w:cs="Times New Roman" w:eastAsia="Times New Roman" w:hAnsi="Times New Roman"/>
          <w:sz w:val="18"/>
          <w:szCs w:val="18"/>
          <w:color w:val="auto"/>
        </w:rPr>
        <w:t>procedures, including the completion of management’s reviews. As a result, this amount reflects our preliminary estimate with respect to such information, based on information currently available for management, and may vary from our actual financial position as of December 31, 2023. Further, this preliminary estimate is not a comprehensive statement or estimate of our financial data or financial condition as of December 31,</w:t>
      </w:r>
    </w:p>
    <w:p>
      <w:pPr>
        <w:spacing w:after="0" w:line="1" w:lineRule="exact"/>
        <w:rPr>
          <w:sz w:val="20"/>
          <w:szCs w:val="20"/>
          <w:color w:val="auto"/>
        </w:rPr>
      </w:pPr>
    </w:p>
    <w:p>
      <w:pPr>
        <w:ind w:left="300"/>
        <w:spacing w:after="0" w:line="251" w:lineRule="auto"/>
        <w:rPr>
          <w:sz w:val="20"/>
          <w:szCs w:val="20"/>
          <w:color w:val="auto"/>
        </w:rPr>
      </w:pPr>
      <w:r>
        <w:rPr>
          <w:rFonts w:ascii="Times New Roman" w:cs="Times New Roman" w:eastAsia="Times New Roman" w:hAnsi="Times New Roman"/>
          <w:sz w:val="18"/>
          <w:szCs w:val="18"/>
          <w:color w:val="auto"/>
        </w:rPr>
        <w:t>2023. The unaudited preliminary financial data included in this prospectus supplement have been prepared by, and are the responsibility of, our management team. PricewaterhouseCoopers LLP, our independent registered public accounting firm, has not audited, reviewed, examined, compiled, nor applied agreed-upon procedures with respect to the unaudited preliminary financial data. Accordingly, PricewaterhouseCoopers LLP does not express an opinion or any other form of assurance with respect thereto. It is possible that we may identify items that require us to make adjustments to the financial information set forth above. This preliminary estimate should not be viewed as a substitute for financial statements prepared in accordance with generally accepted accounting principles in the United States and it is not necessarily indicative of the balance to be achieved in any future period. Additional information and disclosure would be required for a more complete understanding of our financial position and results of operations as of December 31, 2023. Accordingly, you should not place undue reliance on this preliminary estimate. This preliminary estimate should be read together with the sections titled “Risk Factors” and “Cautionary Note Regarding Forward-looking Statements,” and under similar headings included in this prospectus supplement, the accompanying prospectus and in the documents incorporated by reference into this prospectus supplement and in the accompanying prospectus as well as our financial statements, related notes and other financial information incorporated by reference in this prospectus supplement and in the accompanying prospectus. We expect to complete our financial statements for the year ended December 31, 2023 subsequent to the completion of this offering, and consequently such financial statements will not be available to you prior to investing in this offering.</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supplement or the accompanying prospectus and is not incorporated by reference herein. We have included our website address as an inactive textual reference only.</w:t>
      </w:r>
    </w:p>
    <w:p>
      <w:pPr>
        <w:spacing w:after="0" w:line="180"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50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8"/>
          <w:szCs w:val="18"/>
          <w:color w:val="auto"/>
        </w:rPr>
        <w:t>            of shares of our common stock.</w:t>
      </w:r>
    </w:p>
    <w:p>
      <w:pPr>
        <w:spacing w:after="0" w:line="14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Pre-Funded Warrants</w:t>
      </w:r>
      <w:r>
        <w:rPr>
          <w:sz w:val="20"/>
          <w:szCs w:val="20"/>
          <w:color w:val="auto"/>
        </w:rPr>
        <w:tab/>
      </w:r>
      <w:r>
        <w:rPr>
          <w:rFonts w:ascii="Times New Roman" w:cs="Times New Roman" w:eastAsia="Times New Roman" w:hAnsi="Times New Roman"/>
          <w:sz w:val="18"/>
          <w:szCs w:val="18"/>
          <w:color w:val="auto"/>
        </w:rPr>
        <w:t>We are also offering Pre-Funded Warrants to purchase             shares of our common</w:t>
      </w:r>
    </w:p>
    <w:p>
      <w:pPr>
        <w:spacing w:after="0" w:line="31" w:lineRule="exact"/>
        <w:rPr>
          <w:sz w:val="20"/>
          <w:szCs w:val="20"/>
          <w:color w:val="auto"/>
        </w:rPr>
      </w:pPr>
    </w:p>
    <w:p>
      <w:pPr>
        <w:ind w:left="4340" w:right="220"/>
        <w:spacing w:after="0" w:line="252" w:lineRule="auto"/>
        <w:rPr>
          <w:sz w:val="20"/>
          <w:szCs w:val="20"/>
          <w:color w:val="auto"/>
        </w:rPr>
      </w:pPr>
      <w:r>
        <w:rPr>
          <w:rFonts w:ascii="Times New Roman" w:cs="Times New Roman" w:eastAsia="Times New Roman" w:hAnsi="Times New Roman"/>
          <w:sz w:val="18"/>
          <w:szCs w:val="18"/>
          <w:color w:val="auto"/>
        </w:rPr>
        <w:t>stock. The purchase price of each Pre-Funded Warrant is equal to the price at which the share of our common stock is being sold to the public in this offering, minus $0.01, and the exercise price of each Pre-Funded Warrant is $0.01 per share. The Pre-Funded Warrants are exercisable immediately and may be exercised at any time until all of the Pre-Funded Warrants are exercised in full. This offering also relates to the shares of our common stock issuable upon exercise of the Pre-Funded Warrants sold in this offering. See “Description of Securities We Are Offering” for a discussion on the terms of the Pre-Funded Warrants.</w:t>
      </w:r>
    </w:p>
    <w:p>
      <w:pPr>
        <w:sectPr>
          <w:pgSz w:w="11900" w:h="16838" w:orient="portrait"/>
          <w:cols w:equalWidth="0" w:num="1">
            <w:col w:w="11140"/>
          </w:cols>
          <w:pgMar w:left="320" w:top="455" w:right="439" w:bottom="1440" w:gutter="0" w:footer="0" w:header="0"/>
        </w:sectPr>
      </w:pPr>
    </w:p>
    <w:p>
      <w:pPr>
        <w:spacing w:after="0" w:line="90"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Underwriters’ option to purchase additional shares of our common stock from us</w:t>
      </w:r>
    </w:p>
    <w:p>
      <w:pPr>
        <w:spacing w:after="0" w:line="276" w:lineRule="exact"/>
        <w:rPr>
          <w:sz w:val="20"/>
          <w:szCs w:val="20"/>
          <w:color w:val="auto"/>
        </w:rPr>
      </w:pPr>
    </w:p>
    <w:p>
      <w:pPr>
        <w:ind w:left="380" w:right="40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5" w:right="22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up to 30 days from the date of this prospectus supplement to purchase up to an additional         shares of our common stock at the public offering price, less the underwriting discount and commissions.</w:t>
      </w:r>
    </w:p>
    <w:p>
      <w:pPr>
        <w:spacing w:after="0" w:line="81" w:lineRule="exact"/>
        <w:rPr>
          <w:sz w:val="20"/>
          <w:szCs w:val="20"/>
          <w:color w:val="auto"/>
        </w:rPr>
      </w:pPr>
    </w:p>
    <w:p>
      <w:pPr>
        <w:ind w:left="5" w:right="280" w:hanging="5"/>
        <w:spacing w:after="0" w:line="266"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our common stock (or         shares, if the underwriters exercise their option to purchase additional shares in full), assuming no exercise of any Pre-Funded Warrants issued in this offering.</w:t>
      </w:r>
    </w:p>
    <w:p>
      <w:pPr>
        <w:spacing w:after="0" w:line="77" w:lineRule="exact"/>
        <w:rPr>
          <w:sz w:val="20"/>
          <w:szCs w:val="20"/>
          <w:color w:val="auto"/>
        </w:rPr>
      </w:pPr>
    </w:p>
    <w:p>
      <w:pPr>
        <w:sectPr>
          <w:pgSz w:w="11900" w:h="16838" w:orient="portrait"/>
          <w:cols w:equalWidth="0" w:num="2">
            <w:col w:w="4220" w:space="115"/>
            <w:col w:w="6805"/>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equivalents and marketable securities, to support the development of nomlabofusp and</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other pipeline candidates, and for working capital and general corporate purposes,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including research and development expenses. See “Use of Proceeds” for a more detailed</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discussion of our expected use of proceeds.</w:t>
            </w: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Indications of Interest</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Deerfield Management, our largest stockholder, and/or certain of its affiliates have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indicated an interest in purchasing shares of our common stock in this offering. However,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because indications of interest are not binding agreements or commitments to purchase,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such Deerfield Funds may decide not to purchase any shares of our common stock in this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offering or they could purchase fewer shares of our common stock than indicated. In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addition, the underwriters could determine to sell fewer or not to sell any shares of our</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common stock to such Deerfield Funds.</w:t>
            </w: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page S-8 of this prospectus supplement and page 7 of the accompanying prospectus and</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other information included in this prospectus supplement, the accompanying prospectus</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 the documents incorporated by reference in this prospectus</w:t>
            </w:r>
          </w:p>
        </w:tc>
      </w:tr>
      <w:tr>
        <w:trPr>
          <w:trHeight w:val="159"/>
        </w:trPr>
        <w:tc>
          <w:tcPr>
            <w:tcW w:w="304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50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540"/>
        <w:spacing w:after="0" w:line="282" w:lineRule="auto"/>
        <w:rPr>
          <w:sz w:val="20"/>
          <w:szCs w:val="20"/>
          <w:color w:val="auto"/>
        </w:rPr>
      </w:pPr>
      <w:r>
        <w:rPr>
          <w:rFonts w:ascii="Times New Roman" w:cs="Times New Roman" w:eastAsia="Times New Roman" w:hAnsi="Times New Roman"/>
          <w:sz w:val="18"/>
          <w:szCs w:val="18"/>
          <w:color w:val="auto"/>
        </w:rPr>
        <w:t>supplement and the accompanying prospectus for a discussion of factors you should carefully consider before deciding to invest in our securities.</w:t>
      </w:r>
    </w:p>
    <w:p>
      <w:pPr>
        <w:sectPr>
          <w:pgSz w:w="11900" w:h="16838" w:orient="portrait"/>
          <w:cols w:equalWidth="0" w:num="1">
            <w:col w:w="10920"/>
          </w:cols>
          <w:pgMar w:left="320" w:top="455" w:right="659" w:bottom="1440" w:gutter="0" w:footer="0" w:header="0"/>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“LRMR.” There is no established public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w:t>
      </w:r>
    </w:p>
    <w:p>
      <w:pPr>
        <w:spacing w:after="0" w:line="168"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right="66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43,905,903 shares of our common stock outstanding as of September 30, 2023, and excludes the following:</w:t>
      </w:r>
    </w:p>
    <w:p>
      <w:pPr>
        <w:spacing w:after="0" w:line="67" w:lineRule="exact"/>
        <w:rPr>
          <w:sz w:val="20"/>
          <w:szCs w:val="20"/>
          <w:color w:val="auto"/>
        </w:rPr>
      </w:pPr>
    </w:p>
    <w:p>
      <w:pPr>
        <w:ind w:left="1240" w:right="7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4,485,997 shares of our common stock issuable upon the exercise of stock options outstanding as of September 30, 2023 at a weighted-average exercise price of $9.33 per share;</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1,531,975 shares of our common stock issuable upon the exercise of stock options that were granted after September 30, 2023 at a weighted-average exercise price of $4.17 per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615,000 shares of our common stock issuable upon the vesting and settlement of restricted stock units outstanding as of September 30, 2023;</w:t>
      </w:r>
    </w:p>
    <w:p>
      <w:pPr>
        <w:spacing w:after="0" w:line="67"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243,363 shares of our common stock issuable upon the vesting and settlement of restricted stock units that were granted after September 30, 2023;</w:t>
      </w:r>
    </w:p>
    <w:p>
      <w:pPr>
        <w:spacing w:after="0" w:line="67" w:lineRule="exact"/>
        <w:rPr>
          <w:sz w:val="20"/>
          <w:szCs w:val="20"/>
          <w:color w:val="auto"/>
        </w:rPr>
      </w:pPr>
    </w:p>
    <w:p>
      <w:pPr>
        <w:jc w:val="center"/>
        <w:ind w:right="-559"/>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shares of our common stock issuable upon the exercise of the Pre-Funded Warrants issued as part of this offering;</w:t>
      </w:r>
    </w:p>
    <w:p>
      <w:pPr>
        <w:spacing w:after="0" w:line="131" w:lineRule="exact"/>
        <w:rPr>
          <w:sz w:val="20"/>
          <w:szCs w:val="20"/>
          <w:color w:val="auto"/>
        </w:rPr>
      </w:pPr>
    </w:p>
    <w:p>
      <w:pPr>
        <w:ind w:left="1240" w:right="1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1,106,459 shares of our common stock available for future issuance as of September 30, 2023 under our 2020 Equity Incentive Plan; and</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1,756,363 shares of our common stock added to shares available for future issuance on January 1, 2024 as permitted under our 2020 Equity Incentive Plan.</w:t>
      </w:r>
    </w:p>
    <w:p>
      <w:pPr>
        <w:spacing w:after="0" w:line="162"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Up to $50.0 million of shares of our common stock may be sold from time to time under the sales agreement, or the Sales Agreement, dated November 10, 2022, for our “at-the-market” program, or the ATM Program, with Guggenheim Securities, LLC, as sales agent. As of the date of this prospectus supplement, no sales have been made under the ATM Program. We have agreed not to make any sales under the Sales Agreement for a period of 60 days from the date of this prospectus supplement.</w:t>
      </w:r>
    </w:p>
    <w:p>
      <w:pPr>
        <w:spacing w:after="0" w:line="180" w:lineRule="exact"/>
        <w:rPr>
          <w:sz w:val="20"/>
          <w:szCs w:val="20"/>
          <w:color w:val="auto"/>
        </w:rPr>
      </w:pPr>
    </w:p>
    <w:p>
      <w:pPr>
        <w:jc w:val="both"/>
        <w:ind w:left="300" w:right="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described above, no exercise by the underwriters of their option to purchase additional shares and no exercise of the Pre-Funded Warrants we are offering in lieu of shares of our common stock to certain investors in this offering.</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Our business, financial condition and results of operations could be materially and adversely affected by any of these risks. If any of these risks occur, the value of our common stock or Pre-Funded Warrants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left="120"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expect to incur substantial future losses. If the offering is not completed prior to the filing of our 2023 Annual Report or if we do not raise sufficient funds by other means, the opinion from our independent registered public accounting firm will express substantial doubt about our ability to continue as a going concern.</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2023, we estimate that we had cash, cash equivalents and marketable securities of $86.8 million. We have incurred significant net losses since inception and also expect to incur substantial losses in future periods. Our continuation as a going concern is dependent on our ability to generate sufficient cash flows from operations and/or obtain additional capital through equity or debt financings, partnerships, collaborations, or other sources. Based upon our current operating plan, our current cash, cash equivalents and marketable securities will be sufficient to fund our operations into the first quarter of 2025.</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this offering is not completed prior to the filing of our Annual Report on Form 10-K for the year ended December 31 2023, or the 2023 Annual Report, or if we do not raise sufficient funds through other means, then we expect that we will disclose in such filing that we would have substantial doubt about our ability to fund our operations for more than one year beyond the filing date of the 2023 Annual Report. We would also expect that the opinion from our independent registered public accounting firm on such annual financial statements contained in our 2023 Annual Report would contain an explanatory paragraph about such substantial doubt about our ability to continue as a going concern. There is no assurance that we will be successful in obtaining sufficient funding on acceptable terms, if at all. 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188"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over the use of proceeds from this offering, and may not use the proceeds effectively.</w:t>
      </w:r>
    </w:p>
    <w:p>
      <w:pPr>
        <w:spacing w:after="0" w:line="121"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Our management will have broad discretion with respect to the use of proceeds of this offering, including for any of the purposes described in the section of this prospectus supplement entitled “Use of Proceeds.” You will have limited information concerning our management’s specific intentions regarding the use of the proceeds of this offering and be relying on the judgment of our management regarding the application of the proceeds of this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offering. Because of the number and variability of factors that will determine our use of our existing cash, cash equivalents, marketable securities and the net proceeds from this offering, their ultimate use may vary substantially from their currently intended use. The results and effectiveness of the use of proceeds are uncertain, and we could spend the proceeds in ways that you do not agree with or that do not improve our results of operations or enhance the value of our common stock. Pending their use, we may invest the net proceeds from this offering in short-term, investment-grade, interest-bearing securities. These investments may not yield a favorable return to our stockholders. Our failure to apply these funds effectively could harm our business, delay the development of our pipeline product candidates and cause the price of our common stock to decline. See “Use of Proceeds” for a more detailed discussion of our expected use of proceeds.</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common stock or the value of our Pre-Funded Warrants purchased in this offering.</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common stock or the value of our Pre-Funded Warrants being offered is substantially higher than the net tangible book value per share of our common stock, you will suffer immediate and substantial dilution in the net tangible book value of the common stock or Pre-Funded Warrants you purchase in this offering. The exercise of outstanding stock options, vesting and settlement of restricted stock units or exercise of the Pre-Funded Warrants sold in this offering may result in further dilution of your investment. See “Dilution” for a more detailed discussion of the dilution you will incur if you purchase shares of our common stock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Market. The liquidity of the trading market in the Pre-Funded Warrants and the sale price, if any, for the Pre-Funded Warrants, may be adversely affected by, among other things: (i) changes in the overall market for the Pre-Funded Warrants; (ii) changes in our financial performance or prospects; (iii) changes or perceived changes in our creditworthiness; (iv) the prospects for companies in the industry generally; (v) the number of holders of the Pre-Funded Warrants; and (vi) the interest of securities dealers in making a market for the Pre-Funded Warrants.</w:t>
      </w:r>
    </w:p>
    <w:p>
      <w:pPr>
        <w:spacing w:after="0" w:line="291"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shares of our common stock.</w:t>
      </w:r>
    </w:p>
    <w:p>
      <w:pPr>
        <w:spacing w:after="0" w:line="5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our common stock underlying such Pre-Funded Warrants. Upon exercise of the Pre-Funded Warrants, holders will be entitled to exercise the rights of common stockholders only as to matters for which the record date occurs after the exercise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significant additional funds upon the exercise of the Pre-Funded Warrants being offered.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 or if the Pre-Funded Warrant altogether are not exercised at all. In addition, the Pre-Funded Warrant have an exercise price of $0.01 per share of our common stock, and as a result we will not receive significant additional funds upon their exercise even if not a cashless exercise.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Holders of the Pre-Funded Warrants will not be entitled to exercise any portion of any Pre-Funded Warrants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27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our common stock or securities convertible into or exercisable for shares of our common stock following this offering, as well as the exercise of existing options, will dilute your ownership interests and may adversely affect the future market price of our common stock.</w:t>
      </w:r>
    </w:p>
    <w:p>
      <w:pPr>
        <w:spacing w:after="0" w:line="5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at prices and in a manner we determine from time to time, which may cause your ownership interest to be diluted. For example, on November 10, 2022, we entered into the Sales Agreement with Guggenheim Securities, LLC pursuant to which we may sell from time to time, at our option, up to $50.0 million of shares of our common stock through Guggenheim Securities, LLC, as our agent. As of September 30, 2023, we have not sold any shares of our common stock under the ATM Program. In addition, as of September 30, 2023, there were options to purchase 4,485,997 shares of our common stock outstanding at a weighted average exercise price of $9.33. If these securities are exercised, you may incur further dilution. Moreover, to the extent that we issue additional shares of our common stock, options to purchase, or securities convertible into or exchangeable for, shares of our common stock in the future and those options or other securities are exercised, converted or exchanged, stockholders may experience further dilution. The price per share at which we sell additional shares of our common stock or other securities convertible into or exchangeable for our common stock in future transactions may be higher or lower than the price per share in this offering.</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shares may be sold in the market following this offering, including any shares issuable upon exercise of any Pre-Funded Warrants, which may depress the market price for our common stock.</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including any shares issuable upon exercise of any Pre-Funded Warrants, in the public market following this offering, or the perception by the market that those sales could occur, could cause the market price of our common stock to decline, including pursuant to the ATM Program. We are unable to predict the effect that such sales may have on the prevailing market price of our common stock. Immediately after this offering, we will have outstanding shares of our common stock (or          shares if the underwriters exercise their option to purchase additional shares of our common stock in full) assuming no exercise of the Pre-Funded Warrants, based on the number of shares of our common stock outstanding as of September 30, 2023. This includes the shares of our common stock that we are selling in this offering, which may be resold in the public market immediately without restriction, unless purchased by our directors, officers or affiliates. Of the remaining shares, approximately 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amended, or the Securities Act. In addition, we have also registered the shares of our common stock that we may issue under our equity incentive plans. As a result, these shares can be freely sold in the public market upon issuance, subject to restrictions under securities laws.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stock may be volatile.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nomlabofusp or any of our future product candidates, including any potential delays related to public health crises;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nomlabofusp or any of our future product candidates, if approved for marketing and commercialization, to achieve commercial success;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by our significant stockholders, of our shares or other securities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abroad, including disruptions to the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in Part I, Item 1A of our Annual Report on Form 10-K for the fiscal year ended December 31, 2022 and Quarterly Report on Form 10-Q for the period ended June 30, 2023.</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Moreover, the capital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investors’ ability to achieve a return on their investment will depend on appreciation in the price of our common stock.</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determine that we need to explore doses higher than 50 mg or higher than 25 mg for long-term dosing and the FDA determines not to allow further dose escalation in the Phase 2 dose exploration study and OLE trials, our development timelines and our business may be adversely affected and our stock price may decline.</w:t>
      </w:r>
    </w:p>
    <w:p>
      <w:pPr>
        <w:spacing w:after="0" w:line="6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February 2024, we announced positive top-line data and successful completion of our four-week, placebo-controlled Phase 2 dose exploration study of nomlabofusp in participants with Friedreich’s ataxia.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Further dose expansion in the Phase 2 dose exploration study and the initiation of additional U.S. clinical trials evaluating nomlabofusp are contingent on FDA review of results from the Phase 2 trial’s 50 mg cohort in accordance with a partial clinical hold. In January 2024, we initiated the OLE trial evaluating daily subcutaneous injections of 25 mg of nomlabofusp, which will start dosing in the first quarter of 2024. Further dose expansion in the OLE trial will be considered based on safety, pharmacokinetics, and tissue FXN levels from the 25 mg dose of nomlabofusp. We expect initial data from the OLE trial in the fourth quarter of 2024.</w:t>
      </w:r>
    </w:p>
    <w:p>
      <w:pPr>
        <w:spacing w:after="0" w:line="188"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If we are unable to reach agreement with the FDA to lift the partial clinical hold and we determine that we need to explore doses higher than 50 mg or higher than 25 mg for long-term dosing, we would be unable to complete our nomlabofusp clinical trials without delays in our clinical development plans and anticipated data milestones and additional clinical development costs, any of which could impair our ability, cost or timeline to obtain U.S. regulatory approval for nomlabofusp.</w:t>
      </w:r>
    </w:p>
    <w:p>
      <w:pPr>
        <w:spacing w:after="0" w:line="180"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cannot be certain whether or when the FDA will lift the partial clinical hold and/or permit us to conduct clinical trials with doses higher than 50 mg or long-term doses higher than 25 mg. If the FDA does not lift the partial clinical hold in a timely manner, or at all, our development timelines and our business may be adversely affected and our stock price may decline. Further, even if the FDA lifts the partial clinical hold, or if the FDA or other regulatory agencies continue to express safety concerns after the partial clinical hold is lifted, additional nomlabofusp non-clinical or clinical studies may be required and future preclinical or clinical studies involving nomlabofusp may be more burdensome or include additional preclinical or clinical endpoints that are difficult to meet. In such instances, our progress in the development of nomlabofusp may be significantly slowed and the associated costs may be significantly increased, which could adversely affect our business, impair our ability to ultimately obtain FDA approval for nomlabofusp and cause our stock price to decline.</w:t>
      </w:r>
    </w:p>
    <w:p>
      <w:pPr>
        <w:spacing w:after="0" w:line="29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intend to pursue accelerated approval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5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intend to pursue an accelerated approval for nomlabofusp for the treatment of Friedreich’s ataxia using FXN levels, supportive pharmacodynamic and clinical information and safety data from the open label extension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study, along with additional nonclinical pharmacology information needed to support our surrogate biomarker approach.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Although we have initiated discussions with FDA concerning our surrogate biomarker approach, there can be no assurance that data we intend to generate will be successful in establishing, among other things, that dose-dependent FXN levels demonstrate clinical benefit. For example, buccal cells have higher FXN variability.</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Approval of other therapies for the treatment Friedreich’s ataxia, including the approval of omaveloxolone for the treatment of Friedreich’s ataxia, could negatively impact our ability to demonstrate a benefit over existing treatments and therefore utilize the accelerated approval pathway.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Moreover, the FDA may withdraw approval of any product candidate approved under the accelerated approval pathway if, for example:</w:t>
      </w:r>
    </w:p>
    <w:p>
      <w:pPr>
        <w:spacing w:after="0" w:line="131" w:lineRule="exact"/>
        <w:rPr>
          <w:sz w:val="20"/>
          <w:szCs w:val="20"/>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the product candidate fails to verify such benefit or do not demonstrate sufficient clinical benefit to justify the risks associated with such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22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In addition, the Food and Drug Omnibus Reform Act, or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w:t>
      </w:r>
    </w:p>
    <w:p>
      <w:pPr>
        <w:spacing w:after="0" w:line="173"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documents incorporated herein by reference include, among other things, statements about:</w:t>
      </w:r>
    </w:p>
    <w:p>
      <w:pPr>
        <w:spacing w:after="0" w:line="67" w:lineRule="exact"/>
        <w:rPr>
          <w:sz w:val="20"/>
          <w:szCs w:val="20"/>
          <w:color w:val="auto"/>
        </w:rPr>
      </w:pPr>
    </w:p>
    <w:p>
      <w:pPr>
        <w:ind w:left="1080" w:right="16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FDA, European Medicines Agency and other comparable regulatory authorities for marketing approval for nomlabofusp or any other product candidate that we may develop in the future and unexpected costs that may result therefrom;</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(whether clinical or non-clinical), changes in clinical protocols,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open label extension trial;</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or any other product candidate that we may develop in the future, including potential delays in the commencement, enrollment and completion of clinical trials;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Friedreich’s ataxia, our ability to obtain and maintain designations or eligibility for expedited regulatory programs, and to commercialize current and future candidates, if approved, (including the impact of potential barriers to entry if a competitor is able to establish a strong market position before we are able to commercialize our products);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and any related free writing prospectus, and under similar headings in the other documents that are incorporated by reference into this prospectus supplement and the accompanying prospectus.</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shares of our common stock and Pre-Funded Warrants will be approximately $      million (or approximately $      million if the underwriters exercise their option to purchase additional shares of our common stock in full) after deducting underwriting discounts and commissions and estimated offering expenses payable by us, and excluding the proceeds, if any, from the exercise of the Pre-Funded Warrants issued in this offering. We cannot predict when or if the Pre-Funded Warrants will be exercised. It is possible that either some or all of the Pre-Funded Warrants may expire and may never be exercised. In addition, the Pre-Funded Warrant have an exercise price of $0.01 per share of our common stock, and as a result we will not receive significant additional funds upon their exercise.</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estimate that our cash, cash equivalents and marketable securities were approximately $86.8 million as of December 31, 2023. This estimate is unaudited and preliminary and is subject to completion of financial closing procedures, including the completion of management’s reviews.</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has not audited, reviewed, examined, compiled, nor applied agreed-upon procedures with respect to the preliminary financial results. Accordingly, PricewaterhouseCoopers LLP does not express an opinion or any other form of assurance with respect thereto.</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of the proposed offering, together with our existing cash, cash equivalents and marketable securities, to support the development of nomlabofusp and other pipeline candidates, and for working capital and general corporate purposes, including research and development expenses.</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together with the anticipated net proceeds from this offering, will be sufficient to fund our operating expenses and capital expenditure requirements at least into         .</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as described above, we intend to invest the net proceeds from this offering in a variety of capital preservation investments, including short-term, investment-grade, interest-bearing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If you invest in our securities in this offering, your ownership interest will be diluted immediately to the extent of the difference between the public offering price per share of our common stock and the as adjusted net tangible book value per share of our common stock immediately after the closing of this offering. As of September 30, 2023, our net tangible book value was $89.8 million, or $2.05 per share. Net tangible book value per share represents our total tangible assets (excluding operating lease right-of-use assets) less our total liabilities, divided by the number of shares outstanding.</w:t>
      </w:r>
    </w:p>
    <w:p>
      <w:pPr>
        <w:spacing w:after="0" w:line="3" w:lineRule="exact"/>
        <w:rPr>
          <w:sz w:val="20"/>
          <w:szCs w:val="20"/>
          <w:color w:val="auto"/>
        </w:rPr>
      </w:pPr>
    </w:p>
    <w:p>
      <w:pPr>
        <w:ind w:left="120" w:right="40"/>
        <w:spacing w:after="0" w:line="250" w:lineRule="auto"/>
        <w:rPr>
          <w:sz w:val="20"/>
          <w:szCs w:val="20"/>
          <w:color w:val="auto"/>
        </w:rPr>
      </w:pPr>
      <w:r>
        <w:rPr>
          <w:rFonts w:ascii="Times New Roman" w:cs="Times New Roman" w:eastAsia="Times New Roman" w:hAnsi="Times New Roman"/>
          <w:sz w:val="18"/>
          <w:szCs w:val="18"/>
          <w:color w:val="auto"/>
        </w:rPr>
        <w:t>After giving effect to the sale of      shares of our common stock in this offering at the public offering price of $      per share and Pre-Funded Warrants to purchase up to      shares of our common stock, and after deducting underwriting discounts and estimated offering expenses payable by</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us, our as adjusted net tangible book value as of September 30, 2023 would have been $      million, or $      per share. This amount would represent an immediate increase in net tangible book value of $      per share to existing stockholders and an immediate dilution in net tangible book value of $      per share to new investors participating in this offering. We determine dilution by subtracting the assumed as adjusted net tangible book value per share after this offering from the assumed price per share paid by an investor in this offering.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or Pre-Funded Warrant</w:t>
            </w: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2023</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$2.05</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w:t>
            </w:r>
          </w:p>
        </w:tc>
        <w:tc>
          <w:tcPr>
            <w:tcW w:w="1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investors purchasing shares in this offering</w:t>
            </w:r>
          </w:p>
        </w:tc>
        <w:tc>
          <w:tcPr>
            <w:tcW w:w="1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after this offering</w:t>
            </w:r>
          </w:p>
        </w:tc>
        <w:tc>
          <w:tcPr>
            <w:tcW w:w="1380" w:type="dxa"/>
            <w:vAlign w:val="bottom"/>
          </w:tcPr>
          <w:p>
            <w:pPr>
              <w:spacing w:after="0"/>
              <w:rPr>
                <w:sz w:val="19"/>
                <w:szCs w:val="19"/>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20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investors purchasing shares of our common stock or Pre-Funded Warrants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Assuming the Pre-Funded Warrants were immediately exercised, our pro forma as adjusted net tangible book value as of September 30, 2023 would have been $        or approximately $        per share of our common stock (assuming        shares of our common stock outstanding as of September 30, 2023 after giving effect to the issuance of        shares of our common stock in this offering and the exercise of the Pre-Funded Warrants for        shares of our common stock issued in this offering), which represents an immediate dilution per share to new investors of</w:t>
      </w:r>
    </w:p>
    <w:p>
      <w:pPr>
        <w:spacing w:after="0" w:line="3"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        per share of our common stock, and an increase in net tangible book value per share to existing stockholders of $        per share of our common stock.</w:t>
      </w:r>
    </w:p>
    <w:p>
      <w:pPr>
        <w:spacing w:after="0" w:line="181"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If the underwriters exercise their option to purchase an additional        shares of our common stock in full at the public offering price of $        per share and assuming the Pre-Funded Warrants were immediately and fully exercised, our as adjusted net tangible book value as of September 30, 2023 would have been $      million, or $      per share. This amount would represent an immediate increase in net tangible book value of</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        per share to existing stockholders and an immediate dilution in net tangible book value of $        per share to new investors purchasing common stock in this offering.</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20"/>
          </w:cols>
          <w:pgMar w:left="320" w:top="455"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(other than the historical net tangible book value calculation) are based on 43,905,903 shares of our common stock outstanding as of September 30, 2023, and excludes the following:</w:t>
      </w:r>
    </w:p>
    <w:p>
      <w:pPr>
        <w:spacing w:after="0" w:line="67" w:lineRule="exact"/>
        <w:rPr>
          <w:sz w:val="20"/>
          <w:szCs w:val="20"/>
          <w:color w:val="auto"/>
        </w:rPr>
      </w:pPr>
    </w:p>
    <w:p>
      <w:pPr>
        <w:ind w:left="1080" w:right="2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4,485,997 shares of our common stock issuable upon the exercise of stock options outstanding as of September 30, 2023 at a weighted-average exercise price of $9.33 per share;</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1,531,975 shares of our common stock issuable upon the exercise of stock options that were granted after September 30, 2023 at a weighted-average exercise price of $4.17 per share;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615,000 shares of our common stock issuable upon the vesting and settlement of restricted stock units outstanding as of September 30, 2023;</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243,363 shares of our common stock issuable upon the vesting and settlement of restricted stock units that were granted after September 30, 2023;</w:t>
      </w:r>
    </w:p>
    <w:p>
      <w:pPr>
        <w:spacing w:after="0" w:line="6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shares of our common stock issuable upon the exercise of the Pre-Funded Warrants issued as part of this offering;</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1,106,459 shares of our common stock available for future issuance as of September 30, 2023 under our 2020 Equity Incentive Plan;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1,756,363 shares of our common stock added to shares available for future issuance on January 1, 2024 as permitted under our 2020 Equity Incentive Plan.</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described above, and no exercise by the underwriters of their option to purchase additional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heading “Description of Capital Stock” in this prospectus supplement and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jc w:val="both"/>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Warrants,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Pre-Funded Warrants offered hereby will have an exercise price of $0.01 per share. The Pre-Funded Warrants will be immediately exercisable and may be exercised at any time until the Pre-Funded Warrants are exercised in full. The exercise prices and numbers of shares of our common stock issuable upon exercise are subject to appropriate adjustment in the event of stock dividends, stock splits, recapitalization or similar events affecting our common stock. Pre-funded warrants will be issued in certificated form only.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accompanied by payment in full for the number of shares of our common stock purchased upon such exercise. A holder (together with its affiliates) may not exercise any portion of such holder’s Pre-Funded Warrants to the extent that the holder would own more than 4.99% (or 9.99%, at the holder’s election) of our outstanding common stock immediately after exercise, except that upon notice from the holder to us, the holder may decrease or increase the limitation of ownership of outstanding stock after exercising the holder’s Pre-Funded Warrants (not in excess of 19.99% of the number of shares of our common stock outstanding immediately after giving effect to the exercise), as such percentage ownership is determined in accordance with the terms of the Pre-Funded Warrants, provided that any increase in such limitation shall not be effective until 61 days following notice to us.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11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us upon exercise of a Pre-Funded Warrant in payment of the aggregate exercise price, the holder may elect instead to receive upon such exercise (either in whole or in part) the net number of shares of our common stock determined according to a formula set forth in the Pre-Funded Warrants.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 Pre-Funded Warrant may be transferred at the option of the holder upon surrender of the Pre-Funded Warrant to us together with the appropriate instruments of transfer.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 fractional shares of our common stock will be issued upon the exercise of the Pre-Funded Warrants. Rather, the number of shares of our common stock to be issued will, at our election, either be rounded up to the nearest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whole number or we will pay a cash adjustment in respect of such final fraction in an amount equal to such fraction multiplied by the exercise price.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1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any of the Pre-Funded Warrants, and we do not expect a market to develop. We do not intend to apply for a listing for any of the Pre-Funded Warrants on any securities exchange or other nationally recognized trading system. Without an active trading market, the liquidity of the Pre-Funded Warrants will be limited.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otherwise provided in the Pre-Funded Warrants or by virtue of the holders’ ownership of shares of our common stock, the holders</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of Pre-Funded Warrants do not have the rights or privileges of holders of our common stock, including any voting rights, until such Pre-Funded Warrant holders exercise their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Fundamental Transaction</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Waivers and Amendments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term of the Pre-Funded Warrants may be amended or waived without the written consent of the holder of such Pre-Funded Warrant.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our Board, and will depend on various factors, including applicable laws, our results of operations, financial condition, future prospects, anticipated cash needs, plans for expansion and any other factors deemed relevant by our Board.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40"/>
          </w:cols>
          <w:pgMar w:left="320" w:top="455"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to Non-U.S. Holders (as defined below) of the purchase, ownership and disposition of our common stock and Pre-Funded Warrants issued pursuant to this offering, which we refer to collectively as our securities,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the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that hold our securities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the special tax accounting rules under Section 451(b) of the Code and the alternative minimum tax. In addition, it does not address consequences relevant to Non-U.S. Holders subject to special rules, including, without limitation:</w:t>
      </w:r>
    </w:p>
    <w:p>
      <w:pPr>
        <w:spacing w:after="0" w:line="8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securities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securities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securities.</w:t>
      </w:r>
    </w:p>
    <w:p>
      <w:pPr>
        <w:spacing w:after="0" w:line="225"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securities, the tax treatment of a partner in the partnership will depend on the status of the partner, the activities of the partnership and certain determinations made at the partner level. Accordingly, partnerships holding our securities and the partners in such partnerships should consult their tax advisors regarding the U.S. federal income tax consequences to them.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our securities that is not an entity or arrangement treated as a partnership for U.S. federal income tax purposes and not,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the administration of which is subject to the primary supervision of a U.S. court and that has one or more U.S. persons with the authority to control all substantial decisions of the trust or (2) that has a valid election in effect under applicable Treasury Regulations to be treated as a U.S. person.</w:t>
      </w:r>
    </w:p>
    <w:p>
      <w:pPr>
        <w:spacing w:after="0" w:line="172" w:lineRule="exact"/>
        <w:rPr>
          <w:sz w:val="20"/>
          <w:szCs w:val="20"/>
          <w:color w:val="auto"/>
        </w:rPr>
      </w:pPr>
    </w:p>
    <w:p>
      <w:pPr>
        <w:ind w:left="120" w:right="22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Pre-Funded Warrants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it is not entirely free from doubt, the Pre-Funded Warrants are generally expected to be treated as shares of our common stock for U.S. federal income tax purposes. Accordingly, no gain or loss should be recognized upon exercise of a Pre-Funded Warrant, and the holding period of a Pre-Funded Warrant should carry over to the shares of common stock received upon exercise. Similarly, the tax basis of the Pre-Funded Warrant should carry over to the shares of common stock received upon exercise, increased by the exercise price. Each U.S. Holder and Non-U.S. Holder is urged to consult its tax advisor regarding the U.S. federal income tax treatment of the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terms of each Pre-Funded Warrant provide for an adjustment to the consideration issuable upon exercise in certain events, as discussed in the section titled “Description of the Securities We Are Offering—Pre-Funded Warrants.” An adjustment which has the effect of preventing dilution is generally not a taxable event. Nevertheless, a U.S. Holder or Non-U.S. Holder of Pre-Funded Warrants may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Such constructive distribution would be subject to tax in the same manner as if such U.S. Holder or Non-U.S. Holder received a cash distribution from us equal to the fair market value of such increased interest, in each case, as described below. Each U.S. Holder and Non-U.S. Holder is urged to consult its tax advisor regarding the U.S. federal income tax considerations of constructive distributions, if any, on the Pre-Funded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be applied against and reduce a Non-U.S. Holder’s adjusted tax basis in its common stock, but not below zero. Any excess will be treated as capital gain and will be treated as described below under “Sale or Other Taxable Disposition.”</w:t>
      </w:r>
    </w:p>
    <w:p>
      <w:pPr>
        <w:spacing w:after="0" w:line="16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backup withholding and FATCA (as defined below), dividends paid to a Non-U.S. Holder of our common stock (or constructive dividends paid on our Pre-Funded Warrants)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generally will be subject to U.S. federal income tax on a net income basis at the regular U.S. federal income tax rates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22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generally will not be subject to U.S. federal income tax on any gain realized upon the sale or other taxable disposition of our common stock unless:</w:t>
      </w:r>
    </w:p>
    <w:p>
      <w:pPr>
        <w:spacing w:after="0" w:line="67" w:lineRule="exact"/>
        <w:rPr>
          <w:sz w:val="20"/>
          <w:szCs w:val="20"/>
          <w:color w:val="auto"/>
        </w:rPr>
      </w:pPr>
    </w:p>
    <w:p>
      <w:pPr>
        <w:ind w:left="1080" w:right="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or USRPI, by reason of our status as a U.S. real property holding corporation, or USRPHC, for U.S. federal income tax purposes at any time within the shorter of the five-year period preceding the disposition or the Non-U.S. Holder’s holding period for our common stock.</w:t>
      </w:r>
    </w:p>
    <w:p>
      <w:pPr>
        <w:spacing w:after="0" w:line="176" w:lineRule="exact"/>
        <w:rPr>
          <w:sz w:val="20"/>
          <w:szCs w:val="20"/>
          <w:color w:val="auto"/>
        </w:rPr>
      </w:pPr>
    </w:p>
    <w:p>
      <w:pPr>
        <w:jc w:val="both"/>
        <w:ind w:left="120" w:right="52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9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also may be made available under the provisions of an applicable treaty or agreement to the tax authorities of the country in which the Non-U.S. Holder resides or is established. Non-U.S. Holders should consult their tax advisors regarding the possibility of and procedure for obtaining a refund or a credit against their U.S. federal income tax liability, if any.</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Tax on Payments Made to Foreign Accounts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proposed Treasury Regulations, FATCA withholding on payments of gross proceeds has been eliminated. Taxpayers generally may rely on these proposed Treasury Regulations until final Treasury Regulations are issued.</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58"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REGARDING THE U.S. FEDERAL, STATE, AND LOCAL AND NON-U.S. INCOME AND NON-INCOME TAX CONSEQUENCES OF THE PURCHASE, OWNERSHIP, AND DISPOSITION OF OUR COMMON STOCK IN THEIR PARTICULAR CIRCUMSTANCES, INCLUDING INFORMATION REPORTING REQUIREMENTS, THE IMPACT OF ANY APPLICABLE TAX TREATIES, AND THE IMPACT OF ANY POTENTIAL CHANGE IN APPLICABLE LAW.</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20"/>
          </w:cols>
          <w:pgMar w:left="320" w:top="455"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Leerink Partners LLC, Citigroup Global Markets Inc.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securities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3"/>
                <w:szCs w:val="13"/>
                <w:color w:val="auto"/>
              </w:rPr>
            </w:pP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5"/>
                <w:szCs w:val="15"/>
                <w:color w:val="auto"/>
              </w:rPr>
            </w:pP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Leerink Partners LLC</w:t>
            </w: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86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and Pre-Funded Warrants sold under the underwriting agreement if any of the shares and Pre-Funded Warrants are purchased. If an underwriter defaults, the underwriting agreement provides that the purchase commitments of the non-defaulting underwriters may be increased or the underwriting agreement may be terminated. 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and Pre-Funded Warrants, subject to prior sale, when, as and if issued to and accepted by them, subject to approval of legal matters by their counsel, including the validity of the shares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and Pre-Funded Warrants to the public at the initial public offering price set forth on the cover page of this prospectus supplement and to dealers at that price less a concession not in excess of $        per share or Pre-Funded Warrant. After the initial offering of the shares and Pre-Funded Warrants, the public offering price, concession or any other term of this offering may be changed by the representatives.</w:t>
      </w:r>
    </w:p>
    <w:p>
      <w:pPr>
        <w:spacing w:after="0" w:line="180" w:lineRule="exact"/>
        <w:rPr>
          <w:sz w:val="20"/>
          <w:szCs w:val="20"/>
          <w:color w:val="auto"/>
        </w:rPr>
      </w:pPr>
    </w:p>
    <w:p>
      <w:pPr>
        <w:jc w:val="both"/>
        <w:ind w:left="120" w:right="740"/>
        <w:spacing w:after="0" w:line="312" w:lineRule="auto"/>
        <w:rPr>
          <w:sz w:val="20"/>
          <w:szCs w:val="20"/>
          <w:color w:val="auto"/>
        </w:rPr>
      </w:pPr>
      <w:r>
        <w:rPr>
          <w:rFonts w:ascii="Times New Roman" w:cs="Times New Roman" w:eastAsia="Times New Roman" w:hAnsi="Times New Roman"/>
          <w:sz w:val="17"/>
          <w:szCs w:val="17"/>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Without</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 Full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500" w:type="dxa"/>
            <w:vAlign w:val="bottom"/>
            <w:gridSpan w:val="3"/>
            <w:vMerge w:val="continue"/>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center"/>
              <w:ind w:right="42"/>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1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1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2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S-28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 We also have agreed to reimburse the underwriters for up to $50,000 for their FINRA counsel fee. In accordance with FINRA Rule 5110, this reimbursed fee is deemed underwriting compensation for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and certain of our other existing security holders have agreed not to sell or transfer any of our common stock or securities convertible into or exchangeable or exercisable for our common stock, for 90 days after the date of this prospectus supplement without first obtaining the written consent of Leerink Partners LLC, Citigroup Global Markets Inc. and Guggenheim Securities, LLC on behalf of the underwriters. We have agreed not to sell or transfer any of our common stock or securities convertible into or exchangeable or exercisable for our common stock, for 60 days after the date of this prospectus supplement without first obtaining the written consent of Leerink Partners LLC, Citigroup Global Markets Inc. and Guggenheim Securities, LLC on behalf of the underwriters. Specifically, we and these other persons have agreed, with certain limited exceptions, not to directly or indirectly:</w:t>
      </w:r>
    </w:p>
    <w:p>
      <w:pPr>
        <w:spacing w:after="0" w:line="9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offers to purchase or for us and effect any short sale of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submit or file a registration statement related to our common stock;</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derivative or other agreement or any transaction that transfers, in whole or in part, the economic consequence of ownership of any of our common stock, whether any such swap, agreement or transaction is to be settled by delivery of shares or other securities, in cash or otherwise;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lock-up provisions apply to our common stock and to securities convertible into or exchangeable or exercisable for our common stock. They also apply to our common stock owned now or acquired later by the person executing the lock-up agreement or for which the person executing the lock-up agreement later acquires the power of disposition.</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lock-up provisions that apply to our executive officers, directors and certain of our existing securityholders are subject to certain exceptions, including: (i) the transfer of securities as gifts, by will or intestate succession, to family members, to a trust for the benefit of the securityholder or its family members, by operation of law, to a charitable trust or if the securityholder is a trust, to the beneficiary of such trust; (ii) transfers to us in to satisfy tax withholding obligations in connection with the vesting or exercise of equity awards, pursuant to the net exercise or cashless exercise of equity awards or upon the death, disability or termination of an executive officer;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hanging="4"/>
        <w:spacing w:after="0" w:line="276" w:lineRule="auto"/>
        <w:tabs>
          <w:tab w:leader="none" w:pos="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to limited partners, members or stockholders, transactions relating to securities acquired in the offering or in the open market after the closing of the offering; (iv) transactions relating to securities acquired in this offering or in open market transactions after the closing of this offering;</w:t>
      </w:r>
    </w:p>
    <w:p>
      <w:pPr>
        <w:ind w:left="120" w:hanging="4"/>
        <w:spacing w:after="0" w:line="265" w:lineRule="auto"/>
        <w:tabs>
          <w:tab w:leader="none" w:pos="3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pursuant to a change of control of us; (vi) the transfer to a business entity wholly owned by the securityholder and/or its family members, to affiliates or investment fund or manager controlling or under common control with the securityholder; and (vii) in the case of one of our existing securityholders, pledges of securities as collateral pursuant to a bona fide margin loan (including any subsequent transfer upon foreclosure under any such pledge); provided that, in the case of transfers or distributions pursuant to clauses (i), (ii), (iii), (iv) or (vi), no public disclosure or filing is required or voluntarily made (other than in certain cases where reports under Section 13 or 16 of the Exchange Act may be permitted if the report clearly indicates in footnotes or otherwise discloses the nature of the transfer, as applicable); and provided further that, in the case of clauses (i), (iii), (vi) and</w:t>
      </w:r>
    </w:p>
    <w:p>
      <w:pPr>
        <w:ind w:left="120" w:right="40" w:hanging="4"/>
        <w:spacing w:after="0" w:line="260" w:lineRule="auto"/>
        <w:tabs>
          <w:tab w:leader="none" w:pos="4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subsequent transfer upon foreclosure under any such pledge) that, each resulting transferee of securities agrees to be bound by the same lock-up restrictions.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Until the distribution of the securities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76"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to purchase additional shares.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w:t>
      </w:r>
    </w:p>
    <w:p>
      <w:pPr>
        <w:spacing w:after="0" w:line="18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Guggenheim Securities, LLC is the sales agent under the Sales Agreement, pursuant to which we may offer and sell up to an aggregate of $50.0 million of shares of our common stock from time to time in “at-the-market” offerings.</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70"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6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“FMSA”),</w:t>
      </w:r>
    </w:p>
    <w:p>
      <w:pPr>
        <w:spacing w:after="0" w:line="223" w:lineRule="exact"/>
        <w:rPr>
          <w:sz w:val="20"/>
          <w:szCs w:val="20"/>
          <w:color w:val="auto"/>
        </w:rPr>
      </w:pPr>
    </w:p>
    <w:p>
      <w:pPr>
        <w:ind w:left="120" w:righ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in this prospectus supplement will be passed upon for us by Goodwin Procter LLP. Certain legal matters will be passed upon for the underwriters by Cooley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supplement or the accompanying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9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14, 2023;</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filed with the SEC on </w:t>
      </w:r>
      <w:hyperlink r:id="rId53">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2022 from our Definitive Proxy Statement on </w:t>
      </w:r>
      <w:hyperlink r:id="rId5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11, 2023;</w:t>
      </w:r>
    </w:p>
    <w:p>
      <w:pPr>
        <w:spacing w:after="0" w:line="9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6" w:lineRule="auto"/>
        <w:tabs>
          <w:tab w:leader="none" w:pos="1080" w:val="left"/>
        </w:tabs>
        <w:numPr>
          <w:ilvl w:val="0"/>
          <w:numId w:val="25"/>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May 15,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June 1,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July 17,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July 25,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August 14,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October 3,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 xml:space="preserve">November 14, 2023 </w:t>
        </w:r>
      </w:hyperlink>
      <w:hyperlink r:id="rId58">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other than any portions thereof deemed furnished and not filed); and</w:t>
      </w:r>
    </w:p>
    <w:p>
      <w:pPr>
        <w:spacing w:after="0" w:line="81"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w:t>
      </w:r>
      <w:hyperlink r:id="rId6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2022.</w:t>
      </w:r>
    </w:p>
    <w:p>
      <w:pPr>
        <w:spacing w:after="0" w:line="176" w:lineRule="exact"/>
        <w:rPr>
          <w:rFonts w:ascii="Times New Roman" w:cs="Times New Roman" w:eastAsia="Times New Roman" w:hAnsi="Times New Roman"/>
          <w:sz w:val="18"/>
          <w:szCs w:val="18"/>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w:t>
      </w:r>
    </w:p>
    <w:p>
      <w:pPr>
        <w:spacing w:after="0" w:line="187" w:lineRule="exact"/>
        <w:rPr>
          <w:rFonts w:ascii="Times New Roman" w:cs="Times New Roman" w:eastAsia="Times New Roman" w:hAnsi="Times New Roman"/>
          <w:sz w:val="18"/>
          <w:szCs w:val="18"/>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w:t>
      </w:r>
    </w:p>
    <w:p>
      <w:pPr>
        <w:spacing w:after="0" w:line="183" w:lineRule="exact"/>
        <w:rPr>
          <w:rFonts w:ascii="Times New Roman" w:cs="Times New Roman" w:eastAsia="Times New Roman" w:hAnsi="Times New Roman"/>
          <w:sz w:val="18"/>
          <w:szCs w:val="18"/>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and the accompanying prospectus, by requesting them in writing or by telephone at:</w:t>
      </w:r>
    </w:p>
    <w:p>
      <w:pPr>
        <w:spacing w:after="0" w:line="17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rFonts w:ascii="Times New Roman" w:cs="Times New Roman" w:eastAsia="Times New Roman" w:hAnsi="Times New Roman"/>
          <w:sz w:val="18"/>
          <w:szCs w:val="18"/>
          <w:color w:val="auto"/>
        </w:rPr>
      </w:pPr>
    </w:p>
    <w:p>
      <w:pPr>
        <w:ind w:left="5500" w:hanging="435"/>
        <w:spacing w:after="0"/>
        <w:tabs>
          <w:tab w:leader="none" w:pos="5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182245</wp:posOffset>
            </wp:positionV>
            <wp:extent cx="2614295" cy="986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7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7 OF THIS PROSPECTUS AND ANY SIMILAR SECTION CONTAINED IN THE APPLICABLE PROSPECTUS SUPPLEMENT CONCERNING FACTORS YOU SHOULD CONSIDER BEFORE INVESTING IN OUR SECURITIES.</w:t>
      </w:r>
    </w:p>
    <w:p>
      <w:pPr>
        <w:spacing w:after="0" w:line="18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November 9, 2022, the last reported sale price of our common stock on the Nasdaq Global Market was $2.96 per share.</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21, 2022.</w:t>
      </w:r>
    </w:p>
    <w:p>
      <w:pPr>
        <w:sectPr>
          <w:pgSz w:w="11900" w:h="16838" w:orient="portrait"/>
          <w:cols w:equalWidth="0" w:num="1">
            <w:col w:w="11100"/>
          </w:cols>
          <w:pgMar w:left="320" w:top="455" w:right="4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2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24"/>
                <w:szCs w:val="24"/>
                <w:color w:val="auto"/>
              </w:rPr>
            </w:pPr>
          </w:p>
        </w:tc>
        <w:tc>
          <w:tcPr>
            <w:tcW w:w="482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2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ABOUT LARIMAR</w:t>
            </w:r>
          </w:p>
        </w:tc>
        <w:tc>
          <w:tcPr>
            <w:tcW w:w="712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0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12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20" w:type="dxa"/>
            <w:vAlign w:val="bottom"/>
          </w:tcPr>
          <w:p>
            <w:pPr>
              <w:spacing w:after="0"/>
              <w:rPr>
                <w:sz w:val="24"/>
                <w:szCs w:val="24"/>
                <w:color w:val="auto"/>
              </w:rPr>
            </w:pPr>
          </w:p>
        </w:tc>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60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2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9"/>
          </w:tcPr>
          <w:p>
            <w:pPr>
              <w:spacing w:after="0"/>
              <w:rPr>
                <w:sz w:val="24"/>
                <w:szCs w:val="24"/>
                <w:color w:val="auto"/>
              </w:rPr>
            </w:pPr>
          </w:p>
        </w:tc>
        <w:tc>
          <w:tcPr>
            <w:tcW w:w="474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24"/>
                <w:szCs w:val="24"/>
                <w:color w:val="auto"/>
              </w:rPr>
            </w:pPr>
          </w:p>
        </w:tc>
        <w:tc>
          <w:tcPr>
            <w:tcW w:w="658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from time to time, offer and sell, either individually or in combination, in one or more offerings, up to a total dollar amount of $200,000,000 of any combination of the securities described in this prospectus.</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9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When we refer to “Larimar,” “we,” “our,” “us” and the “Company” in this prospectus,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80"/>
        <w:spacing w:after="0" w:line="224" w:lineRule="auto"/>
        <w:rPr>
          <w:sz w:val="20"/>
          <w:szCs w:val="20"/>
          <w:color w:val="auto"/>
        </w:rPr>
      </w:pPr>
      <w:r>
        <w:rPr>
          <w:rFonts w:ascii="Times New Roman" w:cs="Times New Roman" w:eastAsia="Times New Roman" w:hAnsi="Times New Roman"/>
          <w:sz w:val="18"/>
          <w:szCs w:val="18"/>
          <w:color w:val="auto"/>
        </w:rPr>
        <w:t xml:space="preserve">Solely for convenience, tradenames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tradenames.</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0"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77">
        <w:r>
          <w:rPr>
            <w:rFonts w:ascii="Times New Roman" w:cs="Times New Roman" w:eastAsia="Times New Roman" w:hAnsi="Times New Roman"/>
            <w:sz w:val="18"/>
            <w:szCs w:val="18"/>
            <w:u w:val="single" w:color="auto"/>
            <w:color w:val="0000EE"/>
          </w:rPr>
          <w:t>March 25,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filed with the SEC on </w:t>
      </w:r>
      <w:hyperlink r:id="rId78">
        <w:r>
          <w:rPr>
            <w:rFonts w:ascii="Times New Roman" w:cs="Times New Roman" w:eastAsia="Times New Roman" w:hAnsi="Times New Roman"/>
            <w:sz w:val="18"/>
            <w:szCs w:val="18"/>
            <w:u w:val="single" w:color="auto"/>
            <w:color w:val="0000EE"/>
          </w:rPr>
          <w:t>May 12,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 xml:space="preserve">August 11,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0">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7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from our Definitive Proxy Statement on </w:t>
      </w:r>
      <w:hyperlink r:id="rId8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April 12, 2022;</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7"/>
        </w:numPr>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12, 2022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hyperlink>
      <w:hyperlink r:id="rId83">
        <w:r>
          <w:rPr>
            <w:rFonts w:ascii="Times New Roman" w:cs="Times New Roman" w:eastAsia="Times New Roman" w:hAnsi="Times New Roman"/>
            <w:sz w:val="18"/>
            <w:szCs w:val="18"/>
            <w:u w:val="single" w:color="auto"/>
            <w:color w:val="0000EE"/>
          </w:rPr>
          <w:t>both filings</w:t>
        </w:r>
      </w:hyperlink>
      <w:hyperlink r:id="rId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August 11, 2022</w:t>
        </w:r>
      </w:hyperlink>
      <w:hyperlink r:id="rId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5">
        <w:r>
          <w:rPr>
            <w:rFonts w:ascii="Times New Roman" w:cs="Times New Roman" w:eastAsia="Times New Roman" w:hAnsi="Times New Roman"/>
            <w:sz w:val="18"/>
            <w:szCs w:val="18"/>
            <w:u w:val="single" w:color="auto"/>
            <w:color w:val="0000EE"/>
          </w:rPr>
          <w:t xml:space="preserve">September 14, 2022 </w:t>
        </w:r>
      </w:hyperlink>
      <w:hyperlink r:id="rId82">
        <w:r>
          <w:rPr>
            <w:rFonts w:ascii="Times New Roman" w:cs="Times New Roman" w:eastAsia="Times New Roman" w:hAnsi="Times New Roman"/>
            <w:sz w:val="18"/>
            <w:szCs w:val="18"/>
            <w:color w:val="000000"/>
          </w:rPr>
          <w:t>(</w:t>
        </w:r>
      </w:hyperlink>
      <w:hyperlink r:id="rId86">
        <w:r>
          <w:rPr>
            <w:rFonts w:ascii="Times New Roman" w:cs="Times New Roman" w:eastAsia="Times New Roman" w:hAnsi="Times New Roman"/>
            <w:sz w:val="18"/>
            <w:szCs w:val="18"/>
            <w:u w:val="single" w:color="auto"/>
            <w:color w:val="0000EE"/>
          </w:rPr>
          <w:t>both filings</w:t>
        </w:r>
      </w:hyperlink>
      <w:hyperlink r:id="rId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7">
        <w:r>
          <w:rPr>
            <w:rFonts w:ascii="Times New Roman" w:cs="Times New Roman" w:eastAsia="Times New Roman" w:hAnsi="Times New Roman"/>
            <w:sz w:val="18"/>
            <w:szCs w:val="18"/>
            <w:u w:val="single" w:color="auto"/>
            <w:color w:val="0000EE"/>
          </w:rPr>
          <w:t xml:space="preserve">October 20, 2022 </w:t>
        </w:r>
      </w:hyperlink>
      <w:hyperlink r:id="rId8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8">
        <w:r>
          <w:rPr>
            <w:rFonts w:ascii="Times New Roman" w:cs="Times New Roman" w:eastAsia="Times New Roman" w:hAnsi="Times New Roman"/>
            <w:sz w:val="18"/>
            <w:szCs w:val="18"/>
            <w:u w:val="single" w:color="auto"/>
            <w:color w:val="0000EE"/>
          </w:rPr>
          <w:t xml:space="preserve">November 10, 2022 </w:t>
        </w:r>
      </w:hyperlink>
      <w:hyperlink r:id="rId82">
        <w:r>
          <w:rPr>
            <w:rFonts w:ascii="Times New Roman" w:cs="Times New Roman" w:eastAsia="Times New Roman" w:hAnsi="Times New Roman"/>
            <w:sz w:val="18"/>
            <w:szCs w:val="18"/>
            <w:color w:val="000000"/>
          </w:rPr>
          <w:t xml:space="preserve">(in each case </w:t>
        </w:r>
      </w:hyperlink>
      <w:r>
        <w:rPr>
          <w:rFonts w:ascii="Times New Roman" w:cs="Times New Roman" w:eastAsia="Times New Roman" w:hAnsi="Times New Roman"/>
          <w:sz w:val="18"/>
          <w:szCs w:val="18"/>
          <w:color w:val="0000EE"/>
        </w:rPr>
        <w:t xml:space="preserve">other </w:t>
      </w:r>
      <w:r>
        <w:rPr>
          <w:rFonts w:ascii="Times New Roman" w:cs="Times New Roman" w:eastAsia="Times New Roman" w:hAnsi="Times New Roman"/>
          <w:sz w:val="18"/>
          <w:szCs w:val="18"/>
          <w:color w:val="000000"/>
        </w:rPr>
        <w:t>than any portions thereof deemed furnished and not filed); and</w:t>
      </w:r>
    </w:p>
    <w:p>
      <w:pPr>
        <w:spacing w:after="0" w:line="81"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Exhibit 4.2 to our Annual Report on </w:t>
      </w:r>
      <w:hyperlink r:id="rId7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76"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w:t>
      </w:r>
    </w:p>
    <w:p>
      <w:pPr>
        <w:spacing w:after="0" w:line="1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94" w:lineRule="exact"/>
        <w:rPr>
          <w:sz w:val="20"/>
          <w:szCs w:val="20"/>
          <w:color w:val="auto"/>
        </w:rPr>
      </w:pPr>
    </w:p>
    <w:p>
      <w:pPr>
        <w:jc w:val="both"/>
        <w:ind w:left="1080" w:right="1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engage with, and satisfactorily respond to, requests from the U.S. Food and Drug Administration, or FDA, for further information and data regarding the CTI-1601 clinical trial, including the FDA’s review of data from cohort 1 of the Phase 2 dose exploration trial, and the FDA’s agreement to allow us to perform additional cohorts and/or initiate other clinical trials for CTI-1601 and the timing and outcomes of such interactions;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FDA, European Medicines Agency, or EMA, and other comparable regulatory authorities for marketing approval for CTI-1601 or any other product candidate that we may develop in the future and unexpected costs that may result therefrom;</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(including the impact of other clinical trials of competitive products), delays as a result of clinical</w:t>
      </w:r>
    </w:p>
    <w:p>
      <w:pPr>
        <w:spacing w:after="0" w:line="27" w:lineRule="exact"/>
        <w:rPr>
          <w:rFonts w:ascii="Times New Roman" w:cs="Times New Roman" w:eastAsia="Times New Roman" w:hAnsi="Times New Roman"/>
          <w:sz w:val="18"/>
          <w:szCs w:val="18"/>
          <w:color w:val="auto"/>
        </w:rPr>
      </w:pPr>
    </w:p>
    <w:p>
      <w:pPr>
        <w:ind w:left="10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non-clinical results and FDA’s request for additional studies, changes in clinical protocols, regulatory restrictions, including additional clinical holds, and milestones for CTI-1601, including those associated with COVID-19 and the efforts to mitigate it;</w:t>
      </w:r>
    </w:p>
    <w:p>
      <w:pPr>
        <w:spacing w:after="0" w:line="86"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debt securities;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312"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45" w:lineRule="exact"/>
        <w:rPr>
          <w:rFonts w:ascii="Times New Roman" w:cs="Times New Roman" w:eastAsia="Times New Roman" w:hAnsi="Times New Roman"/>
          <w:sz w:val="17"/>
          <w:szCs w:val="17"/>
          <w:color w:val="auto"/>
        </w:rPr>
      </w:pPr>
    </w:p>
    <w:p>
      <w:pPr>
        <w:ind w:left="1080" w:right="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therapies and products including those that are currently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upon which we depend, including third-party contract research organizations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vendors and to identify and contract with alternate or secondary key vendors;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unforeseen emergencies and other outbreaks of communicable diseases, including the</w:t>
      </w:r>
    </w:p>
    <w:p>
      <w:pPr>
        <w:spacing w:after="0" w:line="27" w:lineRule="exact"/>
        <w:rPr>
          <w:rFonts w:ascii="Times New Roman" w:cs="Times New Roman" w:eastAsia="Times New Roman" w:hAnsi="Times New Roman"/>
          <w:sz w:val="18"/>
          <w:szCs w:val="18"/>
          <w:color w:val="auto"/>
        </w:rPr>
      </w:pPr>
    </w:p>
    <w:p>
      <w:pPr>
        <w:ind w:left="108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COVID-19 pandemic and the efforts to mitigate it, and geopolitical turmoil could disrupt our operations, the operations of third parties on which we rely or the operations of regulatory agencies we interact with in the development of CTI-1601; and</w:t>
      </w:r>
    </w:p>
    <w:p>
      <w:pPr>
        <w:spacing w:after="0" w:line="86"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LARIMAR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completed two Phase 1 clinical trials in patients with Friedreich’s ataxia. We have received an orphan drug designation, fast track designation and rare pediatric disease designation, from the U.S. Food and Drug Administration, or FDA, for CTI-1601. In addition, we received orphan drug designation for CTI-1601 from the European Commission and a Priority Medicines designation from the European Medicines Agency, or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cell penetrating peptide technology platform, which enables a therapeutic molecule to cross a cell membrane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4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its subsidiary.</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5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43,269,200 shares have been issued and are outstanding as of November 9, 2022,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the Board, out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that 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November 9, 2022,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$2.96 per share. As of November 9, 2022, we had approximately 24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8"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Meetings of Stockholders</w:t>
      </w:r>
      <w:r>
        <w:rPr>
          <w:rFonts w:ascii="Times New Roman" w:cs="Times New Roman" w:eastAsia="Times New Roman" w:hAnsi="Times New Roman"/>
          <w:sz w:val="17"/>
          <w:szCs w:val="17"/>
          <w:color w:val="auto"/>
        </w:rPr>
        <w:t>. Our Charter and Bylaws provide that only a majority of the members of our Board then in office may call special meetings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53"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203, a business combination between a corporation and an interested stockholder is prohibited unless it satisfies one of the following conditions:</w:t>
      </w:r>
    </w:p>
    <w:p>
      <w:pPr>
        <w:spacing w:after="0" w:line="142"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used in this section only, “Larimar,” “we,” “our” or “us” refer to Larimar Therapeutics, Inc., excluding our subsidiary,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issued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if any,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(as defined below) described in this prospectus or in the indenture with respect to the debt securities and any change in the acceleration provisions described in this prospectus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United States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2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360" w:firstLine="536"/>
        <w:spacing w:after="0" w:line="578" w:lineRule="auto"/>
        <w:tabs>
          <w:tab w:leader="none" w:pos="109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Larimar;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w:t>
      </w:r>
    </w:p>
    <w:p>
      <w:pPr>
        <w:spacing w:after="0" w:line="1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5540" w:right="2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terms of the indenture (insofar as it applies to any series of debt securities issued under the indenture) or the terms of the debt securities of any series issued under the indenture to the description thereof contained in any prospectus, prospectus supplement or similar offering document used in connection with the initial offering and sale of such debt securities to investors in a public or private offering;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right="2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specified in any applicable prospectus supplement, we may issue subscription rights consisting of one or more debt securities, shares of preferred stock, shares of common stock or any combination of such securities.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20"/>
          </w:cols>
          <w:pgMar w:left="320" w:top="455" w:right="7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2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 we will prepare and deliver certificates for such securities in exchange for beneficial interests in the global securities.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and/or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8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Any common stock or preferred stock will be listed on the Nasdaq Global Market, but any other securities may or may not be listed on a national securities exchange.</w:t>
      </w:r>
    </w:p>
    <w:p>
      <w:pPr>
        <w:spacing w:after="0" w:line="162"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 or otherwise affect the price of the securities. This may include over-allotments or short sales of the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Troutman Pepper Hamilton Sanders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643890</wp:posOffset>
            </wp:positionV>
            <wp:extent cx="2614295" cy="986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ectPr>
          <w:pgSz w:w="11900" w:h="16838" w:orient="portrait"/>
          <w:cols w:equalWidth="0" w:num="1">
            <w:col w:w="10960"/>
          </w:cols>
          <w:pgMar w:left="320" w:top="45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         Shares of Common Stock</w:t>
      </w:r>
    </w:p>
    <w:p>
      <w:pPr>
        <w:spacing w:after="0" w:line="200" w:lineRule="exact"/>
        <w:rPr>
          <w:sz w:val="20"/>
          <w:szCs w:val="20"/>
          <w:color w:val="auto"/>
        </w:rPr>
      </w:pPr>
    </w:p>
    <w:p>
      <w:pPr>
        <w:spacing w:after="0" w:line="2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5"/>
          <w:szCs w:val="25"/>
          <w:b w:val="1"/>
          <w:bCs w:val="1"/>
          <w:color w:val="auto"/>
        </w:rPr>
        <w:t>Pre-Funded Warrants to Purchase up 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1550035</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356235</wp:posOffset>
            </wp:positionV>
            <wp:extent cx="1474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309" w:lineRule="exact"/>
        <w:rPr>
          <w:sz w:val="20"/>
          <w:szCs w:val="20"/>
          <w:color w:val="auto"/>
        </w:rPr>
      </w:pPr>
    </w:p>
    <w:p>
      <w:pPr>
        <w:ind w:left="980"/>
        <w:spacing w:after="0"/>
        <w:tabs>
          <w:tab w:leader="none" w:pos="5360" w:val="left"/>
          <w:tab w:leader="none" w:pos="8100" w:val="left"/>
        </w:tabs>
        <w:rPr>
          <w:sz w:val="20"/>
          <w:szCs w:val="20"/>
          <w:color w:val="auto"/>
        </w:rPr>
      </w:pPr>
      <w:r>
        <w:rPr>
          <w:rFonts w:ascii="Times New Roman" w:cs="Times New Roman" w:eastAsia="Times New Roman" w:hAnsi="Times New Roman"/>
          <w:sz w:val="29"/>
          <w:szCs w:val="29"/>
          <w:b w:val="1"/>
          <w:bCs w:val="1"/>
          <w:color w:val="auto"/>
        </w:rPr>
        <w:t>Leerink Partners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8"/>
          <w:szCs w:val="28"/>
          <w:b w:val="1"/>
          <w:bCs w:val="1"/>
          <w:color w:val="auto"/>
        </w:rPr>
        <w:t>Guggenheim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i w:val="1"/>
          <w:iCs w:val="1"/>
          <w:color w:val="auto"/>
        </w:rPr>
        <w:t>Lead Manager</w:t>
      </w:r>
    </w:p>
    <w:p>
      <w:pPr>
        <w:spacing w:after="0" w:line="1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LifeSci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60"/>
      </w:cols>
      <w:pgMar w:left="320" w:top="455"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lvl w:ilvl="1">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lowerRoman"/>
      <w:start w:val="3"/>
    </w:lvl>
  </w:abstractNum>
  <w:abstractNum w:abstractNumId="19">
    <w:nsid w:val="419AC241"/>
    <w:multiLevelType w:val="hybridMultilevel"/>
    <w:lvl w:ilvl="0">
      <w:lvlJc w:val="left"/>
      <w:lvlText w:val="(%1)"/>
      <w:numFmt w:val="lowerRoman"/>
      <w:start w:val="5"/>
    </w:lvl>
  </w:abstractNum>
  <w:abstractNum w:abstractNumId="20">
    <w:nsid w:val="5577F8E1"/>
    <w:multiLevelType w:val="hybridMultilevel"/>
    <w:lvl w:ilvl="0">
      <w:lvlJc w:val="left"/>
      <w:lvlText w:val="(%1)"/>
      <w:numFmt w:val="lowerRoman"/>
      <w:start w:val="7"/>
    </w:lvl>
  </w:abstractNum>
  <w:abstractNum w:abstractNumId="21">
    <w:nsid w:val="440BADFC"/>
    <w:multiLevelType w:val="hybridMultilevel"/>
    <w:lvl w:ilvl="0">
      <w:lvlJc w:val="left"/>
      <w:lvlText w:val="%1."/>
      <w:numFmt w:val="upperLetter"/>
      <w:start w:val="1"/>
    </w:lvl>
  </w:abstractNum>
  <w:abstractNum w:abstractNumId="22">
    <w:nsid w:val="5072367"/>
    <w:multiLevelType w:val="hybridMultilevel"/>
    <w:lvl w:ilvl="0">
      <w:lvlJc w:val="left"/>
      <w:lvlText w:val="%1."/>
      <w:numFmt w:val="upperLetter"/>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844"/>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844"/>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7"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jpe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jpe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52" Type="http://schemas.openxmlformats.org/officeDocument/2006/relationships/hyperlink" Target="http://www.sec.gov/ix?doc=/Archives/edgar/data/1374690/000095017023007855/lrmr-20221231.htm" TargetMode="External"/><Relationship Id="rId53" Type="http://schemas.openxmlformats.org/officeDocument/2006/relationships/hyperlink" Target="http://www.sec.gov/ix?doc=/Archives/edgar/data/1374690/000095017023022187/lrmr-20230331.htm" TargetMode="External"/><Relationship Id="rId54" Type="http://schemas.openxmlformats.org/officeDocument/2006/relationships/hyperlink" Target="http://www.sec.gov/ix?doc=/Archives/edgar/data/1374690/000095017023041293/lrmr-20230630.htm" TargetMode="External"/><Relationship Id="rId55" Type="http://schemas.openxmlformats.org/officeDocument/2006/relationships/hyperlink" Target="http://www.sec.gov/ix?doc=/Archives/edgar/data/1374690/000095017023063517/lrmr-20230930.htm" TargetMode="External"/><Relationship Id="rId56" Type="http://schemas.openxmlformats.org/officeDocument/2006/relationships/hyperlink" Target="http://www.sec.gov/Archives/edgar/data/1374690/000119312523097798/d433893ddef14a.htm" TargetMode="External"/><Relationship Id="rId58" Type="http://schemas.openxmlformats.org/officeDocument/2006/relationships/hyperlink" Target="http://www.sec.gov/ix?doc=/Archives/edgar/data/1374690/000095017023021747/lrmr-20230509.htm" TargetMode="External"/><Relationship Id="rId59" Type="http://schemas.openxmlformats.org/officeDocument/2006/relationships/hyperlink" Target="http://www.sec.gov/ix?doc=/Archives/edgar/data/1374690/000095017023021953/lrmr-20230515.htm" TargetMode="External"/><Relationship Id="rId60" Type="http://schemas.openxmlformats.org/officeDocument/2006/relationships/hyperlink" Target="http://www.sec.gov/ix?doc=/Archives/edgar/data/1374690/000095017023025691/lrmr-20230601.htm" TargetMode="External"/><Relationship Id="rId61" Type="http://schemas.openxmlformats.org/officeDocument/2006/relationships/hyperlink" Target="http://www.sec.gov/ix?doc=/Archives/edgar/data/1374690/000095017023033196/lrmr-20230717.htm" TargetMode="External"/><Relationship Id="rId62" Type="http://schemas.openxmlformats.org/officeDocument/2006/relationships/hyperlink" Target="http://www.sec.gov/ix?doc=/Archives/edgar/data/1374690/000095017023034217/lrmr-20230725.htm" TargetMode="External"/><Relationship Id="rId63" Type="http://schemas.openxmlformats.org/officeDocument/2006/relationships/hyperlink" Target="http://www.sec.gov/ix?doc=/Archives/edgar/data/1374690/000095017023042070/lrmr-20230814.htm" TargetMode="External"/><Relationship Id="rId64" Type="http://schemas.openxmlformats.org/officeDocument/2006/relationships/hyperlink" Target="http://www.sec.gov/ix?doc=/Archives/edgar/data/1374690/000119312523249962/d517569d8k.htm" TargetMode="External"/><Relationship Id="rId65" Type="http://schemas.openxmlformats.org/officeDocument/2006/relationships/hyperlink" Target="http://www.sec.gov/ix?doc=/Archives/edgar/data/1374690/000095017023063347/lrmr-20231113.htm" TargetMode="External"/><Relationship Id="rId66" Type="http://schemas.openxmlformats.org/officeDocument/2006/relationships/hyperlink" Target="http://www.sec.gov/ix?doc=/Archives/edgar/data/1374690/000095017024013563/lrmr-20240212.htm" TargetMode="External"/><Relationship Id="rId67" Type="http://schemas.openxmlformats.org/officeDocument/2006/relationships/hyperlink" Target="http://www.sec.gov/Archives/edgar/data/1374690/000119312514240257/d745277d8a12b.htm" TargetMode="External"/><Relationship Id="rId68" Type="http://schemas.openxmlformats.org/officeDocument/2006/relationships/hyperlink" Target="http://www.sec.gov/Archives/edgar/data/1374690/000156459021011003/lrmr-ex42_407.htm" TargetMode="External"/><Relationship Id="rId77" Type="http://schemas.openxmlformats.org/officeDocument/2006/relationships/hyperlink" Target="http://www.sec.gov/ix?doc=/Archives/edgar/data/1374690/000095017022004637/lrmr-20211231.htm" TargetMode="External"/><Relationship Id="rId78" Type="http://schemas.openxmlformats.org/officeDocument/2006/relationships/hyperlink" Target="http://www.sec.gov/ix?doc=/Archives/edgar/data/1374690/000095017022009590/lrmr-20220331.htm" TargetMode="External"/><Relationship Id="rId79" Type="http://schemas.openxmlformats.org/officeDocument/2006/relationships/hyperlink" Target="http://www.sec.gov/ix?doc=/Archives/edgar/data/1374690/000095017022016917/lrmr-20220630.htm" TargetMode="External"/><Relationship Id="rId80" Type="http://schemas.openxmlformats.org/officeDocument/2006/relationships/hyperlink" Target="http://www.sec.gov/ix?doc=/Archives/edgar/data/0001374690/000095017022024223/lrmr-20220930.htm" TargetMode="External"/><Relationship Id="rId81" Type="http://schemas.openxmlformats.org/officeDocument/2006/relationships/hyperlink" Target="http://www.sec.gov/Archives/edgar/data/1374690/000119312522102289/d301043ddef14a.htm" TargetMode="External"/><Relationship Id="rId82" Type="http://schemas.openxmlformats.org/officeDocument/2006/relationships/hyperlink" Target="http://www.sec.gov/ix?doc=/Archives/edgar/data/1374690/000119312522148057/d348537d8k.htm" TargetMode="External"/><Relationship Id="rId83" Type="http://schemas.openxmlformats.org/officeDocument/2006/relationships/hyperlink" Target="http://www.sec.gov/ix?doc=/Archives/edgar/data/1374690/000119312522148643/d309018d8k.htm" TargetMode="External"/><Relationship Id="rId84" Type="http://schemas.openxmlformats.org/officeDocument/2006/relationships/hyperlink" Target="http://www.sec.gov/ix?doc=/Archives/edgar/data/1374690/000095017022016881/lrmr-20220811.htm" TargetMode="External"/><Relationship Id="rId85" Type="http://schemas.openxmlformats.org/officeDocument/2006/relationships/hyperlink" Target="http://www.sec.gov/ix?doc=/Archives/edgar/data/1374690/000119312522244248/d392070d8k.htm" TargetMode="External"/><Relationship Id="rId86" Type="http://schemas.openxmlformats.org/officeDocument/2006/relationships/hyperlink" Target="http://www.sec.gov/ix?doc=/Archives/edgar/data/1374690/000119312522244317/d404741d8k.htm" TargetMode="External"/><Relationship Id="rId87" Type="http://schemas.openxmlformats.org/officeDocument/2006/relationships/hyperlink" Target="http://www.sec.gov/ix?doc=/Archives/edgar/data/1374690/000095017022019769/lrmr-20221020.htm" TargetMode="External"/><Relationship Id="rId88" Type="http://schemas.openxmlformats.org/officeDocument/2006/relationships/hyperlink" Target="http://www.sec.gov/ix?doc=/Archives/edgar/data/0001374690/000095017022024139/lrmr-202211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2024-02-13T16:29:46Z</dcterms:created>
  <dcterms:modified xsi:type="dcterms:W3CDTF">2024-02-13T16:29:46Z</dcterms:modified>
</cp:coreProperties>
</file>