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324485</wp:posOffset>
            </wp:positionH>
            <wp:positionV relativeFrom="page">
              <wp:posOffset>342900</wp:posOffset>
            </wp:positionV>
            <wp:extent cx="6894830" cy="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94830" cy="9525"/>
                    </a:xfrm>
                    <a:prstGeom prst="rect">
                      <a:avLst/>
                    </a:prstGeom>
                    <a:noFill/>
                  </pic:spPr>
                </pic:pic>
              </a:graphicData>
            </a:graphic>
          </wp:anchor>
        </w:drawing>
        <w:drawing>
          <wp:anchor simplePos="0" relativeHeight="251657728" behindDoc="1" locked="0" layoutInCell="0" allowOverlap="1">
            <wp:simplePos x="0" y="0"/>
            <wp:positionH relativeFrom="page">
              <wp:posOffset>324485</wp:posOffset>
            </wp:positionH>
            <wp:positionV relativeFrom="page">
              <wp:posOffset>361950</wp:posOffset>
            </wp:positionV>
            <wp:extent cx="6894830" cy="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4830" cy="9525"/>
                    </a:xfrm>
                    <a:prstGeom prst="rect">
                      <a:avLst/>
                    </a:prstGeom>
                    <a:noFill/>
                  </pic:spPr>
                </pic:pic>
              </a:graphicData>
            </a:graphic>
          </wp:anchor>
        </w:drawing>
        <w:t xml:space="preserve">UNITED </w:t>
      </w:r>
      <w:r>
        <w:rPr>
          <w:rFonts w:ascii="Times New Roman" w:cs="Times New Roman" w:eastAsia="Times New Roman" w:hAnsi="Times New Roman"/>
          <w:sz w:val="8"/>
          <w:szCs w:val="8"/>
          <w:color w:val="auto"/>
          <w:vertAlign w:val="superscript"/>
        </w:rPr>
        <w:t>t</w:t>
      </w:r>
      <w:r>
        <w:rPr>
          <w:rFonts w:ascii="Times New Roman" w:cs="Times New Roman" w:eastAsia="Times New Roman" w:hAnsi="Times New Roman"/>
          <w:sz w:val="32"/>
          <w:szCs w:val="32"/>
          <w:b w:val="1"/>
          <w:bCs w:val="1"/>
          <w:color w:val="auto"/>
        </w:rPr>
        <w:t xml:space="preserve">  STATES</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8" w:lineRule="exact"/>
        <w:rPr>
          <w:sz w:val="24"/>
          <w:szCs w:val="24"/>
          <w:color w:val="auto"/>
        </w:rPr>
      </w:pPr>
    </w:p>
    <w:p>
      <w:pPr>
        <w:ind w:left="3880" w:right="2540" w:hanging="3870"/>
        <w:spacing w:after="0" w:line="294" w:lineRule="auto"/>
        <w:tabs>
          <w:tab w:leader="none" w:pos="429" w:val="left"/>
        </w:tabs>
        <w:numPr>
          <w:ilvl w:val="0"/>
          <w:numId w:val="1"/>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2022</w:t>
      </w:r>
    </w:p>
    <w:p>
      <w:pPr>
        <w:spacing w:after="0" w:line="1" w:lineRule="exact"/>
        <w:rPr>
          <w:rFonts w:ascii="Arial" w:cs="Arial" w:eastAsia="Arial" w:hAnsi="Arial"/>
          <w:sz w:val="16"/>
          <w:szCs w:val="16"/>
          <w:color w:val="auto"/>
        </w:rPr>
      </w:pPr>
    </w:p>
    <w:p>
      <w:pPr>
        <w:ind w:left="5320"/>
        <w:spacing w:after="0"/>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or</w:t>
      </w:r>
    </w:p>
    <w:p>
      <w:pPr>
        <w:spacing w:after="0" w:line="45" w:lineRule="exact"/>
        <w:rPr>
          <w:sz w:val="24"/>
          <w:szCs w:val="24"/>
          <w:color w:val="auto"/>
        </w:rPr>
      </w:pPr>
    </w:p>
    <w:p>
      <w:pPr>
        <w:ind w:left="440" w:hanging="430"/>
        <w:spacing w:after="0"/>
        <w:tabs>
          <w:tab w:leader="none" w:pos="440" w:val="left"/>
        </w:tabs>
        <w:numPr>
          <w:ilvl w:val="0"/>
          <w:numId w:val="2"/>
        </w:numPr>
        <w:rPr>
          <w:rFonts w:ascii="Arial" w:cs="Arial" w:eastAsia="Arial" w:hAnsi="Arial"/>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transition period from to</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001-36510</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LARIMAR THERAPEUTICS, INC.</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360" w:type="dxa"/>
            <w:vAlign w:val="bottom"/>
          </w:tcPr>
          <w:p>
            <w:pPr>
              <w:jc w:val="center"/>
              <w:ind w:left="901"/>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00" w:type="dxa"/>
            <w:vAlign w:val="bottom"/>
          </w:tcPr>
          <w:p>
            <w:pPr>
              <w:spacing w:after="0"/>
              <w:rPr>
                <w:sz w:val="16"/>
                <w:szCs w:val="16"/>
                <w:color w:val="auto"/>
              </w:rPr>
            </w:pPr>
          </w:p>
        </w:tc>
        <w:tc>
          <w:tcPr>
            <w:tcW w:w="3640" w:type="dxa"/>
            <w:vAlign w:val="bottom"/>
          </w:tcPr>
          <w:p>
            <w:pPr>
              <w:jc w:val="right"/>
              <w:ind w:right="2200"/>
              <w:spacing w:after="0"/>
              <w:rPr>
                <w:sz w:val="20"/>
                <w:szCs w:val="20"/>
                <w:color w:val="auto"/>
              </w:rPr>
            </w:pPr>
            <w:r>
              <w:rPr>
                <w:rFonts w:ascii="Times New Roman" w:cs="Times New Roman" w:eastAsia="Times New Roman" w:hAnsi="Times New Roman"/>
                <w:sz w:val="16"/>
                <w:szCs w:val="16"/>
                <w:b w:val="1"/>
                <w:bCs w:val="1"/>
                <w:color w:val="auto"/>
              </w:rPr>
              <w:t>20-3857670</w:t>
            </w:r>
          </w:p>
        </w:tc>
        <w:tc>
          <w:tcPr>
            <w:tcW w:w="0" w:type="dxa"/>
            <w:vAlign w:val="bottom"/>
          </w:tcPr>
          <w:p>
            <w:pPr>
              <w:spacing w:after="0"/>
              <w:rPr>
                <w:sz w:val="1"/>
                <w:szCs w:val="1"/>
                <w:color w:val="auto"/>
              </w:rPr>
            </w:pPr>
          </w:p>
        </w:tc>
      </w:tr>
      <w:tr>
        <w:trPr>
          <w:trHeight w:val="184"/>
        </w:trPr>
        <w:tc>
          <w:tcPr>
            <w:tcW w:w="4360" w:type="dxa"/>
            <w:vAlign w:val="bottom"/>
          </w:tcPr>
          <w:p>
            <w:pPr>
              <w:jc w:val="center"/>
              <w:ind w:left="901"/>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2800" w:type="dxa"/>
            <w:vAlign w:val="bottom"/>
          </w:tcPr>
          <w:p>
            <w:pPr>
              <w:spacing w:after="0"/>
              <w:rPr>
                <w:sz w:val="15"/>
                <w:szCs w:val="15"/>
                <w:color w:val="auto"/>
              </w:rPr>
            </w:pPr>
          </w:p>
        </w:tc>
        <w:tc>
          <w:tcPr>
            <w:tcW w:w="3640" w:type="dxa"/>
            <w:vAlign w:val="bottom"/>
          </w:tcPr>
          <w:p>
            <w:pPr>
              <w:jc w:val="center"/>
              <w:ind w:right="1620"/>
              <w:spacing w:after="0"/>
              <w:rPr>
                <w:sz w:val="20"/>
                <w:szCs w:val="20"/>
                <w:color w:val="auto"/>
              </w:rPr>
            </w:pPr>
            <w:r>
              <w:rPr>
                <w:rFonts w:ascii="Times New Roman" w:cs="Times New Roman" w:eastAsia="Times New Roman" w:hAnsi="Times New Roman"/>
                <w:sz w:val="16"/>
                <w:szCs w:val="16"/>
                <w:color w:val="auto"/>
              </w:rPr>
              <w:t>(I.R.S. Employer</w:t>
            </w:r>
          </w:p>
        </w:tc>
        <w:tc>
          <w:tcPr>
            <w:tcW w:w="0" w:type="dxa"/>
            <w:vAlign w:val="bottom"/>
          </w:tcPr>
          <w:p>
            <w:pPr>
              <w:spacing w:after="0"/>
              <w:rPr>
                <w:sz w:val="1"/>
                <w:szCs w:val="1"/>
                <w:color w:val="auto"/>
              </w:rPr>
            </w:pPr>
          </w:p>
        </w:tc>
      </w:tr>
      <w:tr>
        <w:trPr>
          <w:trHeight w:val="214"/>
        </w:trPr>
        <w:tc>
          <w:tcPr>
            <w:tcW w:w="4360" w:type="dxa"/>
            <w:vAlign w:val="bottom"/>
          </w:tcPr>
          <w:p>
            <w:pPr>
              <w:jc w:val="center"/>
              <w:ind w:left="901"/>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2800" w:type="dxa"/>
            <w:vAlign w:val="bottom"/>
          </w:tcPr>
          <w:p>
            <w:pPr>
              <w:spacing w:after="0"/>
              <w:rPr>
                <w:sz w:val="18"/>
                <w:szCs w:val="18"/>
                <w:color w:val="auto"/>
              </w:rPr>
            </w:pPr>
          </w:p>
        </w:tc>
        <w:tc>
          <w:tcPr>
            <w:tcW w:w="3640" w:type="dxa"/>
            <w:vAlign w:val="bottom"/>
          </w:tcPr>
          <w:p>
            <w:pPr>
              <w:jc w:val="center"/>
              <w:ind w:right="1620"/>
              <w:spacing w:after="0"/>
              <w:rPr>
                <w:sz w:val="20"/>
                <w:szCs w:val="20"/>
                <w:color w:val="auto"/>
              </w:rPr>
            </w:pPr>
            <w:r>
              <w:rPr>
                <w:rFonts w:ascii="Times New Roman" w:cs="Times New Roman" w:eastAsia="Times New Roman" w:hAnsi="Times New Roman"/>
                <w:sz w:val="16"/>
                <w:szCs w:val="16"/>
                <w:color w:val="auto"/>
                <w:w w:val="99"/>
              </w:rPr>
              <w:t>Identification No.)</w:t>
            </w:r>
          </w:p>
        </w:tc>
        <w:tc>
          <w:tcPr>
            <w:tcW w:w="0" w:type="dxa"/>
            <w:vAlign w:val="bottom"/>
          </w:tcPr>
          <w:p>
            <w:pPr>
              <w:spacing w:after="0"/>
              <w:rPr>
                <w:sz w:val="1"/>
                <w:szCs w:val="1"/>
                <w:color w:val="auto"/>
              </w:rPr>
            </w:pPr>
          </w:p>
        </w:tc>
      </w:tr>
      <w:tr>
        <w:trPr>
          <w:trHeight w:val="266"/>
        </w:trPr>
        <w:tc>
          <w:tcPr>
            <w:tcW w:w="4360" w:type="dxa"/>
            <w:vAlign w:val="bottom"/>
          </w:tcPr>
          <w:p>
            <w:pPr>
              <w:jc w:val="center"/>
              <w:ind w:left="901"/>
              <w:spacing w:after="0"/>
              <w:rPr>
                <w:sz w:val="20"/>
                <w:szCs w:val="20"/>
                <w:color w:val="auto"/>
              </w:rPr>
            </w:pPr>
            <w:r>
              <w:rPr>
                <w:rFonts w:ascii="Times New Roman" w:cs="Times New Roman" w:eastAsia="Times New Roman" w:hAnsi="Times New Roman"/>
                <w:sz w:val="16"/>
                <w:szCs w:val="16"/>
                <w:b w:val="1"/>
                <w:bCs w:val="1"/>
                <w:color w:val="auto"/>
                <w:w w:val="99"/>
              </w:rPr>
              <w:t>Three Bala Plaza East, Suite 506</w:t>
            </w:r>
          </w:p>
        </w:tc>
        <w:tc>
          <w:tcPr>
            <w:tcW w:w="28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4360" w:type="dxa"/>
            <w:vAlign w:val="bottom"/>
          </w:tcPr>
          <w:p>
            <w:pPr>
              <w:jc w:val="center"/>
              <w:ind w:left="901"/>
              <w:spacing w:after="0"/>
              <w:rPr>
                <w:sz w:val="20"/>
                <w:szCs w:val="20"/>
                <w:color w:val="auto"/>
              </w:rPr>
            </w:pPr>
            <w:r>
              <w:rPr>
                <w:rFonts w:ascii="Times New Roman" w:cs="Times New Roman" w:eastAsia="Times New Roman" w:hAnsi="Times New Roman"/>
                <w:sz w:val="16"/>
                <w:szCs w:val="16"/>
                <w:b w:val="1"/>
                <w:bCs w:val="1"/>
                <w:color w:val="auto"/>
                <w:w w:val="99"/>
              </w:rPr>
              <w:t>Bala Cynwyd, Pennsylvania</w:t>
            </w:r>
          </w:p>
        </w:tc>
        <w:tc>
          <w:tcPr>
            <w:tcW w:w="2800" w:type="dxa"/>
            <w:vAlign w:val="bottom"/>
          </w:tcPr>
          <w:p>
            <w:pPr>
              <w:spacing w:after="0"/>
              <w:rPr>
                <w:sz w:val="16"/>
                <w:szCs w:val="16"/>
                <w:color w:val="auto"/>
              </w:rPr>
            </w:pPr>
          </w:p>
        </w:tc>
        <w:tc>
          <w:tcPr>
            <w:tcW w:w="3640" w:type="dxa"/>
            <w:vAlign w:val="bottom"/>
          </w:tcPr>
          <w:p>
            <w:pPr>
              <w:jc w:val="right"/>
              <w:ind w:right="2400"/>
              <w:spacing w:after="0"/>
              <w:rPr>
                <w:sz w:val="20"/>
                <w:szCs w:val="20"/>
                <w:color w:val="auto"/>
              </w:rPr>
            </w:pPr>
            <w:r>
              <w:rPr>
                <w:rFonts w:ascii="Times New Roman" w:cs="Times New Roman" w:eastAsia="Times New Roman" w:hAnsi="Times New Roman"/>
                <w:sz w:val="16"/>
                <w:szCs w:val="16"/>
                <w:b w:val="1"/>
                <w:bCs w:val="1"/>
                <w:color w:val="auto"/>
              </w:rPr>
              <w:t>19004</w:t>
            </w:r>
          </w:p>
        </w:tc>
        <w:tc>
          <w:tcPr>
            <w:tcW w:w="0" w:type="dxa"/>
            <w:vAlign w:val="bottom"/>
          </w:tcPr>
          <w:p>
            <w:pPr>
              <w:spacing w:after="0"/>
              <w:rPr>
                <w:sz w:val="1"/>
                <w:szCs w:val="1"/>
                <w:color w:val="auto"/>
              </w:rPr>
            </w:pPr>
          </w:p>
        </w:tc>
      </w:tr>
      <w:tr>
        <w:trPr>
          <w:trHeight w:val="214"/>
        </w:trPr>
        <w:tc>
          <w:tcPr>
            <w:tcW w:w="4360" w:type="dxa"/>
            <w:vAlign w:val="bottom"/>
          </w:tcPr>
          <w:p>
            <w:pPr>
              <w:jc w:val="center"/>
              <w:ind w:left="901"/>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2800" w:type="dxa"/>
            <w:vAlign w:val="bottom"/>
            <w:vMerge w:val="restart"/>
          </w:tcPr>
          <w:p>
            <w:pPr>
              <w:jc w:val="center"/>
              <w:ind w:right="637"/>
              <w:spacing w:after="0"/>
              <w:rPr>
                <w:sz w:val="20"/>
                <w:szCs w:val="20"/>
                <w:color w:val="auto"/>
              </w:rPr>
            </w:pPr>
            <w:r>
              <w:rPr>
                <w:rFonts w:ascii="Times New Roman" w:cs="Times New Roman" w:eastAsia="Times New Roman" w:hAnsi="Times New Roman"/>
                <w:sz w:val="18"/>
                <w:szCs w:val="18"/>
                <w:b w:val="1"/>
                <w:bCs w:val="1"/>
                <w:color w:val="auto"/>
                <w:w w:val="99"/>
              </w:rPr>
              <w:t>(844) 511-9056</w:t>
            </w:r>
          </w:p>
        </w:tc>
        <w:tc>
          <w:tcPr>
            <w:tcW w:w="3640" w:type="dxa"/>
            <w:vAlign w:val="bottom"/>
          </w:tcPr>
          <w:p>
            <w:pPr>
              <w:jc w:val="center"/>
              <w:ind w:right="1620"/>
              <w:spacing w:after="0"/>
              <w:rPr>
                <w:sz w:val="20"/>
                <w:szCs w:val="20"/>
                <w:color w:val="auto"/>
              </w:rPr>
            </w:pPr>
            <w:r>
              <w:rPr>
                <w:rFonts w:ascii="Times New Roman" w:cs="Times New Roman" w:eastAsia="Times New Roman" w:hAnsi="Times New Roman"/>
                <w:sz w:val="16"/>
                <w:szCs w:val="16"/>
                <w:color w:val="auto"/>
                <w:w w:val="98"/>
              </w:rPr>
              <w:t>(Zip Code)</w:t>
            </w:r>
          </w:p>
        </w:tc>
        <w:tc>
          <w:tcPr>
            <w:tcW w:w="0" w:type="dxa"/>
            <w:vAlign w:val="bottom"/>
          </w:tcPr>
          <w:p>
            <w:pPr>
              <w:spacing w:after="0"/>
              <w:rPr>
                <w:sz w:val="1"/>
                <w:szCs w:val="1"/>
                <w:color w:val="auto"/>
              </w:rPr>
            </w:pPr>
          </w:p>
        </w:tc>
      </w:tr>
      <w:tr>
        <w:trPr>
          <w:trHeight w:val="177"/>
        </w:trPr>
        <w:tc>
          <w:tcPr>
            <w:tcW w:w="4360" w:type="dxa"/>
            <w:vAlign w:val="bottom"/>
          </w:tcPr>
          <w:p>
            <w:pPr>
              <w:spacing w:after="0"/>
              <w:rPr>
                <w:sz w:val="15"/>
                <w:szCs w:val="15"/>
                <w:color w:val="auto"/>
              </w:rPr>
            </w:pPr>
          </w:p>
        </w:tc>
        <w:tc>
          <w:tcPr>
            <w:tcW w:w="2800" w:type="dxa"/>
            <w:vAlign w:val="bottom"/>
            <w:vMerge w:val="continue"/>
          </w:tcPr>
          <w:p>
            <w:pPr>
              <w:spacing w:after="0"/>
              <w:rPr>
                <w:sz w:val="15"/>
                <w:szCs w:val="15"/>
                <w:color w:val="auto"/>
              </w:rPr>
            </w:pPr>
          </w:p>
        </w:tc>
        <w:tc>
          <w:tcPr>
            <w:tcW w:w="3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160" w:type="dxa"/>
            <w:vAlign w:val="bottom"/>
            <w:gridSpan w:val="2"/>
          </w:tcPr>
          <w:p>
            <w:pPr>
              <w:jc w:val="center"/>
              <w:ind w:left="3561"/>
              <w:spacing w:after="0"/>
              <w:rPr>
                <w:sz w:val="20"/>
                <w:szCs w:val="20"/>
                <w:color w:val="auto"/>
              </w:rPr>
            </w:pPr>
            <w:r>
              <w:rPr>
                <w:rFonts w:ascii="Times New Roman" w:cs="Times New Roman" w:eastAsia="Times New Roman" w:hAnsi="Times New Roman"/>
                <w:sz w:val="16"/>
                <w:szCs w:val="16"/>
                <w:color w:val="auto"/>
                <w:w w:val="99"/>
              </w:rPr>
              <w:t>(Registrant’s telephone number, including area code)</w:t>
            </w: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36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4360" w:type="dxa"/>
            <w:vAlign w:val="bottom"/>
            <w:tcBorders>
              <w:bottom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Title of each class</w:t>
            </w:r>
          </w:p>
        </w:tc>
        <w:tc>
          <w:tcPr>
            <w:tcW w:w="2800" w:type="dxa"/>
            <w:vAlign w:val="bottom"/>
            <w:tcBorders>
              <w:bottom w:val="single" w:sz="8" w:color="auto"/>
            </w:tcBorders>
          </w:tcPr>
          <w:p>
            <w:pPr>
              <w:jc w:val="center"/>
              <w:ind w:right="637"/>
              <w:spacing w:after="0" w:line="179" w:lineRule="exact"/>
              <w:rPr>
                <w:sz w:val="20"/>
                <w:szCs w:val="20"/>
                <w:color w:val="auto"/>
              </w:rPr>
            </w:pPr>
            <w:r>
              <w:rPr>
                <w:rFonts w:ascii="Times New Roman" w:cs="Times New Roman" w:eastAsia="Times New Roman" w:hAnsi="Times New Roman"/>
                <w:sz w:val="16"/>
                <w:szCs w:val="16"/>
                <w:color w:val="auto"/>
                <w:w w:val="98"/>
              </w:rPr>
              <w:t>Trading Symbol(s)</w:t>
            </w:r>
          </w:p>
        </w:tc>
        <w:tc>
          <w:tcPr>
            <w:tcW w:w="3640" w:type="dxa"/>
            <w:vAlign w:val="bottom"/>
            <w:tcBorders>
              <w:bottom w:val="single" w:sz="8" w:color="auto"/>
            </w:tcBorders>
          </w:tcPr>
          <w:p>
            <w:pPr>
              <w:jc w:val="center"/>
              <w:ind w:right="600"/>
              <w:spacing w:after="0" w:line="179" w:lineRule="exact"/>
              <w:rPr>
                <w:sz w:val="20"/>
                <w:szCs w:val="20"/>
                <w:color w:val="auto"/>
              </w:rPr>
            </w:pPr>
            <w:r>
              <w:rPr>
                <w:rFonts w:ascii="Times New Roman" w:cs="Times New Roman" w:eastAsia="Times New Roman" w:hAnsi="Times New Roman"/>
                <w:sz w:val="16"/>
                <w:szCs w:val="16"/>
                <w:color w:val="auto"/>
              </w:rPr>
              <w:t>Name of each exchange on which registered</w:t>
            </w:r>
          </w:p>
        </w:tc>
        <w:tc>
          <w:tcPr>
            <w:tcW w:w="0" w:type="dxa"/>
            <w:vAlign w:val="bottom"/>
          </w:tcPr>
          <w:p>
            <w:pPr>
              <w:spacing w:after="0"/>
              <w:rPr>
                <w:sz w:val="1"/>
                <w:szCs w:val="1"/>
                <w:color w:val="auto"/>
              </w:rPr>
            </w:pPr>
          </w:p>
        </w:tc>
      </w:tr>
      <w:tr>
        <w:trPr>
          <w:trHeight w:val="174"/>
        </w:trPr>
        <w:tc>
          <w:tcPr>
            <w:tcW w:w="43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Common Stock, par value $0.001 per share</w:t>
            </w:r>
          </w:p>
        </w:tc>
        <w:tc>
          <w:tcPr>
            <w:tcW w:w="2800" w:type="dxa"/>
            <w:vAlign w:val="bottom"/>
          </w:tcPr>
          <w:p>
            <w:pPr>
              <w:jc w:val="center"/>
              <w:ind w:right="637"/>
              <w:spacing w:after="0" w:line="175" w:lineRule="exact"/>
              <w:rPr>
                <w:sz w:val="20"/>
                <w:szCs w:val="20"/>
                <w:color w:val="auto"/>
              </w:rPr>
            </w:pPr>
            <w:r>
              <w:rPr>
                <w:rFonts w:ascii="Times New Roman" w:cs="Times New Roman" w:eastAsia="Times New Roman" w:hAnsi="Times New Roman"/>
                <w:sz w:val="16"/>
                <w:szCs w:val="16"/>
                <w:color w:val="auto"/>
                <w:w w:val="96"/>
              </w:rPr>
              <w:t>LRMR</w:t>
            </w:r>
          </w:p>
        </w:tc>
        <w:tc>
          <w:tcPr>
            <w:tcW w:w="3640" w:type="dxa"/>
            <w:vAlign w:val="bottom"/>
          </w:tcPr>
          <w:p>
            <w:pPr>
              <w:jc w:val="center"/>
              <w:ind w:right="620"/>
              <w:spacing w:after="0" w:line="175" w:lineRule="exact"/>
              <w:rPr>
                <w:sz w:val="20"/>
                <w:szCs w:val="20"/>
                <w:color w:val="auto"/>
              </w:rPr>
            </w:pPr>
            <w:r>
              <w:rPr>
                <w:rFonts w:ascii="Times New Roman" w:cs="Times New Roman" w:eastAsia="Times New Roman" w:hAnsi="Times New Roman"/>
                <w:sz w:val="16"/>
                <w:szCs w:val="16"/>
                <w:color w:val="auto"/>
                <w:w w:val="99"/>
              </w:rPr>
              <w:t>The Nasdaq Global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-248920</wp:posOffset>
            </wp:positionV>
            <wp:extent cx="6857365" cy="262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7365" cy="262255"/>
                    </a:xfrm>
                    <a:prstGeom prst="rect">
                      <a:avLst/>
                    </a:prstGeom>
                    <a:noFill/>
                  </pic:spPr>
                </pic:pic>
              </a:graphicData>
            </a:graphic>
          </wp:anchor>
        </w:drawing>
      </w:r>
    </w:p>
    <w:p>
      <w:pPr>
        <w:ind w:right="2240"/>
        <w:spacing w:after="0" w:line="282"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Yes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No Indicate by check mark if the registrant is not required to file reports pursuant to Section 13 or Section 15(d) of the Act.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Yes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ind w:right="80"/>
        <w:spacing w:after="0" w:line="22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w:t>
      </w:r>
    </w:p>
    <w:p>
      <w:pPr>
        <w:ind w:right="100"/>
        <w:spacing w:after="0" w:line="236"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w:t>
      </w:r>
    </w:p>
    <w:tbl>
      <w:tblPr>
        <w:tblLayout w:type="fixed"/>
        <w:tblInd w:w="0" w:type="dxa"/>
        <w:tblCellMar>
          <w:top w:w="0" w:type="dxa"/>
          <w:left w:w="0" w:type="dxa"/>
          <w:bottom w:w="0" w:type="dxa"/>
          <w:right w:w="0" w:type="dxa"/>
        </w:tblCellMar>
      </w:tblPr>
      <w:tr>
        <w:trPr>
          <w:trHeight w:val="167"/>
        </w:trPr>
        <w:tc>
          <w:tcPr>
            <w:tcW w:w="10520" w:type="dxa"/>
            <w:vAlign w:val="bottom"/>
            <w:gridSpan w:val="3"/>
          </w:tcPr>
          <w:p>
            <w:pPr>
              <w:spacing w:after="0" w:line="168" w:lineRule="exact"/>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w w:val="99"/>
              </w:rPr>
              <w:t>growth company. See the definitions of “large accelerated filer,” “accelerated filer,” “smaller reporting company” and “emerging growth company” in Rule 12b-2 of the</w:t>
            </w:r>
          </w:p>
        </w:tc>
        <w:tc>
          <w:tcPr>
            <w:tcW w:w="0" w:type="dxa"/>
            <w:vAlign w:val="bottom"/>
          </w:tcPr>
          <w:p>
            <w:pPr>
              <w:spacing w:after="0"/>
              <w:rPr>
                <w:sz w:val="1"/>
                <w:szCs w:val="1"/>
                <w:color w:val="auto"/>
              </w:rPr>
            </w:pPr>
          </w:p>
        </w:tc>
      </w:tr>
      <w:tr>
        <w:trPr>
          <w:trHeight w:val="21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Exchange Act.</w:t>
            </w:r>
          </w:p>
        </w:tc>
        <w:tc>
          <w:tcPr>
            <w:tcW w:w="3140" w:type="dxa"/>
            <w:vAlign w:val="bottom"/>
            <w:vMerge w:val="restart"/>
          </w:tcPr>
          <w:p>
            <w:pPr>
              <w:jc w:val="right"/>
              <w:ind w:right="2080"/>
              <w:spacing w:after="0"/>
              <w:rPr>
                <w:sz w:val="20"/>
                <w:szCs w:val="20"/>
                <w:color w:val="auto"/>
              </w:rPr>
            </w:pPr>
            <w:r>
              <w:rPr>
                <w:rFonts w:ascii="Arial" w:cs="Arial" w:eastAsia="Arial" w:hAnsi="Arial"/>
                <w:sz w:val="16"/>
                <w:szCs w:val="16"/>
                <w:color w:val="auto"/>
              </w:rPr>
              <w:t>$</w:t>
            </w:r>
          </w:p>
        </w:tc>
        <w:tc>
          <w:tcPr>
            <w:tcW w:w="5120" w:type="dxa"/>
            <w:vAlign w:val="bottom"/>
          </w:tcPr>
          <w:p>
            <w:pPr>
              <w:spacing w:after="0"/>
              <w:rPr>
                <w:sz w:val="18"/>
                <w:szCs w:val="18"/>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3"/>
        </w:trPr>
        <w:tc>
          <w:tcPr>
            <w:tcW w:w="226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Large accelerated filer</w:t>
            </w:r>
          </w:p>
        </w:tc>
        <w:tc>
          <w:tcPr>
            <w:tcW w:w="3140" w:type="dxa"/>
            <w:vAlign w:val="bottom"/>
            <w:vMerge w:val="continue"/>
          </w:tcPr>
          <w:p>
            <w:pPr>
              <w:spacing w:after="0"/>
              <w:rPr>
                <w:sz w:val="15"/>
                <w:szCs w:val="15"/>
                <w:color w:val="auto"/>
              </w:rPr>
            </w:pPr>
          </w:p>
        </w:tc>
        <w:tc>
          <w:tcPr>
            <w:tcW w:w="5120" w:type="dxa"/>
            <w:vAlign w:val="bottom"/>
          </w:tcPr>
          <w:p>
            <w:pPr>
              <w:ind w:left="2160"/>
              <w:spacing w:after="0" w:line="173" w:lineRule="exact"/>
              <w:rPr>
                <w:sz w:val="20"/>
                <w:szCs w:val="20"/>
                <w:color w:val="auto"/>
              </w:rPr>
            </w:pPr>
            <w:r>
              <w:rPr>
                <w:rFonts w:ascii="Times New Roman" w:cs="Times New Roman" w:eastAsia="Times New Roman" w:hAnsi="Times New Roman"/>
                <w:sz w:val="16"/>
                <w:szCs w:val="16"/>
                <w:color w:val="auto"/>
              </w:rPr>
              <w:t>Accelerated filer</w:t>
            </w:r>
          </w:p>
        </w:tc>
        <w:tc>
          <w:tcPr>
            <w:tcW w:w="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2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140" w:type="dxa"/>
            <w:vAlign w:val="bottom"/>
          </w:tcPr>
          <w:p>
            <w:pPr>
              <w:jc w:val="right"/>
              <w:ind w:right="2080"/>
              <w:spacing w:after="0"/>
              <w:rPr>
                <w:sz w:val="20"/>
                <w:szCs w:val="20"/>
                <w:color w:val="auto"/>
              </w:rPr>
            </w:pPr>
            <w:r>
              <w:rPr>
                <w:rFonts w:ascii="Arial" w:cs="Arial" w:eastAsia="Arial" w:hAnsi="Arial"/>
                <w:sz w:val="16"/>
                <w:szCs w:val="16"/>
                <w:color w:val="auto"/>
              </w:rPr>
              <w:t>%</w:t>
            </w:r>
          </w:p>
        </w:tc>
        <w:tc>
          <w:tcPr>
            <w:tcW w:w="512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5120" w:type="dxa"/>
            <w:vAlign w:val="bottom"/>
          </w:tcPr>
          <w:p>
            <w:pPr>
              <w:ind w:left="2160"/>
              <w:spacing w:after="0"/>
              <w:rPr>
                <w:sz w:val="20"/>
                <w:szCs w:val="20"/>
                <w:color w:val="auto"/>
              </w:rPr>
            </w:pPr>
            <w:r>
              <w:rPr>
                <w:rFonts w:ascii="Times New Roman" w:cs="Times New Roman" w:eastAsia="Times New Roman" w:hAnsi="Times New Roman"/>
                <w:sz w:val="16"/>
                <w:szCs w:val="16"/>
                <w:color w:val="auto"/>
              </w:rPr>
              <w:t>Emerging growth company</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ind w:right="260"/>
        <w:spacing w:after="0" w:line="236"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w:t>
      </w:r>
    </w:p>
    <w:p>
      <w:pPr>
        <w:spacing w:after="0" w:line="1" w:lineRule="exact"/>
        <w:rPr>
          <w:sz w:val="24"/>
          <w:szCs w:val="24"/>
          <w:color w:val="auto"/>
        </w:rPr>
      </w:pPr>
    </w:p>
    <w:p>
      <w:pPr>
        <w:ind w:right="40"/>
        <w:spacing w:after="0" w:line="190" w:lineRule="auto"/>
        <w:rPr>
          <w:sz w:val="20"/>
          <w:szCs w:val="20"/>
          <w:color w:val="auto"/>
        </w:rPr>
      </w:pPr>
      <w:r>
        <w:rPr>
          <w:rFonts w:ascii="Times New Roman" w:cs="Times New Roman" w:eastAsia="Times New Roman" w:hAnsi="Times New Roman"/>
          <w:sz w:val="16"/>
          <w:szCs w:val="16"/>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210"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w:cs="Arial" w:eastAsia="Arial" w:hAnsi="Arial"/>
          <w:sz w:val="16"/>
          <w:szCs w:val="16"/>
          <w:color w:val="auto"/>
        </w:rPr>
        <w:t>$</w:t>
      </w:r>
    </w:p>
    <w:p>
      <w:pPr>
        <w:spacing w:after="0" w:line="217" w:lineRule="exact"/>
        <w:rPr>
          <w:sz w:val="24"/>
          <w:szCs w:val="24"/>
          <w:color w:val="auto"/>
        </w:rPr>
      </w:pPr>
    </w:p>
    <w:p>
      <w:pPr>
        <w:ind w:right="20"/>
        <w:spacing w:after="0" w:line="280"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cers during the relevant recovery period pursuant to §240.10D-1(b). </w:t>
      </w:r>
      <w:r>
        <w:rPr>
          <w:rFonts w:ascii="Arial" w:cs="Arial" w:eastAsia="Arial" w:hAnsi="Arial"/>
          <w:sz w:val="16"/>
          <w:szCs w:val="16"/>
          <w:color w:val="auto"/>
        </w:rPr>
        <w:t>$</w:t>
      </w:r>
    </w:p>
    <w:p>
      <w:pPr>
        <w:spacing w:after="0" w:line="6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16"/>
          <w:szCs w:val="16"/>
          <w:color w:val="auto"/>
        </w:rPr>
        <w:t>%</w:t>
      </w:r>
    </w:p>
    <w:p>
      <w:pPr>
        <w:spacing w:after="0" w:line="48" w:lineRule="exact"/>
        <w:rPr>
          <w:sz w:val="24"/>
          <w:szCs w:val="24"/>
          <w:color w:val="auto"/>
        </w:rPr>
      </w:pPr>
    </w:p>
    <w:p>
      <w:pPr>
        <w:ind w:right="200"/>
        <w:spacing w:after="0" w:line="237" w:lineRule="auto"/>
        <w:rPr>
          <w:sz w:val="20"/>
          <w:szCs w:val="20"/>
          <w:color w:val="auto"/>
        </w:rPr>
      </w:pPr>
      <w:r>
        <w:rPr>
          <w:rFonts w:ascii="Times New Roman" w:cs="Times New Roman" w:eastAsia="Times New Roman" w:hAnsi="Times New Roman"/>
          <w:sz w:val="16"/>
          <w:szCs w:val="16"/>
          <w:color w:val="auto"/>
        </w:rPr>
        <w:t>On the last business day of the most recently completed second fiscal quarter, the aggregate market value (based on the closing sale price of its common stock on that date) of the voting and non-voting stock held by non-affiliates of the registrant was $20,607,416.</w:t>
      </w:r>
    </w:p>
    <w:p>
      <w:pPr>
        <w:ind w:right="2160"/>
        <w:spacing w:after="0" w:line="294" w:lineRule="auto"/>
        <w:rPr>
          <w:sz w:val="20"/>
          <w:szCs w:val="20"/>
          <w:color w:val="auto"/>
        </w:rPr>
      </w:pPr>
      <w:r>
        <w:rPr>
          <w:rFonts w:ascii="Times New Roman" w:cs="Times New Roman" w:eastAsia="Times New Roman" w:hAnsi="Times New Roman"/>
          <w:sz w:val="16"/>
          <w:szCs w:val="16"/>
          <w:color w:val="auto"/>
        </w:rPr>
        <w:t xml:space="preserve">As of March 13, 2023, the registrant had 43,269,200 shares of the registrant’s Common Stock, $0.001 par value per share, outstanding. </w:t>
      </w:r>
      <w:r>
        <w:rPr>
          <w:rFonts w:ascii="Times New Roman" w:cs="Times New Roman" w:eastAsia="Times New Roman" w:hAnsi="Times New Roman"/>
          <w:sz w:val="16"/>
          <w:szCs w:val="16"/>
          <w:b w:val="1"/>
          <w:bCs w:val="1"/>
          <w:color w:val="auto"/>
        </w:rPr>
        <w:t>DOCUMENTS INCORPORATED BY REFERENCE</w:t>
      </w:r>
    </w:p>
    <w:p>
      <w:pPr>
        <w:ind w:right="580"/>
        <w:spacing w:after="0" w:line="279" w:lineRule="auto"/>
        <w:rPr>
          <w:sz w:val="20"/>
          <w:szCs w:val="20"/>
          <w:color w:val="auto"/>
        </w:rPr>
      </w:pPr>
      <w:r>
        <w:rPr>
          <w:rFonts w:ascii="Times New Roman" w:cs="Times New Roman" w:eastAsia="Times New Roman" w:hAnsi="Times New Roman"/>
          <w:sz w:val="16"/>
          <w:szCs w:val="16"/>
          <w:color w:val="auto"/>
        </w:rPr>
        <w:t>Part III of this Annual Report on Form 10-K incorporates certain information by reference from the registrant’s proxy statement for the 2023 annual meeting of shareholders to be filed no later than 120 days after the end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33655</wp:posOffset>
            </wp:positionV>
            <wp:extent cx="689483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94830" cy="9525"/>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14605</wp:posOffset>
            </wp:positionV>
            <wp:extent cx="689483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4830" cy="9525"/>
                    </a:xfrm>
                    <a:prstGeom prst="rect">
                      <a:avLst/>
                    </a:prstGeom>
                    <a:noFill/>
                  </pic:spPr>
                </pic:pic>
              </a:graphicData>
            </a:graphic>
          </wp:anchor>
        </w:drawing>
      </w:r>
    </w:p>
    <w:p>
      <w:pPr>
        <w:sectPr>
          <w:pgSz w:w="11880" w:h="15480" w:orient="portrait"/>
          <w:cols w:equalWidth="0" w:num="1">
            <w:col w:w="10800"/>
          </w:cols>
          <w:pgMar w:left="540" w:top="646" w:right="5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1340" w:type="dxa"/>
            <w:vAlign w:val="bottom"/>
          </w:tcPr>
          <w:p>
            <w:pPr>
              <w:spacing w:after="0"/>
              <w:rPr>
                <w:sz w:val="23"/>
                <w:szCs w:val="23"/>
                <w:color w:val="auto"/>
              </w:rPr>
            </w:pPr>
          </w:p>
        </w:tc>
        <w:tc>
          <w:tcPr>
            <w:tcW w:w="8560" w:type="dxa"/>
            <w:vAlign w:val="bottom"/>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900" w:type="dxa"/>
            <w:vAlign w:val="bottom"/>
          </w:tcPr>
          <w:p>
            <w:pPr>
              <w:spacing w:after="0"/>
              <w:rPr>
                <w:sz w:val="23"/>
                <w:szCs w:val="23"/>
                <w:color w:val="auto"/>
              </w:rPr>
            </w:pPr>
          </w:p>
        </w:tc>
      </w:tr>
      <w:tr>
        <w:trPr>
          <w:trHeight w:val="500"/>
        </w:trPr>
        <w:tc>
          <w:tcPr>
            <w:tcW w:w="13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20"/>
                <w:szCs w:val="20"/>
                <w:b w:val="1"/>
                <w:bCs w:val="1"/>
                <w:color w:val="auto"/>
              </w:rPr>
              <w:t>Item No.</w:t>
            </w:r>
          </w:p>
        </w:tc>
        <w:tc>
          <w:tcPr>
            <w:tcW w:w="8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Page No.</w:t>
            </w:r>
          </w:p>
        </w:tc>
      </w:tr>
      <w:tr>
        <w:trPr>
          <w:trHeight w:val="229"/>
        </w:trPr>
        <w:tc>
          <w:tcPr>
            <w:tcW w:w="1340" w:type="dxa"/>
            <w:vAlign w:val="bottom"/>
          </w:tcPr>
          <w:p>
            <w:pPr>
              <w:spacing w:after="0"/>
              <w:rPr>
                <w:sz w:val="19"/>
                <w:szCs w:val="19"/>
                <w:color w:val="auto"/>
              </w:rPr>
            </w:pPr>
          </w:p>
        </w:tc>
        <w:tc>
          <w:tcPr>
            <w:tcW w:w="8560" w:type="dxa"/>
            <w:vAlign w:val="bottom"/>
          </w:tcPr>
          <w:p>
            <w:pPr>
              <w:jc w:val="center"/>
              <w:ind w:right="340"/>
              <w:spacing w:after="0" w:line="229" w:lineRule="exact"/>
              <w:rPr>
                <w:sz w:val="20"/>
                <w:szCs w:val="20"/>
                <w:color w:val="auto"/>
              </w:rPr>
            </w:pPr>
            <w:r>
              <w:rPr>
                <w:rFonts w:ascii="Times New Roman" w:cs="Times New Roman" w:eastAsia="Times New Roman" w:hAnsi="Times New Roman"/>
                <w:sz w:val="20"/>
                <w:szCs w:val="20"/>
                <w:b w:val="1"/>
                <w:bCs w:val="1"/>
                <w:color w:val="auto"/>
              </w:rPr>
              <w:t>PART I</w:t>
            </w:r>
          </w:p>
        </w:tc>
        <w:tc>
          <w:tcPr>
            <w:tcW w:w="900" w:type="dxa"/>
            <w:vAlign w:val="bottom"/>
          </w:tcPr>
          <w:p>
            <w:pPr>
              <w:spacing w:after="0"/>
              <w:rPr>
                <w:sz w:val="19"/>
                <w:szCs w:val="19"/>
                <w:color w:val="auto"/>
              </w:rPr>
            </w:pP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BUSINESS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1A.</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1B.</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UNRESOLVED STAFF COMMENTS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2.</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PROPERTIES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3.</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26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4.</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r>
      <w:tr>
        <w:trPr>
          <w:trHeight w:val="452"/>
        </w:trPr>
        <w:tc>
          <w:tcPr>
            <w:tcW w:w="1340" w:type="dxa"/>
            <w:vAlign w:val="bottom"/>
          </w:tcPr>
          <w:p>
            <w:pPr>
              <w:spacing w:after="0"/>
              <w:rPr>
                <w:sz w:val="24"/>
                <w:szCs w:val="24"/>
                <w:color w:val="auto"/>
              </w:rPr>
            </w:pPr>
          </w:p>
        </w:tc>
        <w:tc>
          <w:tcPr>
            <w:tcW w:w="8560" w:type="dxa"/>
            <w:vAlign w:val="bottom"/>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PART II</w:t>
            </w:r>
          </w:p>
        </w:tc>
        <w:tc>
          <w:tcPr>
            <w:tcW w:w="900" w:type="dxa"/>
            <w:vAlign w:val="bottom"/>
          </w:tcPr>
          <w:p>
            <w:pPr>
              <w:spacing w:after="0"/>
              <w:rPr>
                <w:sz w:val="24"/>
                <w:szCs w:val="24"/>
                <w:color w:val="auto"/>
              </w:rPr>
            </w:pP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5.</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MARKET FOR REGISTRANT’S COMMON EQUITY, RELATED STOCKHOLDER MATTERS</w:t>
            </w:r>
          </w:p>
        </w:tc>
        <w:tc>
          <w:tcPr>
            <w:tcW w:w="900" w:type="dxa"/>
            <w:vAlign w:val="bottom"/>
          </w:tcPr>
          <w:p>
            <w:pPr>
              <w:spacing w:after="0"/>
              <w:rPr>
                <w:sz w:val="19"/>
                <w:szCs w:val="19"/>
                <w:color w:val="auto"/>
              </w:rPr>
            </w:pPr>
          </w:p>
        </w:tc>
      </w:tr>
      <w:tr>
        <w:trPr>
          <w:trHeight w:val="240"/>
        </w:trPr>
        <w:tc>
          <w:tcPr>
            <w:tcW w:w="134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AND ISSUER PURCHASES OF EQUITY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6.</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SELECTED FINANCIAL DATA</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w:t>
            </w: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7.</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MANAGEMENT’S DISCUSSION AND ANALYSIS OF FINANCIAL CONDITION AND RESULTS</w:t>
            </w:r>
          </w:p>
        </w:tc>
        <w:tc>
          <w:tcPr>
            <w:tcW w:w="900" w:type="dxa"/>
            <w:vAlign w:val="bottom"/>
          </w:tcPr>
          <w:p>
            <w:pPr>
              <w:spacing w:after="0"/>
              <w:rPr>
                <w:sz w:val="19"/>
                <w:szCs w:val="19"/>
                <w:color w:val="auto"/>
              </w:rPr>
            </w:pPr>
          </w:p>
        </w:tc>
      </w:tr>
      <w:tr>
        <w:trPr>
          <w:trHeight w:val="240"/>
        </w:trPr>
        <w:tc>
          <w:tcPr>
            <w:tcW w:w="134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7A.</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8.</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STATEMENTS AND SUPPLEMENTARY DATA</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9.</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CHANGES IN AND DISAGREEMENTS WITH ACCOUNTANTS ON ACCOUNTING AND</w:t>
            </w:r>
          </w:p>
        </w:tc>
        <w:tc>
          <w:tcPr>
            <w:tcW w:w="900" w:type="dxa"/>
            <w:vAlign w:val="bottom"/>
          </w:tcPr>
          <w:p>
            <w:pPr>
              <w:spacing w:after="0"/>
              <w:rPr>
                <w:sz w:val="19"/>
                <w:szCs w:val="19"/>
                <w:color w:val="auto"/>
              </w:rPr>
            </w:pPr>
          </w:p>
        </w:tc>
      </w:tr>
      <w:tr>
        <w:trPr>
          <w:trHeight w:val="240"/>
        </w:trPr>
        <w:tc>
          <w:tcPr>
            <w:tcW w:w="134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FINANCIAL DISCLOSURE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9A.</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9B.</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6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9C</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DISCLOSURE REGARDING FOREIGN JURISDICTIONS THAT PREVENT INSPECTIONS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452"/>
        </w:trPr>
        <w:tc>
          <w:tcPr>
            <w:tcW w:w="1340" w:type="dxa"/>
            <w:vAlign w:val="bottom"/>
          </w:tcPr>
          <w:p>
            <w:pPr>
              <w:spacing w:after="0"/>
              <w:rPr>
                <w:sz w:val="24"/>
                <w:szCs w:val="24"/>
                <w:color w:val="auto"/>
              </w:rPr>
            </w:pPr>
          </w:p>
        </w:tc>
        <w:tc>
          <w:tcPr>
            <w:tcW w:w="8560" w:type="dxa"/>
            <w:vAlign w:val="bottom"/>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rPr>
              <w:t>PART III</w:t>
            </w:r>
          </w:p>
        </w:tc>
        <w:tc>
          <w:tcPr>
            <w:tcW w:w="900" w:type="dxa"/>
            <w:vAlign w:val="bottom"/>
          </w:tcPr>
          <w:p>
            <w:pPr>
              <w:spacing w:after="0"/>
              <w:rPr>
                <w:sz w:val="24"/>
                <w:szCs w:val="24"/>
                <w:color w:val="auto"/>
              </w:rPr>
            </w:pP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10.</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DIRECTORS, EXECUTIVE OFFICERS AND CORPORATE GOVERNANCE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11.</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EXECUTIVE COMPENSATION</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12.</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SECURITY OWNERSHIP OF CERTAIN BENEFICIAL OWNERS AND MANAGEMENT AND</w:t>
            </w:r>
          </w:p>
        </w:tc>
        <w:tc>
          <w:tcPr>
            <w:tcW w:w="900" w:type="dxa"/>
            <w:vAlign w:val="bottom"/>
          </w:tcPr>
          <w:p>
            <w:pPr>
              <w:spacing w:after="0"/>
              <w:rPr>
                <w:sz w:val="19"/>
                <w:szCs w:val="19"/>
                <w:color w:val="auto"/>
              </w:rPr>
            </w:pPr>
          </w:p>
        </w:tc>
      </w:tr>
      <w:tr>
        <w:trPr>
          <w:trHeight w:val="240"/>
        </w:trPr>
        <w:tc>
          <w:tcPr>
            <w:tcW w:w="134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RELATED STOCKHOLDER MATTERS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3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13.</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CERTAIN RELATIONSHIPS AND RELATED TRANSACTIONS, AND DIRECTOR</w:t>
            </w:r>
          </w:p>
        </w:tc>
        <w:tc>
          <w:tcPr>
            <w:tcW w:w="900" w:type="dxa"/>
            <w:vAlign w:val="bottom"/>
          </w:tcPr>
          <w:p>
            <w:pPr>
              <w:spacing w:after="0"/>
              <w:rPr>
                <w:sz w:val="19"/>
                <w:szCs w:val="19"/>
                <w:color w:val="auto"/>
              </w:rPr>
            </w:pPr>
          </w:p>
        </w:tc>
      </w:tr>
      <w:tr>
        <w:trPr>
          <w:trHeight w:val="240"/>
        </w:trPr>
        <w:tc>
          <w:tcPr>
            <w:tcW w:w="1340" w:type="dxa"/>
            <w:vAlign w:val="bottom"/>
          </w:tcPr>
          <w:p>
            <w:pPr>
              <w:spacing w:after="0"/>
              <w:rPr>
                <w:sz w:val="20"/>
                <w:szCs w:val="20"/>
                <w:color w:val="auto"/>
              </w:rPr>
            </w:pP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INDEPENDENCE</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6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14.</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PRINCIPAL ACCOUNTING FEES AND SERVICES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452"/>
        </w:trPr>
        <w:tc>
          <w:tcPr>
            <w:tcW w:w="1340" w:type="dxa"/>
            <w:vAlign w:val="bottom"/>
          </w:tcPr>
          <w:p>
            <w:pPr>
              <w:spacing w:after="0"/>
              <w:rPr>
                <w:sz w:val="24"/>
                <w:szCs w:val="24"/>
                <w:color w:val="auto"/>
              </w:rPr>
            </w:pPr>
          </w:p>
        </w:tc>
        <w:tc>
          <w:tcPr>
            <w:tcW w:w="8560" w:type="dxa"/>
            <w:vAlign w:val="bottom"/>
          </w:tcPr>
          <w:p>
            <w:pPr>
              <w:jc w:val="center"/>
              <w:ind w:right="340"/>
              <w:spacing w:after="0"/>
              <w:rPr>
                <w:sz w:val="20"/>
                <w:szCs w:val="20"/>
                <w:color w:val="auto"/>
              </w:rPr>
            </w:pPr>
            <w:r>
              <w:rPr>
                <w:rFonts w:ascii="Times New Roman" w:cs="Times New Roman" w:eastAsia="Times New Roman" w:hAnsi="Times New Roman"/>
                <w:sz w:val="20"/>
                <w:szCs w:val="20"/>
                <w:b w:val="1"/>
                <w:bCs w:val="1"/>
                <w:color w:val="auto"/>
                <w:w w:val="97"/>
              </w:rPr>
              <w:t>PART IV</w:t>
            </w:r>
          </w:p>
        </w:tc>
        <w:tc>
          <w:tcPr>
            <w:tcW w:w="900" w:type="dxa"/>
            <w:vAlign w:val="bottom"/>
          </w:tcPr>
          <w:p>
            <w:pPr>
              <w:spacing w:after="0"/>
              <w:rPr>
                <w:sz w:val="24"/>
                <w:szCs w:val="24"/>
                <w:color w:val="auto"/>
              </w:rPr>
            </w:pPr>
          </w:p>
        </w:tc>
      </w:tr>
      <w:tr>
        <w:trPr>
          <w:trHeight w:val="24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15.</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EXHIBIT AND FINANCIAL STATEMENT SCHEDULES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68"/>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ITEM 16.</w:t>
            </w:r>
          </w:p>
        </w:tc>
        <w:tc>
          <w:tcPr>
            <w:tcW w:w="85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FORM 10-K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480"/>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SIGNATURES</w:t>
            </w:r>
          </w:p>
        </w:tc>
        <w:tc>
          <w:tcPr>
            <w:tcW w:w="8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w:t>
            </w:r>
          </w:p>
        </w:tc>
      </w:tr>
    </w:tbl>
    <w:p>
      <w:pPr>
        <w:sectPr>
          <w:pgSz w:w="11880" w:h="15480" w:orient="portrait"/>
          <w:cols w:equalWidth="0" w:num="1">
            <w:col w:w="10800"/>
          </w:cols>
          <w:pgMar w:left="540" w:top="515" w:right="540"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4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Statements made in this Annual Report on Form 10-K that are not statements of historical or current facts are “forward-looking statements” within the meaning of the Private Securities Litigation Reform Act of 1995. Forward-looking statements discuss our business, operations and financial performance and conditions, as well as our plans, objectives and expectations for our business operations and financial performance and condition.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In addition, statements that “we believe” or similar statements reflect our beliefs and opinions on the relevant subject only. These forward-looking statements, which are subject to risks, uncertainties and assumptions about us, may include projections of our future financial performance, our anticipated growth strategies and anticipated trends in our business.</w:t>
      </w:r>
    </w:p>
    <w:p>
      <w:pPr>
        <w:spacing w:after="0" w:line="86" w:lineRule="exact"/>
        <w:rPr>
          <w:sz w:val="20"/>
          <w:szCs w:val="20"/>
          <w:color w:val="auto"/>
        </w:rPr>
      </w:pPr>
    </w:p>
    <w:p>
      <w:pPr>
        <w:ind w:right="340" w:firstLine="490"/>
        <w:spacing w:after="0" w:line="259" w:lineRule="auto"/>
        <w:rPr>
          <w:sz w:val="20"/>
          <w:szCs w:val="20"/>
          <w:color w:val="auto"/>
        </w:rPr>
      </w:pPr>
      <w:r>
        <w:rPr>
          <w:rFonts w:ascii="Times New Roman" w:cs="Times New Roman" w:eastAsia="Times New Roman" w:hAnsi="Times New Roman"/>
          <w:sz w:val="20"/>
          <w:szCs w:val="20"/>
          <w:color w:val="auto"/>
        </w:rPr>
        <w:t>You should understand that the following important factors could affect our future results and could cause those results or other outcomes to differ materially from those expressed or implied in our forward-looking statements:</w:t>
      </w:r>
    </w:p>
    <w:p>
      <w:pPr>
        <w:spacing w:after="0" w:line="80" w:lineRule="exact"/>
        <w:rPr>
          <w:sz w:val="20"/>
          <w:szCs w:val="20"/>
          <w:color w:val="auto"/>
        </w:rPr>
      </w:pPr>
    </w:p>
    <w:p>
      <w:pPr>
        <w:ind w:left="720" w:hanging="360"/>
        <w:spacing w:after="0" w:line="24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successfully engage with, and satisfactorily respond to, requests from the U.S. Food and Drug Administration ("FDA") for further information and data regarding the CTI-1601 clinical trial, including the FDA’s review of data from cohort 1 of the Phase 2 dose exploration trial, and the FDA’s agreement to allow us to perform additional cohorts and/or initiate other clinical trials for CTI-1601 and the timing and outcomes of such interactions;</w:t>
      </w:r>
    </w:p>
    <w:p>
      <w:pPr>
        <w:spacing w:after="0" w:line="90" w:lineRule="exact"/>
        <w:rPr>
          <w:rFonts w:ascii="Arial" w:cs="Arial" w:eastAsia="Arial" w:hAnsi="Arial"/>
          <w:sz w:val="20"/>
          <w:szCs w:val="20"/>
          <w:color w:val="auto"/>
        </w:rPr>
      </w:pPr>
    </w:p>
    <w:p>
      <w:pPr>
        <w:ind w:left="720" w:right="60" w:hanging="360"/>
        <w:spacing w:after="0" w:line="252"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uncertainties in obtaining successful non-clinical or clinical results that reliably and meaningfully demonstrate safety, tolerability and efficacy profiles that are satisfactory to the FDA, European Medicines Agency ("EMA") and other comparable regulatory authorities for marketing approval for CTI-1601 or any other product candidate that we may develop in the future and unexpected costs that may result therefrom;</w:t>
      </w:r>
    </w:p>
    <w:p>
      <w:pPr>
        <w:spacing w:after="0" w:line="87" w:lineRule="exact"/>
        <w:rPr>
          <w:rFonts w:ascii="Arial" w:cs="Arial" w:eastAsia="Arial" w:hAnsi="Arial"/>
          <w:sz w:val="20"/>
          <w:szCs w:val="20"/>
          <w:color w:val="auto"/>
        </w:rPr>
      </w:pPr>
    </w:p>
    <w:p>
      <w:pPr>
        <w:ind w:left="720" w:right="20" w:hanging="360"/>
        <w:spacing w:after="0" w:line="247"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delays in patient recruitment for our clinical trials (including as a result of the impact of FDA approval of competitive products for the treatment of Friedrich's ataxia ("FA"), and/or the impact of other clinical trials of competitive products), delays as a result of clinical and non-clinical results and/or FDA's request for additional information or studies, changes in clinical protocols, regulatory restrictions, including additional clinical holds, and milestones for CTI-1601, including those associated with COVID-19 and the efforts to mitigate it;</w:t>
      </w:r>
    </w:p>
    <w:p>
      <w:pPr>
        <w:spacing w:after="0" w:line="93" w:lineRule="exact"/>
        <w:rPr>
          <w:rFonts w:ascii="Arial" w:cs="Arial" w:eastAsia="Arial" w:hAnsi="Arial"/>
          <w:sz w:val="20"/>
          <w:szCs w:val="20"/>
          <w:color w:val="auto"/>
        </w:rPr>
      </w:pPr>
    </w:p>
    <w:p>
      <w:pPr>
        <w:ind w:left="720" w:right="180" w:hanging="360"/>
        <w:spacing w:after="0" w:line="25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uncertainties associated with the clinical development and regulatory approval for CTI-1601 or any other product candidate that we may develop in the future, including potential delays in the commencement, enrollment and completion of clinical trials;</w:t>
      </w:r>
    </w:p>
    <w:p>
      <w:pPr>
        <w:spacing w:after="0" w:line="78" w:lineRule="exact"/>
        <w:rPr>
          <w:rFonts w:ascii="Arial" w:cs="Arial" w:eastAsia="Arial" w:hAnsi="Arial"/>
          <w:sz w:val="20"/>
          <w:szCs w:val="20"/>
          <w:color w:val="auto"/>
        </w:rPr>
      </w:pPr>
    </w:p>
    <w:p>
      <w:pPr>
        <w:ind w:left="720" w:right="160" w:hanging="360"/>
        <w:spacing w:after="0" w:line="25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difficulties and expenses associated with obtaining and maintaining regulatory approval for CTI-1601 or any other product candidate we may develop in the future, and the indication and labeling under any such approval;</w:t>
      </w:r>
    </w:p>
    <w:p>
      <w:pPr>
        <w:spacing w:after="0" w:line="78" w:lineRule="exact"/>
        <w:rPr>
          <w:rFonts w:ascii="Arial" w:cs="Arial" w:eastAsia="Arial" w:hAnsi="Arial"/>
          <w:sz w:val="20"/>
          <w:szCs w:val="20"/>
          <w:color w:val="auto"/>
        </w:rPr>
      </w:pPr>
    </w:p>
    <w:p>
      <w:pPr>
        <w:ind w:left="720" w:right="340" w:hanging="360"/>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estimates regarding future results of operations, financial position, research and development costs, capital requirements and our access and needs for additional financing;</w:t>
      </w:r>
    </w:p>
    <w:p>
      <w:pPr>
        <w:spacing w:after="0" w:line="60" w:lineRule="exact"/>
        <w:rPr>
          <w:rFonts w:ascii="Arial" w:cs="Arial" w:eastAsia="Arial" w:hAnsi="Arial"/>
          <w:sz w:val="20"/>
          <w:szCs w:val="20"/>
          <w:color w:val="auto"/>
        </w:rPr>
      </w:pPr>
    </w:p>
    <w:p>
      <w:pPr>
        <w:ind w:left="720" w:right="180" w:hanging="360"/>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how long we can continue to fund our operations with our existing cash, cash equivalents and marketable securities;</w:t>
      </w:r>
    </w:p>
    <w:p>
      <w:pPr>
        <w:spacing w:after="0" w:line="60" w:lineRule="exact"/>
        <w:rPr>
          <w:rFonts w:ascii="Arial" w:cs="Arial" w:eastAsia="Arial" w:hAnsi="Arial"/>
          <w:sz w:val="20"/>
          <w:szCs w:val="20"/>
          <w:color w:val="auto"/>
        </w:rPr>
      </w:pPr>
    </w:p>
    <w:p>
      <w:pPr>
        <w:ind w:left="720" w:right="120" w:hanging="360"/>
        <w:spacing w:after="0" w:line="25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and the ability of third-party manufacturers we engage, to optimize and scale CTI-1601 or any other product candidate’s manufacturing process and to manufacture sufficient quantities of clinical supplies, and, if approved, commercial supplies of CTI-1601;</w:t>
      </w:r>
    </w:p>
    <w:p>
      <w:pPr>
        <w:spacing w:after="0" w:line="78" w:lineRule="exact"/>
        <w:rPr>
          <w:rFonts w:ascii="Arial" w:cs="Arial" w:eastAsia="Arial" w:hAnsi="Arial"/>
          <w:sz w:val="20"/>
          <w:szCs w:val="20"/>
          <w:color w:val="auto"/>
        </w:rPr>
      </w:pPr>
    </w:p>
    <w:p>
      <w:pPr>
        <w:jc w:val="both"/>
        <w:ind w:left="720" w:right="380" w:hanging="360"/>
        <w:spacing w:after="0" w:line="279" w:lineRule="auto"/>
        <w:tabs>
          <w:tab w:leader="none" w:pos="7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ability to realize any value from CTI-1601 and any other product candidate we may develop in the future in light of inherent risks and difficulties involved in successfully bringing product candidates to market and the risk that the product candidates, if approved, will not achieve broad market acceptance;</w:t>
      </w:r>
    </w:p>
    <w:p>
      <w:pPr>
        <w:sectPr>
          <w:pgSz w:w="11880" w:h="15480" w:orient="portrait"/>
          <w:cols w:equalWidth="0" w:num="1">
            <w:col w:w="9320"/>
          </w:cols>
          <w:pgMar w:left="1260" w:top="123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320"/>
          </w:cols>
          <w:pgMar w:left="1260" w:top="1235" w:right="1300" w:bottom="0" w:gutter="0" w:footer="0" w:header="0"/>
          <w:type w:val="continuous"/>
        </w:sectPr>
      </w:pPr>
    </w:p>
    <w:bookmarkStart w:id="4" w:name="page5"/>
    <w:bookmarkEnd w:id="4"/>
    <w:p>
      <w:pPr>
        <w:ind w:left="720" w:right="780" w:hanging="360"/>
        <w:spacing w:after="0" w:line="278"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comply with regulatory requirements applicable to our business and other regulatory developments in the United States and other countries;</w:t>
      </w:r>
    </w:p>
    <w:p>
      <w:pPr>
        <w:spacing w:after="0" w:line="60" w:lineRule="exact"/>
        <w:rPr>
          <w:rFonts w:ascii="Arial" w:cs="Arial" w:eastAsia="Arial" w:hAnsi="Arial"/>
          <w:sz w:val="20"/>
          <w:szCs w:val="20"/>
          <w:color w:val="auto"/>
        </w:rPr>
      </w:pPr>
    </w:p>
    <w:p>
      <w:pPr>
        <w:ind w:left="720" w:hanging="360"/>
        <w:spacing w:after="0" w:line="25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size and growth of the potential markets for CTI-1601 or any other product candidate that we may develop in the future, the rate and degree of market acceptance of CTI-1601 or any other product candidate, if approved, that we may develop in the future and our ability to serve those markets;</w:t>
      </w:r>
    </w:p>
    <w:p>
      <w:pPr>
        <w:spacing w:after="0" w:line="78" w:lineRule="exact"/>
        <w:rPr>
          <w:rFonts w:ascii="Arial" w:cs="Arial" w:eastAsia="Arial" w:hAnsi="Arial"/>
          <w:sz w:val="20"/>
          <w:szCs w:val="20"/>
          <w:color w:val="auto"/>
        </w:rPr>
      </w:pPr>
    </w:p>
    <w:p>
      <w:pPr>
        <w:ind w:left="720" w:right="60" w:hanging="360"/>
        <w:spacing w:after="0" w:line="252"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given competing therapies and products for the treatment of Friedrich's ataxia,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87" w:lineRule="exact"/>
        <w:rPr>
          <w:rFonts w:ascii="Arial" w:cs="Arial" w:eastAsia="Arial" w:hAnsi="Arial"/>
          <w:sz w:val="20"/>
          <w:szCs w:val="20"/>
          <w:color w:val="auto"/>
        </w:rPr>
      </w:pPr>
    </w:p>
    <w:p>
      <w:pPr>
        <w:ind w:left="720" w:right="80" w:hanging="360"/>
        <w:spacing w:after="0" w:line="278"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patent protection and defend our intellectual property rights against third parties;</w:t>
      </w:r>
    </w:p>
    <w:p>
      <w:pPr>
        <w:spacing w:after="0" w:line="60" w:lineRule="exact"/>
        <w:rPr>
          <w:rFonts w:ascii="Arial" w:cs="Arial" w:eastAsia="Arial" w:hAnsi="Arial"/>
          <w:sz w:val="20"/>
          <w:szCs w:val="20"/>
          <w:color w:val="auto"/>
        </w:rPr>
      </w:pPr>
    </w:p>
    <w:p>
      <w:pPr>
        <w:ind w:left="720" w:right="280" w:hanging="360"/>
        <w:spacing w:after="0" w:line="25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performance and compliance with the rules and regulations of the FDA (and all other regulatory authorities) of third parties upon which we depend, including third-party contract research organizations ("CROs") and third-party suppliers, manufacturers, distributors, and logistics providers;</w:t>
      </w:r>
    </w:p>
    <w:p>
      <w:pPr>
        <w:spacing w:after="0" w:line="78" w:lineRule="exact"/>
        <w:rPr>
          <w:rFonts w:ascii="Arial" w:cs="Arial" w:eastAsia="Arial" w:hAnsi="Arial"/>
          <w:sz w:val="20"/>
          <w:szCs w:val="20"/>
          <w:color w:val="auto"/>
        </w:rPr>
      </w:pPr>
    </w:p>
    <w:p>
      <w:pPr>
        <w:ind w:left="720" w:right="300" w:hanging="360"/>
        <w:spacing w:after="0" w:line="278"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our relationships, and contracts with our key vendors and to identify and contract with alternate or secondary key vendors;</w:t>
      </w:r>
    </w:p>
    <w:p>
      <w:pPr>
        <w:spacing w:after="0" w:line="60" w:lineRule="exact"/>
        <w:rPr>
          <w:rFonts w:ascii="Arial" w:cs="Arial" w:eastAsia="Arial" w:hAnsi="Arial"/>
          <w:sz w:val="20"/>
          <w:szCs w:val="20"/>
          <w:color w:val="auto"/>
        </w:rPr>
      </w:pPr>
    </w:p>
    <w:p>
      <w:pPr>
        <w:ind w:left="720" w:right="340" w:hanging="360"/>
        <w:spacing w:after="0" w:line="278"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recruit and retain key scientific, technical, commercial, and management personnel and to retain our executive officers;</w:t>
      </w:r>
    </w:p>
    <w:p>
      <w:pPr>
        <w:spacing w:after="0" w:line="60" w:lineRule="exact"/>
        <w:rPr>
          <w:rFonts w:ascii="Arial" w:cs="Arial" w:eastAsia="Arial" w:hAnsi="Arial"/>
          <w:sz w:val="20"/>
          <w:szCs w:val="20"/>
          <w:color w:val="auto"/>
        </w:rPr>
      </w:pPr>
    </w:p>
    <w:p>
      <w:pPr>
        <w:ind w:left="720" w:right="160" w:hanging="360"/>
        <w:spacing w:after="0" w:line="25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78" w:lineRule="exact"/>
        <w:rPr>
          <w:rFonts w:ascii="Arial" w:cs="Arial" w:eastAsia="Arial" w:hAnsi="Arial"/>
          <w:sz w:val="20"/>
          <w:szCs w:val="20"/>
          <w:color w:val="auto"/>
        </w:rPr>
      </w:pPr>
    </w:p>
    <w:p>
      <w:pPr>
        <w:ind w:left="720" w:right="40" w:hanging="360"/>
        <w:spacing w:after="0" w:line="25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geopolitical turmoil, health epidemics, unforeseen emergencies and other outbreaks of communicable diseases could disrupt our operations, the operations of third parties on which we rely or the operations of regulatory agencies we interact with in the development of CTI-1601;</w:t>
      </w:r>
    </w:p>
    <w:p>
      <w:pPr>
        <w:spacing w:after="0" w:line="78" w:lineRule="exact"/>
        <w:rPr>
          <w:rFonts w:ascii="Arial" w:cs="Arial" w:eastAsia="Arial" w:hAnsi="Arial"/>
          <w:sz w:val="20"/>
          <w:szCs w:val="20"/>
          <w:color w:val="auto"/>
        </w:rPr>
      </w:pPr>
    </w:p>
    <w:p>
      <w:pPr>
        <w:ind w:left="720" w:right="620" w:hanging="360"/>
        <w:spacing w:after="0" w:line="239" w:lineRule="auto"/>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potential impact of healthcare reform in the United States, including the Inflation Reduction Act ("IRA") of</w:t>
      </w:r>
    </w:p>
    <w:p>
      <w:pPr>
        <w:spacing w:after="0" w:line="1" w:lineRule="exact"/>
        <w:rPr>
          <w:rFonts w:ascii="Arial" w:cs="Arial" w:eastAsia="Arial" w:hAnsi="Arial"/>
          <w:sz w:val="20"/>
          <w:szCs w:val="20"/>
          <w:color w:val="auto"/>
        </w:rPr>
      </w:pPr>
    </w:p>
    <w:p>
      <w:pPr>
        <w:ind w:left="720" w:right="120" w:firstLine="50"/>
        <w:spacing w:after="0" w:line="279" w:lineRule="auto"/>
        <w:rPr>
          <w:rFonts w:ascii="Arial" w:cs="Arial" w:eastAsia="Arial" w:hAnsi="Arial"/>
          <w:sz w:val="20"/>
          <w:szCs w:val="20"/>
          <w:color w:val="auto"/>
        </w:rPr>
      </w:pPr>
      <w:r>
        <w:rPr>
          <w:rFonts w:ascii="Times New Roman" w:cs="Times New Roman" w:eastAsia="Times New Roman" w:hAnsi="Times New Roman"/>
          <w:sz w:val="20"/>
          <w:szCs w:val="20"/>
          <w:color w:val="auto"/>
        </w:rPr>
        <w:t>2022, and measures being taken worldwide designed to reduce healthcare costs and limit the overall level of government expenditures; and</w:t>
      </w:r>
    </w:p>
    <w:p>
      <w:pPr>
        <w:spacing w:after="0" w:line="59" w:lineRule="exact"/>
        <w:rPr>
          <w:rFonts w:ascii="Arial" w:cs="Arial" w:eastAsia="Arial" w:hAnsi="Arial"/>
          <w:sz w:val="20"/>
          <w:szCs w:val="20"/>
          <w:color w:val="auto"/>
        </w:rPr>
      </w:pPr>
    </w:p>
    <w:p>
      <w:pPr>
        <w:ind w:left="720" w:hanging="360"/>
        <w:spacing w:after="0"/>
        <w:tabs>
          <w:tab w:leader="none" w:pos="72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other risks and uncertainties included under the section titled “Risk Factors.”</w:t>
      </w:r>
    </w:p>
    <w:p>
      <w:pPr>
        <w:spacing w:after="0" w:line="11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These 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 light of the significant uncertainties in these forward-looking statements, you should not rely upon forward-looking statements as predictions of future events. Although we believe the expectations reflected in the forward-looking statements are reasonable, the future results, levels of activity, performance or events and circumstances reflected in the forward-looking statements may not be achieved or occur at all. Except as required by law, we undertake no obligation to publicly update any forward-looking statements, whether as a result of new information, future events or otherwise after the date of this Annual Report on Form 10-K or to reflect the occurrence of any unanticipated events. Comparisons of results for current and any prior periods are not intended to express any future trends or indications of future performance, unless expressed as such, and should only be viewed as historical data.</w:t>
      </w:r>
    </w:p>
    <w:p>
      <w:pPr>
        <w:sectPr>
          <w:pgSz w:w="11880" w:h="15480" w:orient="portrait"/>
          <w:cols w:equalWidth="0" w:num="1">
            <w:col w:w="9340"/>
          </w:cols>
          <w:pgMar w:left="1260" w:top="12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340"/>
          </w:cols>
          <w:pgMar w:left="1260" w:top="1253" w:right="1280" w:bottom="0" w:gutter="0" w:footer="0" w:header="0"/>
          <w:type w:val="continuous"/>
        </w:sectPr>
      </w:pPr>
    </w:p>
    <w:bookmarkStart w:id="5" w:name="page6"/>
    <w:bookmarkEnd w:id="5"/>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4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b w:val="1"/>
          <w:bCs w:val="1"/>
          <w:color w:val="auto"/>
        </w:rPr>
        <w:t>The risk factors summarized and detailed below could materially harm our business, operating results and/or financial condition, and may impair our future prospects and/or cause the price of our common stock to decline. These are not all of the risks we face, and other factors not presently known to us or that we currently believe are immaterial may also affect our business if they occur. Material risks that may affect our business, operating results and financial condition include, but are not necessarily limited to, those relating to:</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Capital</w:t>
      </w:r>
    </w:p>
    <w:p>
      <w:pPr>
        <w:spacing w:after="0" w:line="138" w:lineRule="exact"/>
        <w:rPr>
          <w:sz w:val="20"/>
          <w:szCs w:val="20"/>
          <w:color w:val="auto"/>
        </w:rPr>
      </w:pPr>
    </w:p>
    <w:p>
      <w:pPr>
        <w:ind w:left="720" w:right="180" w:hanging="360"/>
        <w:spacing w:after="0" w:line="278"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have incurred significant losses since our inception and anticipate that we will incur continued losses for the foreseeable future.</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have no commercial revenue and may never become profitable.</w:t>
      </w:r>
    </w:p>
    <w:p>
      <w:pPr>
        <w:spacing w:after="0" w:line="133" w:lineRule="exact"/>
        <w:rPr>
          <w:rFonts w:ascii="Arial" w:cs="Arial" w:eastAsia="Arial" w:hAnsi="Arial"/>
          <w:sz w:val="20"/>
          <w:szCs w:val="20"/>
          <w:color w:val="auto"/>
        </w:rPr>
      </w:pPr>
    </w:p>
    <w:p>
      <w:pPr>
        <w:ind w:left="720" w:hanging="360"/>
        <w:spacing w:after="0" w:line="259" w:lineRule="auto"/>
        <w:tabs>
          <w:tab w:leader="none" w:pos="720" w:val="left"/>
        </w:tabs>
        <w:numPr>
          <w:ilvl w:val="0"/>
          <w:numId w:val="5"/>
        </w:numPr>
        <w:rPr>
          <w:rFonts w:ascii="Arial" w:cs="Arial" w:eastAsia="Arial" w:hAnsi="Arial"/>
          <w:sz w:val="20"/>
          <w:szCs w:val="20"/>
          <w:color w:val="auto"/>
        </w:rPr>
      </w:pPr>
      <w:r>
        <w:rPr>
          <w:rFonts w:ascii="Times New Roman" w:cs="Times New Roman" w:eastAsia="Times New Roman" w:hAnsi="Times New Roman"/>
          <w:sz w:val="20"/>
          <w:szCs w:val="20"/>
          <w:color w:val="auto"/>
        </w:rPr>
        <w:t>We need to raise additional funding in order to continue our planned operations. This funding may not be available on acceptable terms, or at all. Failure to obtain this necessary capital when needed would force us to delay, limit or terminate our product development efforts or other operations.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Product Development and Regulatory Approvals</w:t>
      </w:r>
    </w:p>
    <w:p>
      <w:pPr>
        <w:spacing w:after="0" w:line="138" w:lineRule="exact"/>
        <w:rPr>
          <w:sz w:val="20"/>
          <w:szCs w:val="20"/>
          <w:color w:val="auto"/>
        </w:rPr>
      </w:pPr>
    </w:p>
    <w:p>
      <w:pPr>
        <w:ind w:left="720" w:right="40" w:hanging="360"/>
        <w:spacing w:after="0" w:line="25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The FDA has placed a partial clinical hold on CTI-1601 and there is uncertainty as to when, or if, the FDA will lift the partial clinical hold on our CTI-1601 program, if it will allow additional cohorts of the dose exploration study or if it will ever allow further clinical development of CTI-1601.</w:t>
      </w:r>
    </w:p>
    <w:p>
      <w:pPr>
        <w:spacing w:after="0" w:line="78" w:lineRule="exact"/>
        <w:rPr>
          <w:rFonts w:ascii="Arial" w:cs="Arial" w:eastAsia="Arial" w:hAnsi="Arial"/>
          <w:sz w:val="20"/>
          <w:szCs w:val="20"/>
          <w:color w:val="auto"/>
        </w:rPr>
      </w:pPr>
    </w:p>
    <w:p>
      <w:pPr>
        <w:ind w:left="720" w:right="20" w:hanging="360"/>
        <w:spacing w:after="0" w:line="246"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Our success is currently dependent upon the success of our lead product candidate, CTI-1601 for which we have completed two Phase 1 clinical trials in patients with FA and are currently working to complete a Phase 2 dose exploration study. Clinical development of CTI-1601 is currently under a partial clinical hold by the FDA. We cannot be certain that the data from the first cohort of our current dose exploration study will provide the FDA with adequate data to allow the CTI-1601 development program to proceed as planned in part or in full, and even if so, or that we will ultimately be successful with our clinical development or that we will ever be able to obtain regulatory approval for CTI-1601.</w:t>
      </w:r>
    </w:p>
    <w:p>
      <w:pPr>
        <w:spacing w:after="0" w:line="93" w:lineRule="exact"/>
        <w:rPr>
          <w:rFonts w:ascii="Arial" w:cs="Arial" w:eastAsia="Arial" w:hAnsi="Arial"/>
          <w:sz w:val="20"/>
          <w:szCs w:val="20"/>
          <w:color w:val="auto"/>
        </w:rPr>
      </w:pPr>
    </w:p>
    <w:p>
      <w:pPr>
        <w:ind w:left="720" w:right="80" w:hanging="360"/>
        <w:spacing w:after="0" w:line="247"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We may experience difficulties identifying and enrolling patients in our clinical trials given the limited number of patients who have the disease for which CTI-1601 is being studied or for any other product candidate. Difficulty in enrolling patients could delay or prevent clinical trials of CTI-1601 or any future product candidate. There is also a competing approved FA therapeutic, other competing studies and potentially other FA therapeutics that could be approved that may also limit the availability of participants for CTI-1601 clinical trials.</w:t>
      </w:r>
    </w:p>
    <w:p>
      <w:pPr>
        <w:spacing w:after="0" w:line="93" w:lineRule="exact"/>
        <w:rPr>
          <w:rFonts w:ascii="Arial" w:cs="Arial" w:eastAsia="Arial" w:hAnsi="Arial"/>
          <w:sz w:val="20"/>
          <w:szCs w:val="20"/>
          <w:color w:val="auto"/>
        </w:rPr>
      </w:pPr>
    </w:p>
    <w:p>
      <w:pPr>
        <w:ind w:left="720" w:right="100" w:hanging="360"/>
        <w:spacing w:after="0" w:line="27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Additional competing technologies could emerge, adversely affecting our opportunity to generate revenue from the sale of CTI-1601.</w:t>
      </w:r>
    </w:p>
    <w:p>
      <w:pPr>
        <w:spacing w:after="0" w:line="60" w:lineRule="exact"/>
        <w:rPr>
          <w:rFonts w:ascii="Arial" w:cs="Arial" w:eastAsia="Arial" w:hAnsi="Arial"/>
          <w:sz w:val="20"/>
          <w:szCs w:val="20"/>
          <w:color w:val="auto"/>
        </w:rPr>
      </w:pPr>
    </w:p>
    <w:p>
      <w:pPr>
        <w:ind w:left="720" w:right="260" w:hanging="360"/>
        <w:spacing w:after="0" w:line="27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Failures or delays in the completion of our clinical trials could result in increased costs and could delay, prevent or limit our ability to generate revenue and continue our business.</w:t>
      </w:r>
    </w:p>
    <w:p>
      <w:pPr>
        <w:spacing w:after="0" w:line="60" w:lineRule="exact"/>
        <w:rPr>
          <w:rFonts w:ascii="Arial" w:cs="Arial" w:eastAsia="Arial" w:hAnsi="Arial"/>
          <w:sz w:val="20"/>
          <w:szCs w:val="20"/>
          <w:color w:val="auto"/>
        </w:rPr>
      </w:pPr>
    </w:p>
    <w:p>
      <w:pPr>
        <w:ind w:left="720" w:right="120" w:hanging="360"/>
        <w:spacing w:after="0" w:line="25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CTI-1601 may cause adverse events or undesirable side effects in non-clinical or clinical trials, that could delay or prevent its regulatory approval, limit the commercial profile of an approved label, or result in significant negative consequences following regulatory approval, if any.</w:t>
      </w:r>
    </w:p>
    <w:p>
      <w:pPr>
        <w:spacing w:after="0" w:line="78" w:lineRule="exact"/>
        <w:rPr>
          <w:rFonts w:ascii="Arial" w:cs="Arial" w:eastAsia="Arial" w:hAnsi="Arial"/>
          <w:sz w:val="20"/>
          <w:szCs w:val="20"/>
          <w:color w:val="auto"/>
        </w:rPr>
      </w:pPr>
    </w:p>
    <w:p>
      <w:pPr>
        <w:ind w:left="720" w:hanging="360"/>
        <w:spacing w:after="0" w:line="252"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regulatory requirements, FDA guidance, guidance from other regulatory authorities or unanticipated events during our non-clinical or clinical trials of CTI-1601 or future product candidates may result in changes to clinical trial protocols or additional non-clinical or clinical trial requirements, which could result in increased costs to us and could delay our development timeline.</w:t>
      </w:r>
    </w:p>
    <w:p>
      <w:pPr>
        <w:spacing w:after="0" w:line="87" w:lineRule="exact"/>
        <w:rPr>
          <w:rFonts w:ascii="Arial" w:cs="Arial" w:eastAsia="Arial" w:hAnsi="Arial"/>
          <w:sz w:val="20"/>
          <w:szCs w:val="20"/>
          <w:color w:val="auto"/>
        </w:rPr>
      </w:pPr>
    </w:p>
    <w:p>
      <w:pPr>
        <w:ind w:left="720" w:right="120" w:hanging="360"/>
        <w:spacing w:after="0" w:line="27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establish sales and marketing capabilities or enter into agreements with third parties to market and sell CTI-1601, if approved, we may not be able to generate any revenue.</w:t>
      </w:r>
    </w:p>
    <w:p>
      <w:pPr>
        <w:spacing w:after="0" w:line="60" w:lineRule="exact"/>
        <w:rPr>
          <w:rFonts w:ascii="Arial" w:cs="Arial" w:eastAsia="Arial" w:hAnsi="Arial"/>
          <w:sz w:val="20"/>
          <w:szCs w:val="20"/>
          <w:color w:val="auto"/>
        </w:rPr>
      </w:pPr>
    </w:p>
    <w:p>
      <w:pPr>
        <w:ind w:left="720" w:right="40" w:hanging="360"/>
        <w:spacing w:after="0" w:line="27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Even if we receive marketing approval for CTI-1601, we may not achieve broad market acceptance, which would limit the revenue that we generate from our sales.</w:t>
      </w:r>
    </w:p>
    <w:p>
      <w:pPr>
        <w:sectPr>
          <w:pgSz w:w="11880" w:h="15480" w:orient="portrait"/>
          <w:cols w:equalWidth="0" w:num="1">
            <w:col w:w="9300"/>
          </w:cols>
          <w:pgMar w:left="1260" w:top="1235"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300"/>
          </w:cols>
          <w:pgMar w:left="1260" w:top="1235" w:right="1320" w:bottom="0" w:gutter="0" w:footer="0" w:header="0"/>
          <w:type w:val="continuous"/>
        </w:sectPr>
      </w:pPr>
    </w:p>
    <w:bookmarkStart w:id="6" w:name="page7"/>
    <w:bookmarkEnd w:id="6"/>
    <w:p>
      <w:pPr>
        <w:ind w:left="720" w:right="140" w:hanging="360"/>
        <w:spacing w:after="0" w:line="278" w:lineRule="auto"/>
        <w:tabs>
          <w:tab w:leader="none" w:pos="72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Even if we obtain regulatory and marketing approval for a product candidate, our product candidates will remain subject to regulatory oversight.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38" w:lineRule="exact"/>
        <w:rPr>
          <w:sz w:val="20"/>
          <w:szCs w:val="20"/>
          <w:color w:val="auto"/>
        </w:rPr>
      </w:pPr>
    </w:p>
    <w:p>
      <w:pPr>
        <w:ind w:left="720" w:right="500" w:hanging="360"/>
        <w:spacing w:after="0" w:line="278"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If we are unable to manage expected growth in the scale and complexity of our operations, including attracting and hiring additional qualified management, our performance may suffer.</w:t>
      </w:r>
    </w:p>
    <w:p>
      <w:pPr>
        <w:spacing w:after="0" w:line="60" w:lineRule="exact"/>
        <w:rPr>
          <w:rFonts w:ascii="Arial" w:cs="Arial" w:eastAsia="Arial" w:hAnsi="Arial"/>
          <w:sz w:val="20"/>
          <w:szCs w:val="20"/>
          <w:color w:val="auto"/>
        </w:rPr>
      </w:pPr>
    </w:p>
    <w:p>
      <w:pPr>
        <w:ind w:left="720" w:right="180" w:hanging="360"/>
        <w:spacing w:after="0" w:line="278"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may acquire businesses or products, or form strategic alliances, in the future, and we may not realize the benefits of such acquisitions or alliances.</w:t>
      </w:r>
    </w:p>
    <w:p>
      <w:pPr>
        <w:spacing w:after="0" w:line="60" w:lineRule="exact"/>
        <w:rPr>
          <w:rFonts w:ascii="Arial" w:cs="Arial" w:eastAsia="Arial" w:hAnsi="Arial"/>
          <w:sz w:val="20"/>
          <w:szCs w:val="20"/>
          <w:color w:val="auto"/>
        </w:rPr>
      </w:pPr>
    </w:p>
    <w:p>
      <w:pPr>
        <w:ind w:left="720" w:hanging="360"/>
        <w:spacing w:after="0" w:line="259"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78" w:lineRule="exact"/>
        <w:rPr>
          <w:rFonts w:ascii="Arial" w:cs="Arial" w:eastAsia="Arial" w:hAnsi="Arial"/>
          <w:sz w:val="20"/>
          <w:szCs w:val="20"/>
          <w:color w:val="auto"/>
        </w:rPr>
      </w:pPr>
    </w:p>
    <w:p>
      <w:pPr>
        <w:ind w:left="720" w:right="140" w:hanging="360"/>
        <w:spacing w:after="0" w:line="259"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We face risks related to health epidemics, and/or other outbreaks of communicable diseases, which could significantly disrupt our operations and may materially and adversely affect our business and financial conditions.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138" w:lineRule="exact"/>
        <w:rPr>
          <w:sz w:val="20"/>
          <w:szCs w:val="20"/>
          <w:color w:val="auto"/>
        </w:rPr>
      </w:pPr>
    </w:p>
    <w:p>
      <w:pPr>
        <w:jc w:val="both"/>
        <w:ind w:left="720" w:right="400" w:hanging="360"/>
        <w:spacing w:after="0" w:line="259"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have limited experience in conducting or supervising clinical trials and must outsource all clinical trials. As a result, many important aspects of our drug development programs are outside of our direct control.</w:t>
      </w:r>
    </w:p>
    <w:p>
      <w:pPr>
        <w:spacing w:after="0" w:line="78" w:lineRule="exact"/>
        <w:rPr>
          <w:rFonts w:ascii="Arial" w:cs="Arial" w:eastAsia="Arial" w:hAnsi="Arial"/>
          <w:sz w:val="20"/>
          <w:szCs w:val="20"/>
          <w:color w:val="auto"/>
        </w:rPr>
      </w:pPr>
    </w:p>
    <w:p>
      <w:pPr>
        <w:ind w:left="720" w:right="500" w:hanging="360"/>
        <w:spacing w:after="0" w:line="259"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rely on third-party supply and manufacturing partners for drug supplies for our research and development, non-clinical activities, and clinical activities, and may do the same for any commercial supplies of our product candidates.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Rights</w:t>
      </w:r>
    </w:p>
    <w:p>
      <w:pPr>
        <w:spacing w:after="0" w:line="138" w:lineRule="exact"/>
        <w:rPr>
          <w:sz w:val="20"/>
          <w:szCs w:val="20"/>
          <w:color w:val="auto"/>
        </w:rPr>
      </w:pPr>
    </w:p>
    <w:p>
      <w:pPr>
        <w:ind w:left="720" w:right="40" w:hanging="360"/>
        <w:spacing w:after="0" w:line="252"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If, in the United States and other countries, we are unable to adequately protect our proprietary technology or maintain issued patents which are sufficient to protect CTI-1601 or potential product candidates, third parties could compete against us more directly, which would have a material adverse impact on our business, results of operations, financial condition and prospects.</w:t>
      </w:r>
    </w:p>
    <w:p>
      <w:pPr>
        <w:spacing w:after="0" w:line="87" w:lineRule="exact"/>
        <w:rPr>
          <w:rFonts w:ascii="Arial" w:cs="Arial" w:eastAsia="Arial" w:hAnsi="Arial"/>
          <w:sz w:val="20"/>
          <w:szCs w:val="20"/>
          <w:color w:val="auto"/>
        </w:rPr>
      </w:pPr>
    </w:p>
    <w:p>
      <w:pPr>
        <w:ind w:left="720" w:right="200" w:hanging="360"/>
        <w:spacing w:after="0" w:line="278"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Our key patent, which we license related to CTI-1601, will expire in 2040 and we will lose our ability to rely upon this patent to prevent competing products from entering the market.</w:t>
      </w:r>
    </w:p>
    <w:p>
      <w:pPr>
        <w:spacing w:after="0" w:line="60" w:lineRule="exact"/>
        <w:rPr>
          <w:rFonts w:ascii="Arial" w:cs="Arial" w:eastAsia="Arial" w:hAnsi="Arial"/>
          <w:sz w:val="20"/>
          <w:szCs w:val="20"/>
          <w:color w:val="auto"/>
        </w:rPr>
      </w:pPr>
    </w:p>
    <w:p>
      <w:pPr>
        <w:ind w:left="720" w:right="60" w:hanging="360"/>
        <w:spacing w:after="0" w:line="259"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may infringe the intellectual property rights of others, which may prevent or delay our product development efforts and stop us from commercializing or increase the costs of commercializing CTI-1601 or other potential product candidates, if approved.</w:t>
      </w:r>
    </w:p>
    <w:p>
      <w:pPr>
        <w:spacing w:after="0" w:line="78" w:lineRule="exact"/>
        <w:rPr>
          <w:rFonts w:ascii="Arial" w:cs="Arial" w:eastAsia="Arial" w:hAnsi="Arial"/>
          <w:sz w:val="20"/>
          <w:szCs w:val="20"/>
          <w:color w:val="auto"/>
        </w:rPr>
      </w:pPr>
    </w:p>
    <w:p>
      <w:pPr>
        <w:ind w:left="720" w:right="360" w:hanging="360"/>
        <w:spacing w:after="0" w:line="278"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involved in lawsuits to protect or enforce our patents or the patents of our licensors, which could be expensive, time-consuming and unsuccessful.</w:t>
      </w:r>
    </w:p>
    <w:p>
      <w:pPr>
        <w:spacing w:after="0" w:line="60" w:lineRule="exact"/>
        <w:rPr>
          <w:rFonts w:ascii="Arial" w:cs="Arial" w:eastAsia="Arial" w:hAnsi="Arial"/>
          <w:sz w:val="20"/>
          <w:szCs w:val="20"/>
          <w:color w:val="auto"/>
        </w:rPr>
      </w:pPr>
    </w:p>
    <w:p>
      <w:pPr>
        <w:ind w:left="720" w:right="100" w:hanging="360"/>
        <w:spacing w:after="0" w:line="259" w:lineRule="auto"/>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We are dependent on licensed intellectual property for CTI-1601. If we were to lose our rights to licensed intellectual property, we may not be able to continue developing or commercializing CTI-1601, if approved.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38" w:lineRule="exact"/>
        <w:rPr>
          <w:sz w:val="20"/>
          <w:szCs w:val="20"/>
          <w:color w:val="auto"/>
        </w:rPr>
      </w:pPr>
    </w:p>
    <w:p>
      <w:pPr>
        <w:ind w:left="720" w:right="480" w:hanging="360"/>
        <w:spacing w:after="0" w:line="278"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Our stock price could be highly volatile, and purchasers of our common stock could incur substantial losses.</w:t>
      </w:r>
    </w:p>
    <w:p>
      <w:pPr>
        <w:spacing w:after="0" w:line="60" w:lineRule="exact"/>
        <w:rPr>
          <w:rFonts w:ascii="Arial" w:cs="Arial" w:eastAsia="Arial" w:hAnsi="Arial"/>
          <w:sz w:val="20"/>
          <w:szCs w:val="20"/>
          <w:color w:val="auto"/>
        </w:rPr>
      </w:pPr>
    </w:p>
    <w:p>
      <w:pPr>
        <w:ind w:left="720" w:right="80" w:hanging="360"/>
        <w:spacing w:after="0" w:line="259"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78" w:lineRule="exact"/>
        <w:rPr>
          <w:rFonts w:ascii="Arial" w:cs="Arial" w:eastAsia="Arial" w:hAnsi="Arial"/>
          <w:sz w:val="20"/>
          <w:szCs w:val="20"/>
          <w:color w:val="auto"/>
        </w:rPr>
      </w:pPr>
    </w:p>
    <w:p>
      <w:pPr>
        <w:ind w:left="720" w:right="560" w:hanging="360"/>
        <w:spacing w:after="0" w:line="278"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Ownership of our common stock is highly concentrated, and it may prevent other stockholders from influencing significant corporate decisions.</w:t>
      </w:r>
    </w:p>
    <w:p>
      <w:pPr>
        <w:sectPr>
          <w:pgSz w:w="11880" w:h="15480" w:orient="portrait"/>
          <w:cols w:equalWidth="0" w:num="1">
            <w:col w:w="9280"/>
          </w:cols>
          <w:pgMar w:left="1260" w:top="1253"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280"/>
          </w:cols>
          <w:pgMar w:left="1260" w:top="1253" w:right="1340" w:bottom="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are a clinical-stage biotechnology company focused on developing treatments for patients suffering from complex rare diseases using our novel cell penetrating peptide ("CPP") technology platform. Our sole product candidate that has currently progressed beyond discovery, CTI-1601, is a subcutaneously administered, recombinant fusion protein intended to deliver human frataxin ("FXN") an essential protein, to the mitochondria of patients with FA. FA is a rare, progressive and fatal disease in which patients are unable to produce sufficient FXN due to a genetic abnormality. Currently, there are no treatment options that address the core deficit of FA, low levels of FXN. CTI-1601 represents the first potential therapy designed to increase FXN levels in patients with FA.</w:t>
      </w:r>
    </w:p>
    <w:p>
      <w:pPr>
        <w:spacing w:after="0" w:line="80"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We have completed two Phase 1 clinical trials in patients with FA and are in the process of conducting a Phase 2 dose exploration clinical trial. We have received an orphan drug designation, fast track designation and rare pediatric disease designation, from the FDA for CTI-1601. In addition, we received orphan drug designation for CTI-1601 from the European Commission and a Priority Medicines ("PRIME") designation from the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8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In May 2021, we reported positive top-line data from our Phase 1 FA program after completing dosing of the single ascending dose ("SAD") trial in December 2020 and of the multiple ascending dose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serious adverse events ("SAEs") associated with either the SAD or MAD trials.</w:t>
      </w:r>
    </w:p>
    <w:p>
      <w:pPr>
        <w:spacing w:after="0" w:line="82"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auto"/>
        </w:rPr>
        <w:t>Also in May 2021, the FDA placed a clinical hold on our CTI-1601 clinical program after we notified the agency of mortalities at the highest dose levels of the 26-week non-human primate ("NHP") toxicology study that was designed to support extended dosing of patients with CTI-1601. At the time the clinical hold was placed, the toxicology study was still ongoing and we had no interventional clinical trials with patients enrolling or enrolled.</w:t>
      </w:r>
    </w:p>
    <w:p>
      <w:pPr>
        <w:spacing w:after="0" w:line="70"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In February 2022, in response to the complete response we submitted, the FDA stated that it was maintaining the clinical hold and that additional data were needed to resolve the clinical hold. We subsequently submitted a request to the FDA for a Type C meeting, which was granted and was held in July 2022. We submitted a complete response to the FDA incorporating additional information requested by the FDA at the meeting as well as information on a proposed dose exploration study in August 2022.</w:t>
      </w:r>
    </w:p>
    <w:p>
      <w:pPr>
        <w:spacing w:after="0" w:line="77"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In September 2022, following the Type C meeting and the submission of our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The dose exploration trial is designed to further characterize CTI-1601’s safety, pharmacodynamics ("PD") and pharmacokinetics ("PK") profiles to provide information about the preferred long-term dose and dose regimen. We have since initiated the 25 mg cohort of the Phase 2 dose exploration trial. Initiation of the second cohort and/or other clinical trials is contingent on the FDA’s agreement based on its review of the trial's 25 mg cohort data and on review by the trial’s independent data monitoring committee. We anticipate that we will provide an update that will outline the next steps for the clinical trial in the second quarter of 2023 and anticipate reporting top-line data in the second half of 2023. We expect to initiate the Phase 2 trial’s second cohort in the second quarter of 2023 should the FDA and the independent data monitoring committee allow the second cohort of the Phase 2 dose exploration study to proceed as planned.</w:t>
      </w:r>
    </w:p>
    <w:p>
      <w:pPr>
        <w:spacing w:after="0" w:line="86"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We believe that our CPP technology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ectPr>
          <w:pgSz w:w="11880" w:h="15480" w:orient="portrait"/>
          <w:cols w:equalWidth="0" w:num="1">
            <w:col w:w="9360"/>
          </w:cols>
          <w:pgMar w:left="1260" w:top="1235"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360"/>
          </w:cols>
          <w:pgMar w:left="1260" w:top="1235" w:right="1260" w:bottom="0" w:gutter="0" w:footer="0" w:header="0"/>
          <w:type w:val="continuous"/>
        </w:sectPr>
      </w:pPr>
    </w:p>
    <w:bookmarkStart w:id="8" w:name="page9"/>
    <w:bookmarkEnd w:id="8"/>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We have assembled an experienced management team, each of whom has over 20 years of pharmaceutical industry experience. Our management team and consultants have significant expertise in discovery, non-clinical and clinical development, regulatory affairs and the development of manufacturing processes utilizing current good manufacturing practices (cGMPs") for biologics and small molecules. We believe that our management team’s diverse mix of skills provides for the implementation of effective approaches to drug and biologic development.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Strategy</w:t>
      </w:r>
    </w:p>
    <w:p>
      <w:pPr>
        <w:spacing w:after="0" w:line="123" w:lineRule="exact"/>
        <w:rPr>
          <w:sz w:val="20"/>
          <w:szCs w:val="20"/>
          <w:color w:val="auto"/>
        </w:rPr>
      </w:pPr>
    </w:p>
    <w:p>
      <w:pPr>
        <w:jc w:val="both"/>
        <w:ind w:right="20" w:firstLine="490"/>
        <w:spacing w:after="0" w:line="259" w:lineRule="auto"/>
        <w:rPr>
          <w:sz w:val="20"/>
          <w:szCs w:val="20"/>
          <w:color w:val="auto"/>
        </w:rPr>
      </w:pPr>
      <w:r>
        <w:rPr>
          <w:rFonts w:ascii="Times New Roman" w:cs="Times New Roman" w:eastAsia="Times New Roman" w:hAnsi="Times New Roman"/>
          <w:sz w:val="20"/>
          <w:szCs w:val="20"/>
          <w:color w:val="auto"/>
        </w:rPr>
        <w:t>Our strategy is to become a leader in the treatment of rare diseases by leveraging our technology platform and applying our management team’s know how and expertise to the development of CTI-1601 and other future pipeline programs. Key elements of our strategy include:</w:t>
      </w:r>
    </w:p>
    <w:p>
      <w:pPr>
        <w:spacing w:after="0" w:line="81" w:lineRule="exact"/>
        <w:rPr>
          <w:sz w:val="20"/>
          <w:szCs w:val="20"/>
          <w:color w:val="auto"/>
        </w:rPr>
      </w:pPr>
    </w:p>
    <w:p>
      <w:pPr>
        <w:ind w:left="720" w:hanging="360"/>
        <w:spacing w:after="0" w:line="243"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Advance CTI-1601 through clinical development and regulatory approval in the United States the European Union and other foreign jurisdictions. </w:t>
      </w:r>
      <w:r>
        <w:rPr>
          <w:rFonts w:ascii="Times New Roman" w:cs="Times New Roman" w:eastAsia="Times New Roman" w:hAnsi="Times New Roman"/>
          <w:sz w:val="20"/>
          <w:szCs w:val="20"/>
          <w:color w:val="auto"/>
        </w:rPr>
        <w:t>We have completed two Phase 1 clinical trials of CTI-1601 in patients with Friedreich’s ataxia in the United States. We are currently under a partial clinical hold for the CTI-1601 program, but we are currently conducting the first cohort of a Phase 2 dose exploration clinical trial. While our current plan is to initiate the second cohort of this trial in the second quarter of 2023, the initiation of the second cohort and/or other clinical trials is contingent upon the FDA’s agreement based on its the review of the first cohort data as well as on review by the study's independent data monitoring committee. We do not know if, or when, the FDA will lift the partial clinical hold on our CTI-1601 program, if it will allow additional cohorts of this dose exploration study or if it will ever allow further clinical development of CTI-1601. We are continuing to collaborate with key opinion leaders and seek guidance from regulatory authorities to develop and execute a clinical development plan for regulatory approval of CTI-1601 in the United States, the European Union, the United Kingdom ("UK"), Australia, Canada and potentially other countries.</w:t>
      </w:r>
    </w:p>
    <w:p>
      <w:pPr>
        <w:spacing w:after="0" w:line="96" w:lineRule="exact"/>
        <w:rPr>
          <w:rFonts w:ascii="Arial" w:cs="Arial" w:eastAsia="Arial" w:hAnsi="Arial"/>
          <w:sz w:val="20"/>
          <w:szCs w:val="20"/>
          <w:color w:val="auto"/>
        </w:rPr>
      </w:pPr>
    </w:p>
    <w:p>
      <w:pPr>
        <w:ind w:left="720" w:right="60" w:hanging="360"/>
        <w:spacing w:after="0" w:line="244"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If CTI-1601 receives regulatory approvals, commercialize CTI-1601 in the United States, the European Union, and other relevant countries independently or with third parties</w:t>
      </w:r>
      <w:r>
        <w:rPr>
          <w:rFonts w:ascii="Times New Roman" w:cs="Times New Roman" w:eastAsia="Times New Roman" w:hAnsi="Times New Roman"/>
          <w:sz w:val="20"/>
          <w:szCs w:val="20"/>
          <w:color w:val="auto"/>
        </w:rPr>
        <w:t>. We intend to evaluate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commercialization options in the United States, the European Union, and in other foreign jurisdictions throughout the world where Friedreich’s ataxia patients can benefit, if we are successful in obtaining regulatory approval. We may build our own internal sales force; partner with a contract sales organization, and/or enter into a joint marketing partnership with another pharmaceutical or biotechnology company, whereby we may jointly sell and market CTI-1601, if approved; or we may seek to out-license CTI-1601, whereby other pharmaceutical or biotechnology companies sell and market CTI-1601 and pay us milestone and/or royalty payments on sales.</w:t>
      </w:r>
    </w:p>
    <w:p>
      <w:pPr>
        <w:spacing w:after="0" w:line="93" w:lineRule="exact"/>
        <w:rPr>
          <w:rFonts w:ascii="Arial" w:cs="Arial" w:eastAsia="Arial" w:hAnsi="Arial"/>
          <w:sz w:val="20"/>
          <w:szCs w:val="20"/>
          <w:color w:val="auto"/>
        </w:rPr>
      </w:pPr>
    </w:p>
    <w:p>
      <w:pPr>
        <w:ind w:left="720" w:right="40" w:hanging="360"/>
        <w:spacing w:after="0" w:line="244"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Expand Our Product Candidate Pipeline to Treat a Variety of Rare Diseases</w:t>
      </w:r>
      <w:r>
        <w:rPr>
          <w:rFonts w:ascii="Times New Roman" w:cs="Times New Roman" w:eastAsia="Times New Roman" w:hAnsi="Times New Roman"/>
          <w:sz w:val="20"/>
          <w:szCs w:val="20"/>
          <w:color w:val="auto"/>
        </w:rPr>
        <w:t>. We intend to expand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pipeline to treat additional rare diseases. A key component of this strategy is to utilize our novel protein replacement therapy platform technology to deliver FXN or other molecules to intracellular targets. We employ a rational approach to selecting disease targets, and take into account many scientific, business, and indication specific factors before choosing each indication.</w:t>
      </w:r>
    </w:p>
    <w:p>
      <w:pPr>
        <w:spacing w:after="0" w:line="90" w:lineRule="exact"/>
        <w:rPr>
          <w:rFonts w:ascii="Arial" w:cs="Arial" w:eastAsia="Arial" w:hAnsi="Arial"/>
          <w:sz w:val="20"/>
          <w:szCs w:val="20"/>
          <w:color w:val="auto"/>
        </w:rPr>
      </w:pPr>
    </w:p>
    <w:p>
      <w:pPr>
        <w:ind w:left="720" w:hanging="360"/>
        <w:spacing w:after="0"/>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Continue to Improve Our Novel Protein Replacement Therapy Platform</w:t>
      </w:r>
      <w:r>
        <w:rPr>
          <w:rFonts w:ascii="Times New Roman" w:cs="Times New Roman" w:eastAsia="Times New Roman" w:hAnsi="Times New Roman"/>
          <w:sz w:val="20"/>
          <w:szCs w:val="20"/>
          <w:color w:val="auto"/>
        </w:rPr>
        <w:t>. We continue to improve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scientific understanding of our platform, including how our technology allows enhanced delivery of cargo proteins, thereby impacting the biological processes associated with the diseases we seek to treat. In addition, with our expertise in the use of a CPP to effectively deliver proteins to intracellular targets, we believe that our scientists are well positioned to design and develop additional therapies that will address unmet medical needs associated with other rare diseases and develop other therapeutics with potentially disease modifying therapeutic action. We also plan to continue to build our intellectual property portfolio to improve our protein replacement therapy platform.</w:t>
      </w:r>
    </w:p>
    <w:p>
      <w:pPr>
        <w:spacing w:after="0" w:line="96" w:lineRule="exact"/>
        <w:rPr>
          <w:rFonts w:ascii="Arial" w:cs="Arial" w:eastAsia="Arial" w:hAnsi="Arial"/>
          <w:sz w:val="20"/>
          <w:szCs w:val="20"/>
          <w:color w:val="auto"/>
        </w:rPr>
      </w:pPr>
    </w:p>
    <w:p>
      <w:pPr>
        <w:ind w:left="720" w:right="20" w:hanging="360"/>
        <w:spacing w:after="0" w:line="242"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 xml:space="preserve">Opportunistically evaluate enabling, adjacent or potential competing technologies, and where advantageous, seek licenses or collaborations regarding those technologies, to advance our platform. </w:t>
      </w:r>
      <w:r>
        <w:rPr>
          <w:rFonts w:ascii="Times New Roman" w:cs="Times New Roman" w:eastAsia="Times New Roman" w:hAnsi="Times New Roman"/>
          <w:sz w:val="20"/>
          <w:szCs w:val="20"/>
          <w:color w:val="auto"/>
        </w:rPr>
        <w:t>We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will continue to evaluate technologies that may enable or enhance our product candidates or our rare disease focus. To facilitate the advancement of our CPP platform, we periodically engage in partnering and licensing discussions with a range of biotechnology or pharmaceutical companies and academic institutions and maintain awareness of complementary technologies, synergistic opportunities and "tuck-in" options.</w:t>
      </w:r>
    </w:p>
    <w:p>
      <w:pPr>
        <w:spacing w:after="0" w:line="91" w:lineRule="exact"/>
        <w:rPr>
          <w:rFonts w:ascii="Arial" w:cs="Arial" w:eastAsia="Arial" w:hAnsi="Arial"/>
          <w:sz w:val="20"/>
          <w:szCs w:val="20"/>
          <w:color w:val="auto"/>
        </w:rPr>
      </w:pPr>
    </w:p>
    <w:p>
      <w:pPr>
        <w:jc w:val="both"/>
        <w:ind w:left="720" w:right="220" w:hanging="360"/>
        <w:spacing w:after="0" w:line="300" w:lineRule="auto"/>
        <w:tabs>
          <w:tab w:leader="none" w:pos="720" w:val="left"/>
        </w:tabs>
        <w:numPr>
          <w:ilvl w:val="0"/>
          <w:numId w:val="12"/>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Continue to Strengthen Key Relationships</w:t>
      </w:r>
      <w:r>
        <w:rPr>
          <w:rFonts w:ascii="Times New Roman" w:cs="Times New Roman" w:eastAsia="Times New Roman" w:hAnsi="Times New Roman"/>
          <w:sz w:val="19"/>
          <w:szCs w:val="19"/>
          <w:color w:val="auto"/>
        </w:rPr>
        <w:t>. We partner with experts in every aspect of development. We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believe this expertise, along with our technology platform, will provide us with the ability to develop and</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360"/>
          </w:cols>
          <w:pgMar w:left="1260" w:top="1238" w:right="1260" w:bottom="0" w:gutter="0" w:footer="0" w:header="0"/>
          <w:type w:val="continuous"/>
        </w:sectPr>
      </w:pPr>
    </w:p>
    <w:bookmarkStart w:id="9" w:name="page10"/>
    <w:bookmarkEnd w:id="9"/>
    <w:p>
      <w:pPr>
        <w:ind w:left="720"/>
        <w:spacing w:after="0" w:line="239" w:lineRule="auto"/>
        <w:rPr>
          <w:sz w:val="20"/>
          <w:szCs w:val="20"/>
          <w:color w:val="auto"/>
        </w:rPr>
      </w:pPr>
      <w:r>
        <w:rPr>
          <w:rFonts w:ascii="Times New Roman" w:cs="Times New Roman" w:eastAsia="Times New Roman" w:hAnsi="Times New Roman"/>
          <w:sz w:val="20"/>
          <w:szCs w:val="20"/>
          <w:color w:val="auto"/>
        </w:rPr>
        <w:t>commercialize the drug and biologic candidates we have under development and to maximize the value of our platform. In addition to partnering with experts in drug and biologic development, we collaborate with key opinion leaders, academic institutions, experts in the field of rare diseases and with patient advocacy groups associated with the diseases that are being targeted. 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We build these relationships to enhance our knowledge of the patient’s needs and utilize that knowledge to design development programs intended to address unmet medical needs and add value for potential patients.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Platform Technology for Treatment of Rare Genetic Diseases</w:t>
      </w:r>
    </w:p>
    <w:p>
      <w:pPr>
        <w:spacing w:after="0" w:line="122"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There are estimated to be between 5,000 and 7,000 rare genetic diseases, which, collectively affect hundreds of millions of people worldwide. Of the hundreds of millions of individuals suffering from these rare genetic diseases, only approximately 5% have therapeutic options available to manage their disease. Many of these diseases result from a deficiency in the amount or the function of a particular target molecule, often a protein. Particularly challenging to treat are those diseases that result from the deficiency of a molecule that is active within a cell or within a cell-based organelle. The challenge to providing treatment of these diseases is the need to improve the amount or function of the therapeutic target by transporting a therapeutic element across the cell membrane and potentially the membrane of the organelle where the target is active in the diseased patients.</w:t>
      </w:r>
    </w:p>
    <w:p>
      <w:pPr>
        <w:spacing w:after="0" w:line="82"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The ability to transport therapeutic proteins across biological membranes has, to date, not been reproducibly achieved. The collective population of people with rare diseases stands to benefit from the emergence of a scalable treatment platform that can transport therapeutic proteins across cell membranes to deliver them to the intracellular site of activity. In addition, traditionally, medical treatment for each rare genetic disorder has been approached on a disease-by-disease basis. This approach is inefficient, as there are thousands of diseases, each with a distinct patient population, that cannot be addressed by traditional therapeutic approaches and are in need of treatment options. Our understanding of our therapeutics derived from proprietary gene expression data across several disease models supports the concept that product candidates based on our platform technology could significantly impact common pathological mechanisms in various diseases with comparable etiologies. We are utilizing this approach to identify therapeutic opportunities where our molecules and technology are more likely to be impactful.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CTI-1601 For the Treatment of Friedreich’s ataxia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Friedreich’s ataxia</w:t>
      </w:r>
    </w:p>
    <w:p>
      <w:pPr>
        <w:spacing w:after="0" w:line="11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Friedreich’s ataxia is a rare genetic disease that is the most commonly inherited ataxia in humans, with approximately 20,000 individuals living with Friedreich’s ataxia globally, and of these individuals, approximately 5,000 are in the United States and the majority of the remaining individuals are in the European Union. Friedreich’s ataxia results from a deficiency of the mitochondrial protein, FXN. FXN is an essential and phylogenetically conserved protein that is found in cells throughout the body, with the highest levels found in the heart, spinal cord, liver, pancreas, and skeletal muscle. FXN is encoded in the nucleus of the cell, expressed in the cytoplasm and transported into the mitochondria, where it is processed to the mature form. As part of this process the mitochondrial targeting sequence is cleaved off in the mitochondria by a naturally occurring enzyme.</w:t>
      </w:r>
    </w:p>
    <w:p>
      <w:pPr>
        <w:spacing w:after="0" w:line="82"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Friedreich’s ataxia is a progressive multi-symptom disease typically presenting in mid-childhood that affects the functioning of multiple organs and systems. It is a debilitating neurodegenerative disease that results in poor coordination of legs and arms, progressive loss of the ability to walk, generalized weakness, loss of sensation, scoliosis, diabetes and cardiomyopathy as well as impaired vision, hearing and speech. Patients suffer from progressive neurologic and cardiac dysfunction. Key among these is a primary neurodegeneration of the dorsal root ganglia and the dentate nucleus of the cerebellum, which leads to the hallmark clinical findings of progressive limb ataxia and dysarthria. A hypertrophic cardiomyopathy is common and associated with early mortality, typically between 30 and 50 years of age. On February 28, 2023, the FDA approved omaveloxolone, the first drug indicated for the treatment of Friedreich’s ataxia.</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CTI-1601</w:t>
      </w:r>
    </w:p>
    <w:p>
      <w:pPr>
        <w:spacing w:after="0" w:line="117"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CTI-1601, a biologic fusion protein that is administered subcutaneously, consists of a CPP genetically fused to human FXN, and includes a mitochondrial targeting sequence. Using our proprietary peptide delivery technology,</w:t>
      </w:r>
    </w:p>
    <w:p>
      <w:pPr>
        <w:sectPr>
          <w:pgSz w:w="11880" w:h="15480" w:orient="portrait"/>
          <w:cols w:equalWidth="0" w:num="1">
            <w:col w:w="9360"/>
          </w:cols>
          <w:pgMar w:left="1260" w:top="123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360"/>
          </w:cols>
          <w:pgMar w:left="1260" w:top="1234" w:right="1260" w:bottom="0" w:gutter="0" w:footer="0" w:header="0"/>
          <w:type w:val="continuous"/>
        </w:sectPr>
      </w:pPr>
    </w:p>
    <w:bookmarkStart w:id="10" w:name="page11"/>
    <w:bookmarkEnd w:id="10"/>
    <w:p>
      <w:pPr>
        <w:ind w:right="420"/>
        <w:spacing w:after="0" w:line="307" w:lineRule="auto"/>
        <w:rPr>
          <w:sz w:val="20"/>
          <w:szCs w:val="20"/>
          <w:color w:val="auto"/>
        </w:rPr>
      </w:pPr>
      <w:r>
        <w:rPr>
          <w:rFonts w:ascii="Times New Roman" w:cs="Times New Roman" w:eastAsia="Times New Roman" w:hAnsi="Times New Roman"/>
          <w:sz w:val="19"/>
          <w:szCs w:val="19"/>
          <w:color w:val="auto"/>
        </w:rPr>
        <w:t>CTI-1601 carries the molecule from the intravascular space across the cell membrane and into the mitochondria where the CPP and the mitochondrial targeting sequence are cleaved off to yield mature FXN. See Figure 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91440</wp:posOffset>
            </wp:positionV>
            <wp:extent cx="4800600" cy="1790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00600" cy="1790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We have completed two Phase 1 CTI-1601 clinical trials and are currently conducting a Phase 2 dose exploration study. The CTI-1601 program remains under a partial clinical hold imposed by the FDA, and further clinical development of CTI-1601 is contingent upon FDA agreement based on its review of the data from the 25 mg cohort we are currently studying. Based on the results of our non-clinical development program as well as results from our Phase 1 clinical trials, we believe that administering CTI-1601 may increase FXN levels in the mitochondria of patients with Friedreich’s ataxia and patients could potentially experience:</w:t>
      </w:r>
    </w:p>
    <w:p>
      <w:pPr>
        <w:spacing w:after="0" w:line="94" w:lineRule="exact"/>
        <w:rPr>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improved cellular function;</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 positive impact on Friedreich’s ataxia symptoms; and</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a slowing of progression of the disease, potentially prolonging life.</w:t>
      </w:r>
    </w:p>
    <w:p>
      <w:pPr>
        <w:spacing w:after="0" w:line="119"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In our Phase 1 clinical trials, CTI-1601 appeared to increase FXN levels in the peripheral tissues that were tested (buccal cells, skin biopsies and platelets). Based on this, we believe that our technology may allow us to address other rare genetic diseases that either require the replacement of molecules that need to target specific intracellular organelles, or that share similar clinical symptoms that overlap with Friedreich’s ataxia. Finally, the use of CTI-1601 to improve mitochondrial function in other rare diseases that demonstrate evidence of mitochondrial dysfunction is also being explored.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Development of CTI-1601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Non-clinical Development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Knock-Out Mice and Other Non-clinical Studies</w:t>
      </w:r>
    </w:p>
    <w:p>
      <w:pPr>
        <w:spacing w:after="0" w:line="11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CTI-1601 has been demonstrated to prolong the life of knock-out mice ("KO") mice whose heart and skeletal muscles were deficient in FXN. These mice, when untreated, develop a severe hypertrophic cardiomyopathy similar to patients with Friedreich’s ataxia and, like many Friedreich’s ataxia patients, die early in life. In non-clinical studies of CTI-1601, the median survival in animals treated with vehicle of 98 days was extended to a median survival of 166 days in animals treated with CTI-1601 subcutaneously three times per week (p=0.0001).</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360"/>
          </w:cols>
          <w:pgMar w:left="1260" w:top="1238" w:right="1260" w:bottom="0" w:gutter="0" w:footer="0" w:header="0"/>
          <w:type w:val="continuous"/>
        </w:sectPr>
      </w:pPr>
    </w:p>
    <w:bookmarkStart w:id="11" w:name="page12"/>
    <w:bookmarkEnd w:id="11"/>
    <w:p>
      <w:pPr>
        <w:ind w:right="320"/>
        <w:spacing w:after="0" w:line="279" w:lineRule="auto"/>
        <w:rPr>
          <w:sz w:val="20"/>
          <w:szCs w:val="20"/>
          <w:color w:val="auto"/>
        </w:rPr>
      </w:pPr>
      <w:r>
        <w:rPr>
          <w:rFonts w:ascii="Times New Roman" w:cs="Times New Roman" w:eastAsia="Times New Roman" w:hAnsi="Times New Roman"/>
          <w:sz w:val="20"/>
          <w:szCs w:val="20"/>
          <w:color w:val="auto"/>
        </w:rPr>
        <w:t>Furthermore, 87.5% of mice treated with CTI-1601 survived beyond the mean age of death in the vehicle treated group (107.5 days) whereas only 33% of vehicle treated animals survived. Results are reflected in Figure 2.</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91440</wp:posOffset>
            </wp:positionV>
            <wp:extent cx="2762250" cy="1924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62250" cy="1924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In a separate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activity of succinate dehydrogenase ("SDH") an enzyme whose activity is dependent on the presence of FXN, was also analyzed. Human FXN was found in the 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 type animals. There was no further increase in activity when the animals were dosed with 60 mg/kg or 100 mg/kg but the effect was maintained at levels equivalent to that of wild type animals. See Figures 3 and 4.</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1638300</wp:posOffset>
            </wp:positionH>
            <wp:positionV relativeFrom="paragraph">
              <wp:posOffset>91440</wp:posOffset>
            </wp:positionV>
            <wp:extent cx="2667000" cy="17430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67000" cy="1743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1724025</wp:posOffset>
            </wp:positionH>
            <wp:positionV relativeFrom="paragraph">
              <wp:posOffset>91440</wp:posOffset>
            </wp:positionV>
            <wp:extent cx="2495550" cy="16192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5550" cy="1619250"/>
                    </a:xfrm>
                    <a:prstGeom prst="rect">
                      <a:avLst/>
                    </a:prstGeom>
                    <a:noFill/>
                  </pic:spPr>
                </pic:pic>
              </a:graphicData>
            </a:graphic>
          </wp:anchor>
        </w:drawing>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340"/>
          </w:cols>
          <w:pgMar w:left="1260" w:top="1238" w:right="1280" w:bottom="0" w:gutter="0" w:footer="0" w:header="0"/>
          <w:type w:val="continuous"/>
        </w:sectPr>
      </w:pPr>
    </w:p>
    <w:bookmarkStart w:id="12" w:name="page13"/>
    <w:bookmarkEnd w:id="12"/>
    <w:p>
      <w:pPr>
        <w:ind w:firstLine="490"/>
        <w:spacing w:after="0" w:line="249" w:lineRule="auto"/>
        <w:rPr>
          <w:sz w:val="20"/>
          <w:szCs w:val="20"/>
          <w:color w:val="auto"/>
        </w:rPr>
      </w:pPr>
      <w:r>
        <w:rPr>
          <w:rFonts w:ascii="Times New Roman" w:cs="Times New Roman" w:eastAsia="Times New Roman" w:hAnsi="Times New Roman"/>
          <w:sz w:val="20"/>
          <w:szCs w:val="20"/>
          <w:color w:val="auto"/>
        </w:rPr>
        <w:t>Another study, also performed at an independent laboratory, demonstrated the maintenance of cardiac function when the same KO mouse model was studied. These mice were treated with CTI-1601 at doses of 10 mg/kg every other day for 6 weeks. Echocardiograms were performed prior to initiating dosing and after 4 weeks of dosing. When compared to vehicle, mice treated with CTI-1601 maintained their left ventricular volume and ejection fraction while vehicle treated mice deteriorated over the same 4-week period. See Figures 5 and 6.</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91440</wp:posOffset>
            </wp:positionV>
            <wp:extent cx="4857750" cy="18383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57750" cy="1838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91440</wp:posOffset>
            </wp:positionV>
            <wp:extent cx="4714875" cy="1885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1487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520" w:firstLine="490"/>
        <w:spacing w:after="0" w:line="279" w:lineRule="auto"/>
        <w:rPr>
          <w:sz w:val="20"/>
          <w:szCs w:val="20"/>
          <w:color w:val="auto"/>
        </w:rPr>
      </w:pPr>
      <w:r>
        <w:rPr>
          <w:rFonts w:ascii="Times New Roman" w:cs="Times New Roman" w:eastAsia="Times New Roman" w:hAnsi="Times New Roman"/>
          <w:sz w:val="20"/>
          <w:szCs w:val="20"/>
          <w:color w:val="auto"/>
        </w:rPr>
        <w:t>Using a neurologic mouse model, treatment with CTI-1601 prevented the development of ataxia in mice whose nervous system was deficient in FXN compared to those treated with placebo.</w:t>
      </w:r>
    </w:p>
    <w:p>
      <w:pPr>
        <w:spacing w:after="0" w:line="45" w:lineRule="exact"/>
        <w:rPr>
          <w:sz w:val="20"/>
          <w:szCs w:val="20"/>
          <w:color w:val="auto"/>
        </w:rPr>
      </w:pPr>
    </w:p>
    <w:p>
      <w:pPr>
        <w:ind w:right="260" w:firstLine="490"/>
        <w:spacing w:after="0" w:line="279" w:lineRule="auto"/>
        <w:rPr>
          <w:sz w:val="20"/>
          <w:szCs w:val="20"/>
          <w:color w:val="auto"/>
        </w:rPr>
      </w:pPr>
      <w:r>
        <w:rPr>
          <w:rFonts w:ascii="Times New Roman" w:cs="Times New Roman" w:eastAsia="Times New Roman" w:hAnsi="Times New Roman"/>
          <w:sz w:val="20"/>
          <w:szCs w:val="20"/>
          <w:color w:val="auto"/>
        </w:rPr>
        <w:t>In multiple non-clinical studies in rodents and non-human primates ("NHPs"), human FXN was found to be distributed into all tissues tested following CTI-1601 dosing. See Figure 7.</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Figure 7.</w:t>
      </w:r>
    </w:p>
    <w:p>
      <w:pPr>
        <w:spacing w:after="0" w:line="200" w:lineRule="exact"/>
        <w:rPr>
          <w:sz w:val="20"/>
          <w:szCs w:val="20"/>
          <w:color w:val="auto"/>
        </w:rPr>
      </w:pPr>
    </w:p>
    <w:p>
      <w:pPr>
        <w:spacing w:after="0" w:line="32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Observed hFXN across all tissue and cell types tested:</w:t>
      </w:r>
    </w:p>
    <w:p>
      <w:pPr>
        <w:spacing w:after="0" w:line="96" w:lineRule="exact"/>
        <w:rPr>
          <w:sz w:val="20"/>
          <w:szCs w:val="20"/>
          <w:color w:val="auto"/>
        </w:rPr>
      </w:pPr>
    </w:p>
    <w:tbl>
      <w:tblPr>
        <w:tblLayout w:type="fixed"/>
        <w:tblInd w:w="760" w:type="dxa"/>
        <w:tblCellMar>
          <w:top w:w="0" w:type="dxa"/>
          <w:left w:w="0" w:type="dxa"/>
          <w:bottom w:w="0" w:type="dxa"/>
          <w:right w:w="0" w:type="dxa"/>
        </w:tblCellMar>
      </w:tblPr>
      <w:tr>
        <w:trPr>
          <w:trHeight w:val="325"/>
        </w:trPr>
        <w:tc>
          <w:tcPr>
            <w:tcW w:w="2340" w:type="dxa"/>
            <w:vAlign w:val="bottom"/>
            <w:gridSpan w:val="2"/>
          </w:tcPr>
          <w:p>
            <w:pPr>
              <w:spacing w:after="0"/>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Brain</w:t>
            </w:r>
          </w:p>
        </w:tc>
        <w:tc>
          <w:tcPr>
            <w:tcW w:w="3260" w:type="dxa"/>
            <w:vAlign w:val="bottom"/>
            <w:gridSpan w:val="2"/>
          </w:tcPr>
          <w:p>
            <w:pPr>
              <w:ind w:left="360"/>
              <w:spacing w:after="0"/>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Spinal Cord</w:t>
            </w:r>
          </w:p>
        </w:tc>
        <w:tc>
          <w:tcPr>
            <w:tcW w:w="1780" w:type="dxa"/>
            <w:vAlign w:val="bottom"/>
            <w:gridSpan w:val="2"/>
          </w:tcPr>
          <w:p>
            <w:pPr>
              <w:ind w:left="420"/>
              <w:spacing w:after="0"/>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Skin</w:t>
            </w:r>
          </w:p>
        </w:tc>
      </w:tr>
      <w:tr>
        <w:trPr>
          <w:trHeight w:val="325"/>
        </w:trPr>
        <w:tc>
          <w:tcPr>
            <w:tcW w:w="2340" w:type="dxa"/>
            <w:vAlign w:val="bottom"/>
            <w:gridSpan w:val="2"/>
          </w:tcPr>
          <w:p>
            <w:pPr>
              <w:spacing w:after="0"/>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Heart</w:t>
            </w:r>
          </w:p>
        </w:tc>
        <w:tc>
          <w:tcPr>
            <w:tcW w:w="3260" w:type="dxa"/>
            <w:vAlign w:val="bottom"/>
            <w:gridSpan w:val="2"/>
          </w:tcPr>
          <w:p>
            <w:pPr>
              <w:ind w:left="360"/>
              <w:spacing w:after="0"/>
              <w:rPr>
                <w:sz w:val="20"/>
                <w:szCs w:val="20"/>
                <w:color w:val="auto"/>
              </w:rPr>
            </w:pPr>
            <w:r>
              <w:rPr>
                <w:rFonts w:ascii="Arial" w:cs="Arial" w:eastAsia="Arial" w:hAnsi="Arial"/>
                <w:sz w:val="20"/>
                <w:szCs w:val="20"/>
                <w:color w:val="auto"/>
              </w:rPr>
              <w:t xml:space="preserve">" </w:t>
            </w:r>
            <w:r>
              <w:rPr>
                <w:rFonts w:ascii="Times New Roman" w:cs="Times New Roman" w:eastAsia="Times New Roman" w:hAnsi="Times New Roman"/>
                <w:sz w:val="20"/>
                <w:szCs w:val="20"/>
                <w:color w:val="auto"/>
              </w:rPr>
              <w:t>Cardiac Mitochondria</w:t>
            </w:r>
          </w:p>
        </w:tc>
        <w:tc>
          <w:tcPr>
            <w:tcW w:w="680" w:type="dxa"/>
            <w:vAlign w:val="bottom"/>
          </w:tcPr>
          <w:p>
            <w:pPr>
              <w:ind w:left="420"/>
              <w:spacing w:after="0"/>
              <w:rPr>
                <w:sz w:val="20"/>
                <w:szCs w:val="20"/>
                <w:color w:val="auto"/>
              </w:rPr>
            </w:pPr>
            <w:r>
              <w:rPr>
                <w:rFonts w:ascii="Arial" w:cs="Arial" w:eastAsia="Arial" w:hAnsi="Arial"/>
                <w:sz w:val="20"/>
                <w:szCs w:val="20"/>
                <w:color w:val="auto"/>
              </w:rPr>
              <w:t>"</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w w:val="98"/>
              </w:rPr>
              <w:t>Buccal Cells</w:t>
            </w:r>
          </w:p>
        </w:tc>
      </w:tr>
      <w:tr>
        <w:trPr>
          <w:trHeight w:val="325"/>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Liver</w:t>
            </w:r>
          </w:p>
        </w:tc>
        <w:tc>
          <w:tcPr>
            <w:tcW w:w="600" w:type="dxa"/>
            <w:vAlign w:val="bottom"/>
          </w:tcPr>
          <w:p>
            <w:pPr>
              <w:ind w:left="360"/>
              <w:spacing w:after="0"/>
              <w:rPr>
                <w:sz w:val="20"/>
                <w:szCs w:val="20"/>
                <w:color w:val="auto"/>
              </w:rPr>
            </w:pPr>
            <w:r>
              <w:rPr>
                <w:rFonts w:ascii="Arial" w:cs="Arial" w:eastAsia="Arial" w:hAnsi="Arial"/>
                <w:sz w:val="20"/>
                <w:szCs w:val="20"/>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CSF (Cerebrospinal Fluid)</w:t>
            </w:r>
          </w:p>
        </w:tc>
        <w:tc>
          <w:tcPr>
            <w:tcW w:w="680" w:type="dxa"/>
            <w:vAlign w:val="bottom"/>
          </w:tcPr>
          <w:p>
            <w:pPr>
              <w:ind w:left="420"/>
              <w:spacing w:after="0"/>
              <w:rPr>
                <w:sz w:val="20"/>
                <w:szCs w:val="20"/>
                <w:color w:val="auto"/>
              </w:rPr>
            </w:pPr>
            <w:r>
              <w:rPr>
                <w:rFonts w:ascii="Arial" w:cs="Arial" w:eastAsia="Arial" w:hAnsi="Arial"/>
                <w:sz w:val="20"/>
                <w:szCs w:val="20"/>
                <w:color w:val="auto"/>
              </w:rPr>
              <w:t>"</w:t>
            </w:r>
          </w:p>
        </w:tc>
        <w:tc>
          <w:tcPr>
            <w:tcW w:w="110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Platelets</w:t>
            </w:r>
          </w:p>
        </w:tc>
      </w:tr>
      <w:tr>
        <w:trPr>
          <w:trHeight w:val="338"/>
        </w:trPr>
        <w:tc>
          <w:tcPr>
            <w:tcW w:w="240" w:type="dxa"/>
            <w:vAlign w:val="bottom"/>
          </w:tcPr>
          <w:p>
            <w:pPr>
              <w:spacing w:after="0"/>
              <w:rPr>
                <w:sz w:val="20"/>
                <w:szCs w:val="20"/>
                <w:color w:val="auto"/>
              </w:rPr>
            </w:pPr>
            <w:r>
              <w:rPr>
                <w:rFonts w:ascii="Arial" w:cs="Arial" w:eastAsia="Arial" w:hAnsi="Arial"/>
                <w:sz w:val="20"/>
                <w:szCs w:val="20"/>
                <w:color w:val="auto"/>
              </w:rPr>
              <w:t>"</w:t>
            </w:r>
          </w:p>
        </w:tc>
        <w:tc>
          <w:tcPr>
            <w:tcW w:w="21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Dorsal Root Ganglia</w:t>
            </w:r>
          </w:p>
        </w:tc>
        <w:tc>
          <w:tcPr>
            <w:tcW w:w="600" w:type="dxa"/>
            <w:vAlign w:val="bottom"/>
          </w:tcPr>
          <w:p>
            <w:pPr>
              <w:ind w:left="360"/>
              <w:spacing w:after="0"/>
              <w:rPr>
                <w:sz w:val="20"/>
                <w:szCs w:val="20"/>
                <w:color w:val="auto"/>
              </w:rPr>
            </w:pPr>
            <w:r>
              <w:rPr>
                <w:rFonts w:ascii="Arial" w:cs="Arial" w:eastAsia="Arial" w:hAnsi="Arial"/>
                <w:sz w:val="20"/>
                <w:szCs w:val="20"/>
                <w:color w:val="auto"/>
              </w:rPr>
              <w:t>"</w:t>
            </w:r>
          </w:p>
        </w:tc>
        <w:tc>
          <w:tcPr>
            <w:tcW w:w="26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Skeletal Muscle</w:t>
            </w:r>
          </w:p>
        </w:tc>
        <w:tc>
          <w:tcPr>
            <w:tcW w:w="6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0" w:lineRule="exact"/>
        <w:rPr>
          <w:sz w:val="20"/>
          <w:szCs w:val="20"/>
          <w:color w:val="auto"/>
        </w:rPr>
      </w:pP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360"/>
          </w:cols>
          <w:pgMar w:left="1260" w:top="1238" w:right="1260" w:bottom="0" w:gutter="0" w:footer="0" w:header="0"/>
          <w:type w:val="continuous"/>
        </w:sectPr>
      </w:pPr>
    </w:p>
    <w:bookmarkStart w:id="13" w:name="page14"/>
    <w:bookmarkEnd w:id="13"/>
    <w:p>
      <w:pPr>
        <w:spacing w:after="0" w:line="45" w:lineRule="exact"/>
        <w:rPr>
          <w:sz w:val="20"/>
          <w:szCs w:val="20"/>
          <w:color w:val="auto"/>
        </w:rPr>
      </w:pPr>
    </w:p>
    <w:tbl>
      <w:tblPr>
        <w:tblLayout w:type="fixed"/>
        <w:tblInd w:w="760" w:type="dxa"/>
        <w:tblCellMar>
          <w:top w:w="0" w:type="dxa"/>
          <w:left w:w="0" w:type="dxa"/>
          <w:bottom w:w="0" w:type="dxa"/>
          <w:right w:w="0" w:type="dxa"/>
        </w:tblCellMar>
      </w:tblPr>
      <w:tr>
        <w:trPr>
          <w:trHeight w:val="234"/>
        </w:trPr>
        <w:tc>
          <w:tcPr>
            <w:tcW w:w="1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900" w:type="dxa"/>
            <w:vAlign w:val="bottom"/>
            <w:tcBorders>
              <w:bottom w:val="single" w:sz="8" w:color="auto"/>
            </w:tcBorders>
            <w:gridSpan w:val="4"/>
          </w:tcPr>
          <w:p>
            <w:pPr>
              <w:ind w:left="1000"/>
              <w:spacing w:after="0"/>
              <w:rPr>
                <w:sz w:val="20"/>
                <w:szCs w:val="20"/>
                <w:color w:val="auto"/>
              </w:rPr>
            </w:pPr>
            <w:r>
              <w:rPr>
                <w:rFonts w:ascii="Times New Roman" w:cs="Times New Roman" w:eastAsia="Times New Roman" w:hAnsi="Times New Roman"/>
                <w:sz w:val="16"/>
                <w:szCs w:val="16"/>
                <w:b w:val="1"/>
                <w:bCs w:val="1"/>
                <w:color w:val="auto"/>
              </w:rPr>
              <w:t>Tissues Examined, By Study</w:t>
            </w:r>
          </w:p>
        </w:tc>
      </w:tr>
      <w:tr>
        <w:trPr>
          <w:trHeight w:val="214"/>
        </w:trPr>
        <w:tc>
          <w:tcPr>
            <w:tcW w:w="18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Study</w:t>
            </w:r>
          </w:p>
        </w:tc>
        <w:tc>
          <w:tcPr>
            <w:tcW w:w="100" w:type="dxa"/>
            <w:vAlign w:val="bottom"/>
          </w:tcPr>
          <w:p>
            <w:pPr>
              <w:spacing w:after="0"/>
              <w:rPr>
                <w:sz w:val="18"/>
                <w:szCs w:val="18"/>
                <w:color w:val="auto"/>
              </w:rPr>
            </w:pPr>
          </w:p>
        </w:tc>
        <w:tc>
          <w:tcPr>
            <w:tcW w:w="19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Study Vehicle</w:t>
            </w:r>
          </w:p>
        </w:tc>
        <w:tc>
          <w:tcPr>
            <w:tcW w:w="80" w:type="dxa"/>
            <w:vAlign w:val="bottom"/>
          </w:tcPr>
          <w:p>
            <w:pPr>
              <w:spacing w:after="0"/>
              <w:rPr>
                <w:sz w:val="18"/>
                <w:szCs w:val="18"/>
                <w:color w:val="auto"/>
              </w:rPr>
            </w:pPr>
          </w:p>
        </w:tc>
        <w:tc>
          <w:tcPr>
            <w:tcW w:w="386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Human Frataxin Distribution</w:t>
            </w:r>
          </w:p>
        </w:tc>
      </w:tr>
      <w:tr>
        <w:trPr>
          <w:trHeight w:val="219"/>
        </w:trPr>
        <w:tc>
          <w:tcPr>
            <w:tcW w:w="1860" w:type="dxa"/>
            <w:vAlign w:val="bottom"/>
            <w:tcBorders>
              <w:top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rPr>
              <w:t>TOX-1601-01</w:t>
            </w:r>
          </w:p>
        </w:tc>
        <w:tc>
          <w:tcPr>
            <w:tcW w:w="100" w:type="dxa"/>
            <w:vAlign w:val="bottom"/>
          </w:tcPr>
          <w:p>
            <w:pPr>
              <w:spacing w:after="0"/>
              <w:rPr>
                <w:sz w:val="19"/>
                <w:szCs w:val="19"/>
                <w:color w:val="auto"/>
              </w:rPr>
            </w:pPr>
          </w:p>
        </w:tc>
        <w:tc>
          <w:tcPr>
            <w:tcW w:w="1960" w:type="dxa"/>
            <w:vAlign w:val="bottom"/>
            <w:tcBorders>
              <w:top w:val="single" w:sz="8" w:color="auto"/>
            </w:tcBorders>
          </w:tcPr>
          <w:p>
            <w:pPr>
              <w:spacing w:after="0" w:line="219" w:lineRule="exact"/>
              <w:rPr>
                <w:sz w:val="20"/>
                <w:szCs w:val="20"/>
                <w:color w:val="auto"/>
              </w:rPr>
            </w:pPr>
            <w:r>
              <w:rPr>
                <w:rFonts w:ascii="Times New Roman" w:cs="Times New Roman" w:eastAsia="Times New Roman" w:hAnsi="Times New Roman"/>
                <w:sz w:val="20"/>
                <w:szCs w:val="20"/>
                <w:color w:val="auto"/>
              </w:rPr>
              <w:t>Rats</w:t>
            </w:r>
          </w:p>
        </w:tc>
        <w:tc>
          <w:tcPr>
            <w:tcW w:w="80" w:type="dxa"/>
            <w:vAlign w:val="bottom"/>
          </w:tcPr>
          <w:p>
            <w:pPr>
              <w:spacing w:after="0"/>
              <w:rPr>
                <w:sz w:val="19"/>
                <w:szCs w:val="19"/>
                <w:color w:val="auto"/>
              </w:rPr>
            </w:pPr>
          </w:p>
        </w:tc>
        <w:tc>
          <w:tcPr>
            <w:tcW w:w="3840" w:type="dxa"/>
            <w:vAlign w:val="bottom"/>
            <w:tcBorders>
              <w:top w:val="single" w:sz="8" w:color="auto"/>
            </w:tcBorders>
          </w:tcPr>
          <w:p>
            <w:pPr>
              <w:ind w:left="20"/>
              <w:spacing w:after="0" w:line="219" w:lineRule="exact"/>
              <w:rPr>
                <w:sz w:val="20"/>
                <w:szCs w:val="20"/>
                <w:color w:val="auto"/>
              </w:rPr>
            </w:pPr>
            <w:r>
              <w:rPr>
                <w:rFonts w:ascii="Times New Roman" w:cs="Times New Roman" w:eastAsia="Times New Roman" w:hAnsi="Times New Roman"/>
                <w:sz w:val="20"/>
                <w:szCs w:val="20"/>
                <w:color w:val="auto"/>
              </w:rPr>
              <w:t>Brain, Heart, Liver</w:t>
            </w:r>
          </w:p>
        </w:tc>
        <w:tc>
          <w:tcPr>
            <w:tcW w:w="20" w:type="dxa"/>
            <w:vAlign w:val="bottom"/>
          </w:tcPr>
          <w:p>
            <w:pPr>
              <w:spacing w:after="0"/>
              <w:rPr>
                <w:sz w:val="19"/>
                <w:szCs w:val="19"/>
                <w:color w:val="auto"/>
              </w:rPr>
            </w:pPr>
          </w:p>
        </w:tc>
      </w:tr>
      <w:tr>
        <w:trPr>
          <w:trHeight w:val="240"/>
        </w:trPr>
        <w:tc>
          <w:tcPr>
            <w:tcW w:w="1860" w:type="dxa"/>
            <w:vAlign w:val="bottom"/>
          </w:tcPr>
          <w:p>
            <w:pPr>
              <w:spacing w:after="0"/>
              <w:rPr>
                <w:sz w:val="20"/>
                <w:szCs w:val="20"/>
                <w:color w:val="auto"/>
              </w:rPr>
            </w:pPr>
            <w:r>
              <w:rPr>
                <w:rFonts w:ascii="Times New Roman" w:cs="Times New Roman" w:eastAsia="Times New Roman" w:hAnsi="Times New Roman"/>
                <w:sz w:val="20"/>
                <w:szCs w:val="20"/>
                <w:color w:val="auto"/>
              </w:rPr>
              <w:t>PHARM-1601-02</w:t>
            </w: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20"/>
                <w:szCs w:val="20"/>
                <w:color w:val="auto"/>
              </w:rPr>
              <w:t>Neuro KO Mice</w:t>
            </w:r>
          </w:p>
        </w:tc>
        <w:tc>
          <w:tcPr>
            <w:tcW w:w="80" w:type="dxa"/>
            <w:vAlign w:val="bottom"/>
          </w:tcPr>
          <w:p>
            <w:pPr>
              <w:spacing w:after="0"/>
              <w:rPr>
                <w:sz w:val="20"/>
                <w:szCs w:val="20"/>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Brain, Dorsal Root Ganglia, Spinal Cord</w:t>
            </w:r>
          </w:p>
        </w:tc>
      </w:t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20"/>
                <w:szCs w:val="20"/>
                <w:color w:val="auto"/>
              </w:rPr>
              <w:t>PHARM-1601-03/04</w:t>
            </w:r>
          </w:p>
        </w:tc>
        <w:tc>
          <w:tcPr>
            <w:tcW w:w="100" w:type="dxa"/>
            <w:vAlign w:val="bottom"/>
          </w:tcPr>
          <w:p>
            <w:pPr>
              <w:spacing w:after="0"/>
              <w:rPr>
                <w:sz w:val="19"/>
                <w:szCs w:val="19"/>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20"/>
                <w:szCs w:val="20"/>
                <w:color w:val="auto"/>
              </w:rPr>
              <w:t>Cardiac KO Mice</w:t>
            </w:r>
          </w:p>
        </w:tc>
        <w:tc>
          <w:tcPr>
            <w:tcW w:w="80" w:type="dxa"/>
            <w:vAlign w:val="bottom"/>
          </w:tcPr>
          <w:p>
            <w:pPr>
              <w:spacing w:after="0"/>
              <w:rPr>
                <w:sz w:val="19"/>
                <w:szCs w:val="19"/>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Mitochondria of Skeletal Muscle and</w:t>
            </w:r>
          </w:p>
        </w:tc>
      </w:tr>
      <w:tr>
        <w:trPr>
          <w:trHeight w:val="240"/>
        </w:trPr>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Cardiomyocytes</w:t>
            </w:r>
          </w:p>
        </w:tc>
      </w:tr>
      <w:tr>
        <w:trPr>
          <w:trHeight w:val="268"/>
        </w:trPr>
        <w:tc>
          <w:tcPr>
            <w:tcW w:w="1860" w:type="dxa"/>
            <w:vAlign w:val="bottom"/>
          </w:tcPr>
          <w:p>
            <w:pPr>
              <w:spacing w:after="0"/>
              <w:rPr>
                <w:sz w:val="20"/>
                <w:szCs w:val="20"/>
                <w:color w:val="auto"/>
              </w:rPr>
            </w:pPr>
            <w:r>
              <w:rPr>
                <w:rFonts w:ascii="Times New Roman" w:cs="Times New Roman" w:eastAsia="Times New Roman" w:hAnsi="Times New Roman"/>
                <w:sz w:val="20"/>
                <w:szCs w:val="20"/>
                <w:color w:val="auto"/>
              </w:rPr>
              <w:t>PK-1601-08</w:t>
            </w:r>
          </w:p>
        </w:tc>
        <w:tc>
          <w:tcPr>
            <w:tcW w:w="100" w:type="dxa"/>
            <w:vAlign w:val="bottom"/>
          </w:tcPr>
          <w:p>
            <w:pPr>
              <w:spacing w:after="0"/>
              <w:rPr>
                <w:sz w:val="23"/>
                <w:szCs w:val="23"/>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20"/>
                <w:szCs w:val="20"/>
                <w:color w:val="auto"/>
              </w:rPr>
              <w:t>Cynomolgus Monkey</w:t>
            </w:r>
          </w:p>
        </w:tc>
        <w:tc>
          <w:tcPr>
            <w:tcW w:w="80" w:type="dxa"/>
            <w:vAlign w:val="bottom"/>
          </w:tcPr>
          <w:p>
            <w:pPr>
              <w:spacing w:after="0"/>
              <w:rPr>
                <w:sz w:val="23"/>
                <w:szCs w:val="23"/>
                <w:color w:val="auto"/>
              </w:rPr>
            </w:pP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CSF, Skin, Buccal Cells, Platelets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-772160</wp:posOffset>
            </wp:positionV>
            <wp:extent cx="59690"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90" cy="12700"/>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-772160</wp:posOffset>
            </wp:positionV>
            <wp:extent cx="59690"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690" cy="12700"/>
                    </a:xfrm>
                    <a:prstGeom prst="rect">
                      <a:avLst/>
                    </a:prstGeom>
                    <a:noFill/>
                  </pic:spPr>
                </pic:pic>
              </a:graphicData>
            </a:graphic>
          </wp:anchor>
        </w:drawing>
      </w:r>
    </w:p>
    <w:p>
      <w:pPr>
        <w:spacing w:after="0" w:line="67"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Since CTI-1601 is intended to increase FXN levels in patients with Friedreich’s ataxia who are deficient in FXN, it is important to be able to measure changes in human FXN in the clinic in easily accessible tissues. To accomplish this, we have developed a proprietary assay that can measure and quantify human FXN in buccal swabs, skin biopsies and platelets. This process is designed to allow repeated analysis of changes in human FXN in patients over time as they are dosed with CTI-1601. The effectiveness of this assay was first demonstrated by its ability to detect the presence of human FXN in those tissues in cynomolgus monkeys. In an exploratory study, NHPs were dosed for 14 days with 15 mg/kg twice a day of CTI-1601. Buccal swabs skin biopsies and platelets were obtained on Day 3 prior to administration of any CTI-1601 but after two days of dosing with vehicle. No human FXN was found. Since these were healthy NHPs there were levels of endogenous monkey FXN present. This is demonstrated by the yellow bars in the graph in Figure 8 below on Day 3. After 7 and 14 days of dosing with CTI-1601 human FXN was seen in significant amounts in all tissues analyzed. This is demonstrated by the appearance of the green bars on Day 10 and 16 in the figure below. This study demonstrated that CTI-1601 delivers human FXN to NHPs when administered subcutaneously and that we can use our proprietary assay to evaluate changes in FXN levels in patients with Friedreich’s ataxia.</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91440</wp:posOffset>
            </wp:positionV>
            <wp:extent cx="5553075" cy="2181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53075" cy="2181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Non-Human Primate and Rat Toxicology Studies</w:t>
      </w:r>
    </w:p>
    <w:p>
      <w:pPr>
        <w:spacing w:after="0" w:line="11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previously conducted 28-day and 13-week GLP toxicology studies of CTI-1601 in two species, rat and NHP. In the rat studies, some injection sites showed edema and erythema with associated histologic changes localized to the injection site. The rat studies showed no significant clinical observations and no significant systemic histopathological findings. In the NHP studies, some injection sites were raised and firm with dose dependent histologic changes localized to the injection sites. The NHP 28-day study showed no systemic toxicity. The NHP 13-week study showed no systemic toxicity in the low and mid-dose groups, and minimal to mild histopathological findings in the high dose group. There were also several episodes of occasional transient muscle rigidity in some animals observed immediately after dosing in the two highest dose groups at very high exposures. These clinical observations resolved with no intervention and all of the NHPs who experienced these clinical observations received all doses and completed the in-life portion of the study.</w:t>
      </w:r>
    </w:p>
    <w:p>
      <w:pPr>
        <w:spacing w:after="0" w:line="82"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To support extended dosing of patients with CTI-1601, we conducted a 26-week NHP toxicology study in 2021. In May 2021, we notified the FDA of certain mortalities which occurred at the two highest dose levels in the then-ongoing study. On May 25, 2021, the FDA placed a clinical hold on the CTI-1601 clinical program. In the clinical hold letter, the FDA stated that it needed to review a full study report from the then-ongoing NHP study and</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360"/>
          </w:cols>
          <w:pgMar w:left="1260" w:top="1440" w:right="1260" w:bottom="0" w:gutter="0" w:footer="0" w:header="0"/>
          <w:type w:val="continuous"/>
        </w:sectPr>
      </w:pPr>
    </w:p>
    <w:bookmarkStart w:id="14" w:name="page15"/>
    <w:bookmarkEnd w:id="14"/>
    <w:p>
      <w:pPr>
        <w:ind w:right="200"/>
        <w:spacing w:after="0" w:line="259" w:lineRule="auto"/>
        <w:rPr>
          <w:sz w:val="20"/>
          <w:szCs w:val="20"/>
          <w:color w:val="auto"/>
        </w:rPr>
      </w:pPr>
      <w:r>
        <w:rPr>
          <w:rFonts w:ascii="Times New Roman" w:cs="Times New Roman" w:eastAsia="Times New Roman" w:hAnsi="Times New Roman"/>
          <w:sz w:val="20"/>
          <w:szCs w:val="20"/>
          <w:color w:val="auto"/>
        </w:rPr>
        <w:t>that we could not initiate additional interventional clinical trials until we submitted such report and received notification from the FDA that additional clinical trials could commence. At the time of the FDA clinical hold, we had no interventional clinical trials with patients enrolled or enrolling.</w:t>
      </w:r>
    </w:p>
    <w:p>
      <w:pPr>
        <w:spacing w:after="0" w:line="65"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In July 2021, we completed dosing in the 26-week NHP toxicology study. The study included four dose groups in addition to vehicle. Data from the study were collected throughout the second half of 2021 and included in the complete response to the clinical hold submitted to the FDA in January 2022.</w:t>
      </w:r>
    </w:p>
    <w:p>
      <w:pPr>
        <w:spacing w:after="0" w:line="65"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In February 2022, we received feedback from the FDA following our submission of the complete response which included a comprehensive study report from the 26-week NHP toxicology study. The FDA stated that it was maintaining its clinical hold at that time and requested additional information.</w:t>
      </w:r>
    </w:p>
    <w:p>
      <w:pPr>
        <w:spacing w:after="0" w:line="65" w:lineRule="exact"/>
        <w:rPr>
          <w:sz w:val="20"/>
          <w:szCs w:val="20"/>
          <w:color w:val="auto"/>
        </w:rPr>
      </w:pPr>
    </w:p>
    <w:p>
      <w:pPr>
        <w:ind w:right="280" w:firstLine="490"/>
        <w:spacing w:after="0" w:line="279" w:lineRule="auto"/>
        <w:rPr>
          <w:sz w:val="20"/>
          <w:szCs w:val="20"/>
          <w:color w:val="auto"/>
        </w:rPr>
      </w:pPr>
      <w:r>
        <w:rPr>
          <w:rFonts w:ascii="Times New Roman" w:cs="Times New Roman" w:eastAsia="Times New Roman" w:hAnsi="Times New Roman"/>
          <w:sz w:val="20"/>
          <w:szCs w:val="20"/>
          <w:color w:val="auto"/>
        </w:rPr>
        <w:t>We subsequently submitted a request for an FDA Type C meeting, which was granted and was held in July 2022. Following the Type C meeting, we submitted a complete response to the FDA.</w:t>
      </w:r>
    </w:p>
    <w:p>
      <w:pPr>
        <w:spacing w:after="0" w:line="45"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In September 2022, following the Type C meeting and the submission of our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The dose exploration trial is designed to further characterize CTI-1601’s safety, PD and PK profiles to provide information about the preferred long-term dose and dose regimen. We have since initiated the 25 mg cohort of the Phase 2 dose exploration trial. Initiation of the second cohort and/or other clinical trials is contingent on the FDA’s agreement based on its review of the trial's 25 mg cohort data and on review by the trial’s independent data monitoring committee. We anticipate that we will provide an update that will outline the next steps for the clinical trial in the second quarter of 2023 and anticipate reporting top-line data in the second half of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Clinical Development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Non-Interventional Studies</w:t>
      </w:r>
    </w:p>
    <w:p>
      <w:pPr>
        <w:spacing w:after="0" w:line="116"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We have conducted non-interventional studies to examine the range of tissue FXN concentrations in individuals who are homozygous for the normal FXN gene. Tissue samples in these studies were collected using the same sampling techniques and proprietary assay used in the interventional studies. In a 2020 study we obtained data from 8 healthy adults, but the study was then terminated early by the study site due to competing priorities during the COVID-19 pandemic. In 2021 we initiated a second study that enrolled approximately 60 healthy adults. Enrollment in this study was completed in 2022 and data is currently being evaluated.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Clinical Trials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Completed Initial Phase 1 Clinical Studies in Adults with Friedreich’s ataxia</w:t>
      </w:r>
    </w:p>
    <w:p>
      <w:pPr>
        <w:spacing w:after="0" w:line="11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submitted our IND application for CTI-1601 and began Phase 1 clinical trials in 2019 in patients with FA. We completed two clinical studies of CTI-1601 in adult subjects with FA, a SAD study (completed in 2020) and a MAD study (completed in 2021). The primary objective for the SAD and MAD studies was to assess the tolerability of CTI-1601 at doses ranging from 25 mg to 100 mg administered via subcutaneous injection. The secondary objectives were to establish the PK of CTI-1601 administration in humans and to explore the pharmacodynamics PD of CTI-1601 administration by measuring tissue FXN concentrations in accessible tissues, namely buccal and skin cells, and in platelets. Administration of CTI-1601 via subcutaneous {"SC"} injection appeared to be well tolerated up to doses of 100 mg administered daily for up to 13 days. No SAEs were reported in either study. The most common treatment emergent adverse events ("TEAEs") were injection site reactions ("ISRs") that were generally mild, self-limited, and usually resolved within approximately 1 hour. There was rapid uptake of CTI-1601 into the circulation following subcutaneous injection, and exposure appears to be proportional to dose. Data from the MAD study demonstrated that after 7 days of daily dosing of 50 mg and 100 mg of CTI-1601 in subjects with FA, mean tissue FXN concentrations increased in the tissues studied by approximately 2- to 3-fold to levels that are similar to or exceed levels we would expect to see in asymptomatic heterozygous carriers (See Figure 9). Patients in the 25 mg cohort were dosed once a day for the first 4 days followed by 1 dose every third day through Day 13 for a total of 7 doses, while the patients in the 50 mg cohort were dosed once a day for the first 7 days followed by 1 dose every other day through Day 13 for a total of 10 doses, and patients in the 100 mg cohort were dosed once a day for 13 days consecutively for a total of 13 doses (see Figure 10). The study was designed in this fashion to ensure that the PK of CTI-1601 in patients with FA were characterized at the lower doses before the dose was escalated. This is typical of first in human studies such as multiple-ascending dose trials that evaluate a study drug’s clinical safety</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340"/>
          </w:cols>
          <w:pgMar w:left="1260" w:top="1238" w:right="1280" w:bottom="0" w:gutter="0" w:footer="0" w:header="0"/>
          <w:type w:val="continuous"/>
        </w:sectPr>
      </w:pPr>
    </w:p>
    <w:bookmarkStart w:id="15" w:name="page16"/>
    <w:bookmarkEnd w:id="15"/>
    <w:p>
      <w:pPr>
        <w:ind w:right="340"/>
        <w:spacing w:after="0" w:line="279" w:lineRule="auto"/>
        <w:rPr>
          <w:sz w:val="20"/>
          <w:szCs w:val="20"/>
          <w:color w:val="auto"/>
        </w:rPr>
      </w:pPr>
      <w:r>
        <w:rPr>
          <w:rFonts w:ascii="Times New Roman" w:cs="Times New Roman" w:eastAsia="Times New Roman" w:hAnsi="Times New Roman"/>
          <w:sz w:val="20"/>
          <w:szCs w:val="20"/>
          <w:color w:val="auto"/>
        </w:rPr>
        <w:t>profile. We believe the data provide preliminary clinical evidence of the potential of CTI-1601 as a treatment for patients with FA and warrant continued evaluation of the potential benefits of sustained treatment.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Figure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88900</wp:posOffset>
            </wp:positionV>
            <wp:extent cx="4048125" cy="3514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048125" cy="351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Figure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5943600" cy="2867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43600" cy="2867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Phase 2 Clinical Trial</w:t>
      </w:r>
    </w:p>
    <w:p>
      <w:pPr>
        <w:spacing w:after="0" w:line="12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When the FDA lifted the full clinical hold, it imposed a partial clinical hold. We have since initiated the Phase 2 dose exploration trial, with top-line data expected in the second half of 2023. The initiation of a second cohort and/or other CTI-1601 clinical trials is contingent on the FDA's agreement based on its review of the study’s 25 mg cohort data and on review by the study's independent data monitoring committee. We expect to provide an update on</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360"/>
          </w:cols>
          <w:pgMar w:left="1260" w:top="1238" w:right="1260" w:bottom="0" w:gutter="0" w:footer="0" w:header="0"/>
          <w:type w:val="continuous"/>
        </w:sectPr>
      </w:pPr>
    </w:p>
    <w:bookmarkStart w:id="16" w:name="page17"/>
    <w:bookmarkEnd w:id="16"/>
    <w:p>
      <w:pPr>
        <w:ind w:right="180"/>
        <w:spacing w:after="0" w:line="259" w:lineRule="auto"/>
        <w:rPr>
          <w:sz w:val="20"/>
          <w:szCs w:val="20"/>
          <w:color w:val="auto"/>
        </w:rPr>
      </w:pPr>
      <w:r>
        <w:rPr>
          <w:rFonts w:ascii="Times New Roman" w:cs="Times New Roman" w:eastAsia="Times New Roman" w:hAnsi="Times New Roman"/>
          <w:sz w:val="20"/>
          <w:szCs w:val="20"/>
          <w:color w:val="auto"/>
        </w:rPr>
        <w:t>the study in the second quarter of 2023 and anticipate reporting top-line data in the second half of 2023. We do not know if, or when, the FDA will lift the partial clinical hold on our CTI-1601 program, if it will allow additional cohorts of this dose exploration study or if it will ever allow further clinical development of CTI-1601.</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CTI-1601 Clinical Development Plan</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are in the process of evaluating the timeline of an open label extension ("OLE") study which we refer to as the Jive study and a pediatric MAD placebo-controlled study. The Jive study is a clinical trial that will enroll patients who participated in the SAD or MAD study, as well as the currently ongoing dose exploration study if they are eligible and is designed to gather long-term data to assess safety and tolerability, dose, PK and PD, and potential efficacy of SC administration of CTI-1601 in subjects with FA. The pediatric MAD placebo-controlled study is currently planned to be in patients from two to seventeen years of age. These patients may also be eligible to enroll in the Jive study after completing participation in the MAD study. We expect to initiate a global registration study once sufficient data is available to inform decisions regarding dosing and trial design. The design and protocol of the study will be based on the results of the earlier studies and will incorporate feedback from regulatory authorities in various countries. The progression of the Jive study and the global registration study will be subject to FDA review of our CTI-1601 Phase 2 cohort 1 data, and possibly other data.</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Intellectual Property</w:t>
      </w:r>
    </w:p>
    <w:p>
      <w:pPr>
        <w:spacing w:after="0" w:line="12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success depends in large part upon our ability to obtain and maintain proprietary protection for our current and future products and technologies, and to operate without infringing the proprietary rights of others. Our policy is to protect our proprietary position by, among other methods, filing for patent applications on inventions that are important to the development and conduct of our business with the U.S. Patent and Trademark Office and its foreign counterparts. We also intend to rely on regulatory exclusivity (also called data package exclusivity), which is separate and distinct from the protection afforded by patents, to protect our products. We further protect our proprietary information by requiring our employees, consultants, contractors and other advisors to execute nondisclosure and assignment of invention agreements upon commencement of their respective employment or engagement. Agreements with our employees also prevent them from bringing the proprietary rights of third parties to us. In addition, we require confidentiality or service agreements from third parties that receive our confidential information or materials.</w:t>
      </w:r>
    </w:p>
    <w:p>
      <w:pPr>
        <w:spacing w:after="0" w:line="8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As of February 1, 2023, our intellectual property portfolio was composed of numerous international (PCT). foreign, and United States non-provisional applications and United States provisional patent applications that we own or co-own, six issued United States patents and additional non-provisional patent applications in the United States and in certain foreign jurisdictions that we license from academic institutions. The issued patents in the United States licensed by us, which include issued patents covering the composition of matter for CTI-1601 and methods for treating FA, have expiration dates between 2024 and 2040 without taking potential patent term extension into consideration. The international and the United States non-provisional patent applications licensed by us relate to composition of matter and methods of use for CTI-1601.</w:t>
      </w:r>
    </w:p>
    <w:p>
      <w:pPr>
        <w:spacing w:after="0" w:line="82" w:lineRule="exact"/>
        <w:rPr>
          <w:sz w:val="20"/>
          <w:szCs w:val="20"/>
          <w:color w:val="auto"/>
        </w:rPr>
      </w:pPr>
    </w:p>
    <w:p>
      <w:pPr>
        <w:ind w:right="220" w:firstLine="490"/>
        <w:spacing w:after="0" w:line="259" w:lineRule="auto"/>
        <w:rPr>
          <w:sz w:val="20"/>
          <w:szCs w:val="20"/>
          <w:color w:val="auto"/>
        </w:rPr>
      </w:pPr>
      <w:r>
        <w:rPr>
          <w:rFonts w:ascii="Times New Roman" w:cs="Times New Roman" w:eastAsia="Times New Roman" w:hAnsi="Times New Roman"/>
          <w:sz w:val="20"/>
          <w:szCs w:val="20"/>
          <w:color w:val="auto"/>
        </w:rPr>
        <w:t>The additional patent applications we own or co-own which include international (PCT), foreign and United States non-provisional patent applications and United States provisional patent applications are related to the development of CTI-1601 and to our peptide-delivery platform technology.</w:t>
      </w:r>
    </w:p>
    <w:p>
      <w:pPr>
        <w:spacing w:after="0" w:line="65" w:lineRule="exact"/>
        <w:rPr>
          <w:sz w:val="20"/>
          <w:szCs w:val="20"/>
          <w:color w:val="auto"/>
        </w:rPr>
      </w:pPr>
    </w:p>
    <w:p>
      <w:pPr>
        <w:ind w:right="120" w:firstLine="490"/>
        <w:spacing w:after="0" w:line="261" w:lineRule="auto"/>
        <w:rPr>
          <w:sz w:val="20"/>
          <w:szCs w:val="20"/>
          <w:color w:val="auto"/>
        </w:rPr>
      </w:pPr>
      <w:r>
        <w:rPr>
          <w:rFonts w:ascii="Times New Roman" w:cs="Times New Roman" w:eastAsia="Times New Roman" w:hAnsi="Times New Roman"/>
          <w:sz w:val="19"/>
          <w:szCs w:val="19"/>
          <w:color w:val="auto"/>
        </w:rPr>
        <w:t>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we or our licensor timely files non-provisional patent applications in the United States and in countries outside of the United States with regard to our provisional patent applications and these non-provisional patent applications result in issued patents, such patents are expected to expire in 2043, without taking potential patent term adjustment or patent term extension into consideration.</w:t>
      </w:r>
    </w:p>
    <w:p>
      <w:pPr>
        <w:spacing w:after="0" w:line="67"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CTI-1601 is covered by licensed issued patents (composition of matter and methods of use) in the United States which, if properly maintained, will expire in 2024, 2025 and 2040, excluding any patent term extensions that might be available following the grant of marketing authorizations. We also possess an exclusive license to non-provisional applications in the United States and certain countries outside the United States for CTI-1601 (composition of matter and methods of use).). If these patent applications in the United States and other countries result in issued patents, those patents would be expected to expire in 2040. This estimated expiration excludes any patent term adjustment that might be available following the grant of the patent and any patent term extensions that</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360"/>
          </w:cols>
          <w:pgMar w:left="1260" w:top="1238" w:right="1260" w:bottom="0" w:gutter="0" w:footer="0" w:header="0"/>
          <w:type w:val="continuous"/>
        </w:sectPr>
      </w:pPr>
    </w:p>
    <w:bookmarkStart w:id="17" w:name="page18"/>
    <w:bookmarkEnd w:id="17"/>
    <w:p>
      <w:pPr>
        <w:spacing w:after="0" w:line="259" w:lineRule="auto"/>
        <w:rPr>
          <w:sz w:val="20"/>
          <w:szCs w:val="20"/>
          <w:color w:val="auto"/>
        </w:rPr>
      </w:pPr>
      <w:r>
        <w:rPr>
          <w:rFonts w:ascii="Times New Roman" w:cs="Times New Roman" w:eastAsia="Times New Roman" w:hAnsi="Times New Roman"/>
          <w:sz w:val="20"/>
          <w:szCs w:val="20"/>
          <w:color w:val="auto"/>
        </w:rPr>
        <w:t>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65"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70"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We also use other forms of protection besides patent protection and regulatory exclusivity, such as trademark, copyright, and trade secret protection, to enhance our intellectual property, particularly where we do not believe patent protection is appropriate or obtainable. We aim to take advantage of all of the intellectual property rights that are available to us and believe that this comprehensive approach will provide us with proprietary exclusive positions for our product candidates, such as CTI-1601, where available.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In-License Agreements</w:t>
      </w:r>
    </w:p>
    <w:p>
      <w:pPr>
        <w:spacing w:after="0" w:line="123"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We are party to a License Agreement dated November 30, 2016 with Wake Forest University Health Sciences ("WFUHS") and a License Agreement dated November 30, 2016, as amended, with Indiana University ("IU"). Such agreements provide for a transferable, worldwide license to certain patent rights regarding technology used by us with respect to the development of CTI-1601.</w:t>
      </w:r>
    </w:p>
    <w:p>
      <w:pPr>
        <w:spacing w:after="0" w:line="70"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In partial consideration for the right and license granted under these agreements, we will pay each of WFUHS and IU a royalty of a low single digit percentage of net sales of licensed products depending on whether there is a valid patent covering such products. As additional consideration for these agreements, we are obligated to pay each of WFUHS and IU certain milestone payments of up to $2.6 million in the aggregate upon the achievement of certain developmental milestones, commencing on the enrollment of the first patient in a Phase 1 clinical trial. We will also pay each of WFUHS and IU sublicensing fees ranging up to a low double-digit percentage of sublicense consideration depending on our achievement of certain regulatory milestones as of the time of receipt of the sublicense consideration. We are also obligated to reimburse WFUHS and IU for patent-related expenses. In the event that we dispute the validity of any of the licensed patents, the royalty rate would be tripled during such dispute. We are also obligated to pay to IU a minimum annual royalty of less than $0.1 million per annum starting in the 2020 calendar year for the term of the agreement.</w:t>
      </w:r>
    </w:p>
    <w:p>
      <w:pPr>
        <w:spacing w:after="0" w:line="88"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In the event that we are required to pay IU consideration, then we may deduct 20% of such IU consideration on a dollar-for-dollar basis from the consideration due to WFUHS. In the event that we are required to pay WFUHS consideration, then we may deduct 60% of such WFUHS consideration on a dollar-for-dollar basis from the consideration due to IU.</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123"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auto"/>
        </w:rPr>
        <w:t>The biopharmaceutical industry is characterized by intense and dynamic competition to develop new technologies and proprietary therapies. Any product candidates that we successfully develop into products and commercialize may compete with existing therapies and new therapies that may become available in the future. While we believe that our platform technology, product candidates and scientific expertise in the field of rare diseases provide competitive advantages, we face competition from various sources, including larger and better-funded pharmaceutical companies, specialty pharmaceutical companies and biotechnology companies, as well as from academic institutions, governmental agencies and public and private research institutions. We expect to compete with Reata Pharmaceuticals’ SKYCLARYS</w:t>
      </w:r>
      <w:r>
        <w:rPr>
          <w:rFonts w:ascii="Times New Roman" w:cs="Times New Roman" w:eastAsia="Times New Roman" w:hAnsi="Times New Roman"/>
          <w:sz w:val="13"/>
          <w:szCs w:val="13"/>
          <w:color w:val="auto"/>
        </w:rPr>
        <w:t>tm</w:t>
      </w:r>
      <w:r>
        <w:rPr>
          <w:rFonts w:ascii="Times New Roman" w:cs="Times New Roman" w:eastAsia="Times New Roman" w:hAnsi="Times New Roman"/>
          <w:sz w:val="20"/>
          <w:szCs w:val="20"/>
          <w:color w:val="auto"/>
        </w:rPr>
        <w:t xml:space="preserve"> (omaveloxolone), which was recently approved by the FDA for the treatment of Friedreich’s ataxia in adults and adolescents aged 16 and older. Other competitors currently developing therapeutics to treat Friedrich's ataxia include, but are not limited to PTC Therapeutics, Inc., Design Therapeutics, Inc., Novartis, Pfizer, Voyager/Neocrine, and Takeda/StrideBio.</w:t>
      </w:r>
    </w:p>
    <w:p>
      <w:pPr>
        <w:spacing w:after="0" w:line="88"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Many of our competitors have significantly greater financial, technical and human resources than we do. Mergers and acquisitions in the pharmaceutical and biotechnology industries may result in even more resources being concentrated amongst a smaller number of our competitors. Our commercial opportunity could be reduced or eliminated if our competitors develop or market products or other novel therapies that are more effective, safer or less costly than our product candidates or obtain regulatory approval for their products more rapidly than we may obtain approval for our product candidates.</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360"/>
          </w:cols>
          <w:pgMar w:left="1260" w:top="1238" w:right="126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Manufacturing and Supply</w:t>
      </w:r>
    </w:p>
    <w:p>
      <w:pPr>
        <w:spacing w:after="0" w:line="123"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CTI-1601 is a biologic fusion protein that is produced in E. coli. We have worked with contract manufacturers to develop, in accordance with cGMPs a manufacturing process and analytical methods for drug substance to support clinical trials. We also use third party manufacturers for the clinical packaging, storage and distribution of CTI-1601. We rely on third parties to store the CTI-1601 master cell bank and working cell bank, each stored at a different location. We continue to advance the manufacturing of CTI-1601, obtain stability data, and produce drug product for future clinical trials. We are continually trying to optimize our manufacturing process to increase yields, decrease costs and increase reliability in supply chains. The final process will need to be successfully scaled up to support commercial manufacturing.</w:t>
      </w:r>
    </w:p>
    <w:p>
      <w:pPr>
        <w:spacing w:after="0" w:line="82"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The drug substance which is in frozen liquid form for CTI-1601 is currently manufactured for us by KBI Biopharma, Inc. ("KBI"). We are party to a Master Services Agreement, as amended, with KBI, pursuant to which KBI provides biological development and clinical manufacturing services with respect to CTI-1601. We currently produce a frozen liquid form of drug product at another manufacturer. We expect to undertake a program with a third-party manufacturer to begin to produce a lyophilized version of the drug product from the same KBI drug substance, that, once available, we intend to use in certain of our future planned clinical trials.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Employees and Compensation</w:t>
      </w:r>
    </w:p>
    <w:p>
      <w:pPr>
        <w:spacing w:after="0" w:line="117"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In order to achieve the goals and expectations of our Company, it is crucial that we continue to attract and retain top talent. To facilitate talent attraction and retention, we strive to make our company a safe and rewarding workplace, with opportunities for our employees to grow and develop in their careers, supported by strong compensation, benefits, paid time-off and health and wellness programs, including programs that build connections between our employees.</w:t>
      </w:r>
    </w:p>
    <w:p>
      <w:pPr>
        <w:spacing w:after="0" w:line="77"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As of December 31, 2022, we employed 26 full-time employees in the United States, of which 20 are directly engaged in research and development with the rest providing administrative, business and operations support. None of our employees are represented by a labor organization or under any collective-bargaining arrangements. We consider our employee relations to be good.</w:t>
      </w:r>
    </w:p>
    <w:p>
      <w:pPr>
        <w:spacing w:after="0" w:line="70"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Diversity and Inclusion</w:t>
      </w:r>
    </w:p>
    <w:p>
      <w:pPr>
        <w:spacing w:after="0" w:line="117"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We value the diversity of our employees and take pride in our commitment to diversity and inclusion across all levels of our organizational structure and with respect to our board of directors. We value diversity and inclusion across our entire workforce. We are committed to developing strategies for building diverse teams and promoting the advancement of employees from diverse backgrounds.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Scientific Advisors</w:t>
      </w:r>
    </w:p>
    <w:p>
      <w:pPr>
        <w:spacing w:after="0" w:line="123" w:lineRule="exact"/>
        <w:rPr>
          <w:sz w:val="20"/>
          <w:szCs w:val="20"/>
          <w:color w:val="auto"/>
        </w:rPr>
      </w:pPr>
    </w:p>
    <w:p>
      <w:pPr>
        <w:ind w:right="160" w:firstLine="490"/>
        <w:spacing w:after="0" w:line="243" w:lineRule="auto"/>
        <w:rPr>
          <w:sz w:val="20"/>
          <w:szCs w:val="20"/>
          <w:color w:val="auto"/>
        </w:rPr>
      </w:pPr>
      <w:r>
        <w:rPr>
          <w:rFonts w:ascii="Times New Roman" w:cs="Times New Roman" w:eastAsia="Times New Roman" w:hAnsi="Times New Roman"/>
          <w:sz w:val="20"/>
          <w:szCs w:val="20"/>
          <w:color w:val="auto"/>
        </w:rPr>
        <w:t>We have established a scientific advisory board and we regularly seek advice and input from these experienced thought leaders on matters related to our research and development programs. The members of our scientific advisory board consist of distinguished research scientists, professors and industry experts recognized as key opinion leaders in the fields of rare disease, pediatrics and mitochondrial disease. Their scientific perspectives will be invaluable to determine our strategic scientific pathway and support the development of other potential treatments for complex rare diseases to help fill unmet medical needs in this space. We intend to continue to leverage the broad expertise of our advisors by seeking their counsel on important topics relating to our product development and clinical development programs. Our scientific advisors are not our employees and may have commitments to, or consulting or advisory contracts with, other entities that may limit their availability to us. In addition, our scientific advisors may have arrangements with other companies to assist those companies in developing products or technologies that may compete with ours. All of our scientific advisors are affiliated with other entities and devote only a small portion of their time to us.</w:t>
      </w:r>
    </w:p>
    <w:p>
      <w:pPr>
        <w:spacing w:after="0" w:line="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scientific advisors are set forth in the table below:</w:t>
      </w:r>
    </w:p>
    <w:p>
      <w:pPr>
        <w:sectPr>
          <w:pgSz w:w="11880" w:h="15480" w:orient="portrait"/>
          <w:cols w:equalWidth="0" w:num="1">
            <w:col w:w="9320"/>
          </w:cols>
          <w:pgMar w:left="1260" w:top="1235" w:right="1300"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320"/>
          </w:cols>
          <w:pgMar w:left="1260" w:top="1235" w:right="1300" w:bottom="0" w:gutter="0" w:footer="0" w:header="0"/>
          <w:type w:val="continuous"/>
        </w:sectPr>
      </w:pPr>
    </w:p>
    <w:bookmarkStart w:id="19" w:name="page20"/>
    <w:bookmarkEnd w:id="19"/>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80" w:type="dxa"/>
            <w:vAlign w:val="bottom"/>
          </w:tcPr>
          <w:p>
            <w:pPr>
              <w:spacing w:after="0"/>
              <w:rPr>
                <w:sz w:val="22"/>
                <w:szCs w:val="22"/>
                <w:color w:val="auto"/>
              </w:rPr>
            </w:pPr>
          </w:p>
        </w:tc>
        <w:tc>
          <w:tcPr>
            <w:tcW w:w="6680" w:type="dxa"/>
            <w:vAlign w:val="bottom"/>
            <w:tcBorders>
              <w:bottom w:val="single" w:sz="8" w:color="auto"/>
            </w:tcBorders>
          </w:tcPr>
          <w:p>
            <w:pPr>
              <w:ind w:left="3140"/>
              <w:spacing w:after="0"/>
              <w:rPr>
                <w:sz w:val="20"/>
                <w:szCs w:val="20"/>
                <w:color w:val="auto"/>
              </w:rPr>
            </w:pPr>
            <w:r>
              <w:rPr>
                <w:rFonts w:ascii="Times New Roman" w:cs="Times New Roman" w:eastAsia="Times New Roman" w:hAnsi="Times New Roman"/>
                <w:sz w:val="20"/>
                <w:szCs w:val="20"/>
                <w:b w:val="1"/>
                <w:bCs w:val="1"/>
                <w:color w:val="auto"/>
              </w:rPr>
              <w:t>Title</w:t>
            </w:r>
          </w:p>
        </w:tc>
        <w:tc>
          <w:tcPr>
            <w:tcW w:w="100" w:type="dxa"/>
            <w:vAlign w:val="bottom"/>
          </w:tcPr>
          <w:p>
            <w:pPr>
              <w:spacing w:after="0"/>
              <w:rPr>
                <w:sz w:val="22"/>
                <w:szCs w:val="22"/>
                <w:color w:val="auto"/>
              </w:rPr>
            </w:pPr>
          </w:p>
        </w:tc>
      </w:tr>
      <w:tr>
        <w:trPr>
          <w:trHeight w:val="220"/>
        </w:trPr>
        <w:tc>
          <w:tcPr>
            <w:tcW w:w="2400" w:type="dxa"/>
            <w:vAlign w:val="bottom"/>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Rusty Clayton, DO</w:t>
            </w:r>
          </w:p>
        </w:tc>
        <w:tc>
          <w:tcPr>
            <w:tcW w:w="180" w:type="dxa"/>
            <w:vAlign w:val="bottom"/>
            <w:shd w:val="clear" w:color="auto" w:fill="E2E2E2"/>
          </w:tcPr>
          <w:p>
            <w:pPr>
              <w:spacing w:after="0"/>
              <w:rPr>
                <w:sz w:val="19"/>
                <w:szCs w:val="19"/>
                <w:color w:val="auto"/>
              </w:rPr>
            </w:pPr>
          </w:p>
        </w:tc>
        <w:tc>
          <w:tcPr>
            <w:tcW w:w="6780" w:type="dxa"/>
            <w:vAlign w:val="bottom"/>
            <w:gridSpan w:val="2"/>
            <w:shd w:val="clear" w:color="auto" w:fill="E2E2E2"/>
          </w:tcPr>
          <w:p>
            <w:pPr>
              <w:spacing w:after="0" w:line="220" w:lineRule="exact"/>
              <w:rPr>
                <w:sz w:val="20"/>
                <w:szCs w:val="20"/>
                <w:color w:val="auto"/>
              </w:rPr>
            </w:pPr>
            <w:r>
              <w:rPr>
                <w:rFonts w:ascii="Times New Roman" w:cs="Times New Roman" w:eastAsia="Times New Roman" w:hAnsi="Times New Roman"/>
                <w:sz w:val="20"/>
                <w:szCs w:val="20"/>
                <w:color w:val="auto"/>
              </w:rPr>
              <w:t>Consultant, Scientific Advisory Board Chair</w:t>
            </w:r>
          </w:p>
        </w:tc>
      </w:tr>
      <w:tr>
        <w:trPr>
          <w:trHeight w:val="209"/>
        </w:trPr>
        <w:tc>
          <w:tcPr>
            <w:tcW w:w="240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rPr>
              <w:t>Marni Joy Falk, MD</w:t>
            </w:r>
          </w:p>
        </w:tc>
        <w:tc>
          <w:tcPr>
            <w:tcW w:w="180" w:type="dxa"/>
            <w:vAlign w:val="bottom"/>
          </w:tcPr>
          <w:p>
            <w:pPr>
              <w:spacing w:after="0"/>
              <w:rPr>
                <w:sz w:val="18"/>
                <w:szCs w:val="18"/>
                <w:color w:val="auto"/>
              </w:rPr>
            </w:pPr>
          </w:p>
        </w:tc>
        <w:tc>
          <w:tcPr>
            <w:tcW w:w="678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Executive Director, Mitochondrial Medicine Frontier Program at Children’s</w:t>
            </w:r>
          </w:p>
        </w:tc>
      </w:tr>
      <w:tr>
        <w:trPr>
          <w:trHeight w:val="230"/>
        </w:trPr>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Hospital of Philadelphia; Professor, Department of Human Genetics and</w:t>
            </w:r>
          </w:p>
        </w:tc>
      </w:tr>
      <w:tr>
        <w:trPr>
          <w:trHeight w:val="230"/>
        </w:trPr>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Department of Pediatrics, University of Pennsylvania Perelman School of</w:t>
            </w:r>
          </w:p>
        </w:tc>
      </w:tr>
      <w:tr>
        <w:trPr>
          <w:trHeight w:val="251"/>
        </w:trPr>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Medicine</w:t>
            </w:r>
          </w:p>
        </w:tc>
      </w:tr>
      <w:tr>
        <w:trPr>
          <w:trHeight w:val="209"/>
        </w:trPr>
        <w:tc>
          <w:tcPr>
            <w:tcW w:w="2400" w:type="dxa"/>
            <w:vAlign w:val="bottom"/>
            <w:shd w:val="clear" w:color="auto" w:fill="E2E2E2"/>
          </w:tcPr>
          <w:p>
            <w:pPr>
              <w:spacing w:after="0" w:line="208" w:lineRule="exact"/>
              <w:rPr>
                <w:sz w:val="20"/>
                <w:szCs w:val="20"/>
                <w:color w:val="auto"/>
              </w:rPr>
            </w:pPr>
            <w:r>
              <w:rPr>
                <w:rFonts w:ascii="Times New Roman" w:cs="Times New Roman" w:eastAsia="Times New Roman" w:hAnsi="Times New Roman"/>
                <w:sz w:val="20"/>
                <w:szCs w:val="20"/>
                <w:color w:val="auto"/>
              </w:rPr>
              <w:t>Giovanni Manfredi, MD,</w:t>
            </w:r>
          </w:p>
        </w:tc>
        <w:tc>
          <w:tcPr>
            <w:tcW w:w="180" w:type="dxa"/>
            <w:vAlign w:val="bottom"/>
            <w:shd w:val="clear" w:color="auto" w:fill="E2E2E2"/>
          </w:tcPr>
          <w:p>
            <w:pPr>
              <w:spacing w:after="0"/>
              <w:rPr>
                <w:sz w:val="18"/>
                <w:szCs w:val="18"/>
                <w:color w:val="auto"/>
              </w:rPr>
            </w:pPr>
          </w:p>
        </w:tc>
        <w:tc>
          <w:tcPr>
            <w:tcW w:w="6780" w:type="dxa"/>
            <w:vAlign w:val="bottom"/>
            <w:gridSpan w:val="2"/>
            <w:shd w:val="clear" w:color="auto" w:fill="E2E2E2"/>
          </w:tcPr>
          <w:p>
            <w:pPr>
              <w:spacing w:after="0" w:line="208" w:lineRule="exact"/>
              <w:rPr>
                <w:sz w:val="20"/>
                <w:szCs w:val="20"/>
                <w:color w:val="auto"/>
              </w:rPr>
            </w:pPr>
            <w:r>
              <w:rPr>
                <w:rFonts w:ascii="Times New Roman" w:cs="Times New Roman" w:eastAsia="Times New Roman" w:hAnsi="Times New Roman"/>
                <w:sz w:val="20"/>
                <w:szCs w:val="20"/>
                <w:color w:val="auto"/>
              </w:rPr>
              <w:t>Finbar and Marianne Kenny Professor of Clinical and Research Neurology, Weill</w:t>
            </w:r>
          </w:p>
        </w:tc>
      </w:tr>
      <w:tr>
        <w:trPr>
          <w:trHeight w:val="251"/>
        </w:trPr>
        <w:tc>
          <w:tcPr>
            <w:tcW w:w="24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PhD</w:t>
            </w:r>
          </w:p>
        </w:tc>
        <w:tc>
          <w:tcPr>
            <w:tcW w:w="180" w:type="dxa"/>
            <w:vAlign w:val="bottom"/>
            <w:shd w:val="clear" w:color="auto" w:fill="E2E2E2"/>
          </w:tcPr>
          <w:p>
            <w:pPr>
              <w:spacing w:after="0"/>
              <w:rPr>
                <w:sz w:val="21"/>
                <w:szCs w:val="21"/>
                <w:color w:val="auto"/>
              </w:rPr>
            </w:pPr>
          </w:p>
        </w:tc>
        <w:tc>
          <w:tcPr>
            <w:tcW w:w="67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Cornell Medicine; Professor of Neuroscience, Weil Cornell Medicine</w:t>
            </w:r>
          </w:p>
        </w:tc>
      </w:tr>
      <w:tr>
        <w:trPr>
          <w:trHeight w:val="209"/>
        </w:trPr>
        <w:tc>
          <w:tcPr>
            <w:tcW w:w="2400" w:type="dxa"/>
            <w:vAlign w:val="bottom"/>
          </w:tcPr>
          <w:p>
            <w:pPr>
              <w:spacing w:after="0" w:line="208" w:lineRule="exact"/>
              <w:rPr>
                <w:sz w:val="20"/>
                <w:szCs w:val="20"/>
                <w:color w:val="auto"/>
              </w:rPr>
            </w:pPr>
            <w:r>
              <w:rPr>
                <w:rFonts w:ascii="Times New Roman" w:cs="Times New Roman" w:eastAsia="Times New Roman" w:hAnsi="Times New Roman"/>
                <w:sz w:val="20"/>
                <w:szCs w:val="20"/>
                <w:color w:val="auto"/>
              </w:rPr>
              <w:t>Jill Ostrem, MD</w:t>
            </w:r>
          </w:p>
        </w:tc>
        <w:tc>
          <w:tcPr>
            <w:tcW w:w="180" w:type="dxa"/>
            <w:vAlign w:val="bottom"/>
          </w:tcPr>
          <w:p>
            <w:pPr>
              <w:spacing w:after="0"/>
              <w:rPr>
                <w:sz w:val="18"/>
                <w:szCs w:val="18"/>
                <w:color w:val="auto"/>
              </w:rPr>
            </w:pPr>
          </w:p>
        </w:tc>
        <w:tc>
          <w:tcPr>
            <w:tcW w:w="678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color w:val="auto"/>
              </w:rPr>
              <w:t>Medical director and division chief of University of California San Francisco</w:t>
            </w:r>
          </w:p>
        </w:tc>
      </w:tr>
      <w:tr>
        <w:trPr>
          <w:trHeight w:val="230"/>
        </w:trPr>
        <w:tc>
          <w:tcPr>
            <w:tcW w:w="2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(UCSF) Movement Disorders and Neuromodulation Center. Carlin and Ellen</w:t>
            </w:r>
          </w:p>
        </w:tc>
      </w:tr>
      <w:tr>
        <w:trPr>
          <w:trHeight w:val="251"/>
        </w:trPr>
        <w:tc>
          <w:tcPr>
            <w:tcW w:w="2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Wiegner Endowed Professor of Neurology.</w:t>
            </w:r>
          </w:p>
        </w:tc>
      </w:tr>
      <w:tr>
        <w:trPr>
          <w:trHeight w:val="230"/>
        </w:trPr>
        <w:tc>
          <w:tcPr>
            <w:tcW w:w="2400" w:type="dxa"/>
            <w:vAlign w:val="bottom"/>
            <w:shd w:val="clear" w:color="auto" w:fill="E2E2E2"/>
          </w:tcPr>
          <w:p>
            <w:pPr>
              <w:spacing w:after="0"/>
              <w:rPr>
                <w:sz w:val="20"/>
                <w:szCs w:val="20"/>
                <w:color w:val="auto"/>
              </w:rPr>
            </w:pPr>
            <w:r>
              <w:rPr>
                <w:rFonts w:ascii="Times New Roman" w:cs="Times New Roman" w:eastAsia="Times New Roman" w:hAnsi="Times New Roman"/>
                <w:sz w:val="20"/>
                <w:szCs w:val="20"/>
                <w:color w:val="auto"/>
              </w:rPr>
              <w:t>Mark Payne, MD</w:t>
            </w:r>
          </w:p>
        </w:tc>
        <w:tc>
          <w:tcPr>
            <w:tcW w:w="180" w:type="dxa"/>
            <w:vAlign w:val="bottom"/>
            <w:shd w:val="clear" w:color="auto" w:fill="E2E2E2"/>
          </w:tcPr>
          <w:p>
            <w:pPr>
              <w:spacing w:after="0"/>
              <w:rPr>
                <w:sz w:val="19"/>
                <w:szCs w:val="19"/>
                <w:color w:val="auto"/>
              </w:rPr>
            </w:pPr>
          </w:p>
        </w:tc>
        <w:tc>
          <w:tcPr>
            <w:tcW w:w="6780" w:type="dxa"/>
            <w:vAlign w:val="bottom"/>
            <w:gridSpan w:val="2"/>
            <w:shd w:val="clear" w:color="auto" w:fill="E2E2E2"/>
          </w:tcPr>
          <w:p>
            <w:pPr>
              <w:spacing w:after="0"/>
              <w:rPr>
                <w:sz w:val="20"/>
                <w:szCs w:val="20"/>
                <w:color w:val="auto"/>
              </w:rPr>
            </w:pPr>
            <w:r>
              <w:rPr>
                <w:rFonts w:ascii="Times New Roman" w:cs="Times New Roman" w:eastAsia="Times New Roman" w:hAnsi="Times New Roman"/>
                <w:sz w:val="20"/>
                <w:szCs w:val="20"/>
                <w:color w:val="auto"/>
              </w:rPr>
              <w:t>Professor of Pediatrics, Indiana University School of Medicine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1524000</wp:posOffset>
            </wp:positionH>
            <wp:positionV relativeFrom="paragraph">
              <wp:posOffset>-1612265</wp:posOffset>
            </wp:positionV>
            <wp:extent cx="11747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475" cy="6350"/>
                    </a:xfrm>
                    <a:prstGeom prst="rect">
                      <a:avLst/>
                    </a:prstGeom>
                    <a:noFill/>
                  </pic:spPr>
                </pic:pic>
              </a:graphicData>
            </a:graphic>
          </wp:anchor>
        </w:drawing>
        <w:drawing>
          <wp:anchor simplePos="0" relativeHeight="251657728" behindDoc="1" locked="0" layoutInCell="0" allowOverlap="1">
            <wp:simplePos x="0" y="0"/>
            <wp:positionH relativeFrom="column">
              <wp:posOffset>5883910</wp:posOffset>
            </wp:positionH>
            <wp:positionV relativeFrom="paragraph">
              <wp:posOffset>-1612265</wp:posOffset>
            </wp:positionV>
            <wp:extent cx="5969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6350"/>
                    </a:xfrm>
                    <a:prstGeom prst="rect">
                      <a:avLst/>
                    </a:prstGeom>
                    <a:noFill/>
                  </pic:spPr>
                </pic:pic>
              </a:graphicData>
            </a:graphic>
          </wp:anchor>
        </w:drawing>
        <w:drawing>
          <wp:anchor simplePos="0" relativeHeight="251657728" behindDoc="1" locked="0" layoutInCell="0" allowOverlap="1">
            <wp:simplePos x="0" y="0"/>
            <wp:positionH relativeFrom="column">
              <wp:posOffset>-17780</wp:posOffset>
            </wp:positionH>
            <wp:positionV relativeFrom="paragraph">
              <wp:posOffset>187960</wp:posOffset>
            </wp:positionV>
            <wp:extent cx="5980430"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80430" cy="635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Facilities</w:t>
      </w:r>
    </w:p>
    <w:p>
      <w:pPr>
        <w:spacing w:after="0" w:line="123"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We lease office and laboratory space, which consists of approximately 5,000 square feet and 1,750 square feet located in Bala Cynwyd, PA and Philadelphia, PA, respectively. Our office lease expires in August 2023 with an option to extend for three years, and our laboratory lease expires in December 2023. We believe that we will need to increase our leased square footage in the near and intermediate term. We believe that appropriate space will be readily available on commercially reasonable terms.</w:t>
      </w:r>
    </w:p>
    <w:p>
      <w:pPr>
        <w:spacing w:after="0" w:line="77"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As part of the Merger (as defined below) with Zafgen, Inc ("Zafgen"), we acquired a non-cancellable operating lease for approximately 17,705 square feet of office space at 3 Center Plaza, Boston, Massachusetts (the "Boston Lease"). The Boston Lease expires on October 30, 2029. On October 27, 2020, we entered into a sublease agreement whereby we subleased all 17,705 square feet of office space leased under the Boston Lease until October 30, 2029.</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Legal Proceedings</w:t>
      </w:r>
    </w:p>
    <w:p>
      <w:pPr>
        <w:spacing w:after="0" w:line="123" w:lineRule="exact"/>
        <w:rPr>
          <w:sz w:val="20"/>
          <w:szCs w:val="20"/>
          <w:color w:val="auto"/>
        </w:rPr>
      </w:pPr>
    </w:p>
    <w:p>
      <w:pPr>
        <w:ind w:right="680" w:firstLine="490"/>
        <w:spacing w:after="0" w:line="259" w:lineRule="auto"/>
        <w:rPr>
          <w:sz w:val="20"/>
          <w:szCs w:val="20"/>
          <w:color w:val="auto"/>
        </w:rPr>
      </w:pPr>
      <w:r>
        <w:rPr>
          <w:rFonts w:ascii="Times New Roman" w:cs="Times New Roman" w:eastAsia="Times New Roman" w:hAnsi="Times New Roman"/>
          <w:sz w:val="20"/>
          <w:szCs w:val="20"/>
          <w:color w:val="auto"/>
        </w:rPr>
        <w:t>From time to time, we may become involved in legal proceedings arising in the ordinary course of our business. We are not presently a party to any legal proceedings that, if determined adversely to us, would individually or taken together have a material adverse effect on us.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123"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We were founded in 2005 as a Delaware corporation under the name Zafgen, Inc. ("Zafgen"). On May 28, 2020, Zafgen completed a reverse merger with Chondrial Therapeutics, Inc. ("Chondrial") in accordance with the terms of the Agreement and Plan of Merger and Reorganization, dated December 17, 2019, by and among Zafgen, Zordich Merger Sub, Inc., Chondrial and Chondrial Therapeutics Holdings, LLC, pursuant to which Zordich Merger Sub, Inc. merged with and into Chondrial, with Chondrial surviving as our wholly owned subsidiary. Following completion of the merger, Zafgen, Inc. changed its name to Larimar Therapeutics, Inc.</w:t>
      </w:r>
    </w:p>
    <w:p>
      <w:pPr>
        <w:spacing w:after="0" w:line="80"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Our principal executive offices are located at Three Bala Plaza East, Suite 506, Bala Cynwyd, PA 19004, and our telephone number is (844) 511-9056. Our website address is www.larimartx.com. The information on, or that can be accessed through, our website is not part of this Annual Report on Form 10-K and is not incorporated by reference herein. We have included our website address as an inactive textual reference only.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123" w:lineRule="exact"/>
        <w:rPr>
          <w:sz w:val="20"/>
          <w:szCs w:val="20"/>
          <w:color w:val="auto"/>
        </w:rPr>
      </w:pPr>
    </w:p>
    <w:p>
      <w:pPr>
        <w:jc w:val="both"/>
        <w:ind w:right="140" w:firstLine="490"/>
        <w:spacing w:after="0" w:line="253" w:lineRule="auto"/>
        <w:rPr>
          <w:sz w:val="20"/>
          <w:szCs w:val="20"/>
          <w:color w:val="auto"/>
        </w:rPr>
      </w:pPr>
      <w:r>
        <w:rPr>
          <w:rFonts w:ascii="Times New Roman" w:cs="Times New Roman" w:eastAsia="Times New Roman" w:hAnsi="Times New Roman"/>
          <w:sz w:val="20"/>
          <w:szCs w:val="20"/>
          <w:color w:val="auto"/>
        </w:rPr>
        <w:t>We file annual, quarterly, and current reports, proxy statements, and other documents with the Securities and Exchange Commission ("the SEC") under the Securities Exchange Act of 1934, as amended ("the Exchange Act"). The SEC maintains an internet website, www.sec.gov, that contains reports, proxy and information statements, and other information regarding issuers, including us, that file electronically with the SEC.</w:t>
      </w:r>
    </w:p>
    <w:p>
      <w:pPr>
        <w:spacing w:after="0" w:line="70"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Copies of each of our filings with the SEC on Form 10-K, Form 10-Q and Form 8-K and all amendments to those reports, can be viewed and downloaded free of charge at our website, www.larimartx.com as soon as reasonably practicable after the reports and amendments are electronically filed with or furnished to the SEC.</w:t>
      </w:r>
    </w:p>
    <w:p>
      <w:pPr>
        <w:sectPr>
          <w:pgSz w:w="11880" w:h="15480" w:orient="portrait"/>
          <w:cols w:equalWidth="0" w:num="1">
            <w:col w:w="9360"/>
          </w:cols>
          <w:pgMar w:left="1260" w:top="14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360"/>
          </w:cols>
          <w:pgMar w:left="1260" w:top="1440" w:right="1260" w:bottom="0" w:gutter="0" w:footer="0" w:header="0"/>
          <w:type w:val="continuous"/>
        </w:sectPr>
      </w:pPr>
    </w:p>
    <w:bookmarkStart w:id="20" w:name="page21"/>
    <w:bookmarkEnd w:id="20"/>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Our code of ethics, other corporate policies and procedures, and the charters of our Audit Committee, Compensation Committee and Nominating and Corporate Governance Committee are available through our website at www.larimartx.com. We intend to post information regarding any amendments to, or waivers from, our code of ethics on our website.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123"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19"/>
          <w:szCs w:val="19"/>
          <w:color w:val="auto"/>
        </w:rPr>
        <w:t>In the United States, drug and biologic products are subject to extensive regulation by the FDA.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FDCA, with the exception that the section of the FDCA that governs the approval of drugs via new drug applications (“NDAs”), does not apply to the approval of biologics. In contrast, biologics are approved for marketing under provisions of the Public Health Service Act (“PHS Act”), via a Biologics License Application (“BLA”). However, the application process and requirements for approval of BLAs are very similar to those for NDAs. FDA approval or licensure also must be obtained before the marketing of drug and biological products. The process of obtaining regulatory approvals and the subsequent compliance with appropriate federal, state, local and foreign statutes and regulations require the expenditure of substantial time and financial resources.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Development Process</w:t>
      </w:r>
    </w:p>
    <w:p>
      <w:pPr>
        <w:spacing w:after="0" w:line="117" w:lineRule="exact"/>
        <w:rPr>
          <w:sz w:val="20"/>
          <w:szCs w:val="20"/>
          <w:color w:val="auto"/>
        </w:rPr>
      </w:pPr>
    </w:p>
    <w:p>
      <w:pPr>
        <w:ind w:right="400" w:firstLine="490"/>
        <w:spacing w:after="0" w:line="279" w:lineRule="auto"/>
        <w:rPr>
          <w:sz w:val="20"/>
          <w:szCs w:val="20"/>
          <w:color w:val="auto"/>
        </w:rPr>
      </w:pPr>
      <w:r>
        <w:rPr>
          <w:rFonts w:ascii="Times New Roman" w:cs="Times New Roman" w:eastAsia="Times New Roman" w:hAnsi="Times New Roman"/>
          <w:sz w:val="20"/>
          <w:szCs w:val="20"/>
          <w:color w:val="auto"/>
        </w:rPr>
        <w:t>The process required by the FDA before a drug or biologic product may be marketed in the United States generally involves the following:</w:t>
      </w:r>
    </w:p>
    <w:p>
      <w:pPr>
        <w:spacing w:after="0" w:line="60" w:lineRule="exact"/>
        <w:rPr>
          <w:sz w:val="20"/>
          <w:szCs w:val="20"/>
          <w:color w:val="auto"/>
        </w:rPr>
      </w:pPr>
    </w:p>
    <w:p>
      <w:pPr>
        <w:ind w:left="720" w:right="420" w:hanging="360"/>
        <w:spacing w:after="0" w:line="259"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completion of non-clinical laboratory tests and animal studies according to Good Laboratory Practices ("GLPs"), and applicable requirements for the humane use of laboratory animals or other applicable regulations;</w:t>
      </w:r>
    </w:p>
    <w:p>
      <w:pPr>
        <w:spacing w:after="0" w:line="78" w:lineRule="exact"/>
        <w:rPr>
          <w:rFonts w:ascii="Arial" w:cs="Arial" w:eastAsia="Arial" w:hAnsi="Arial"/>
          <w:sz w:val="20"/>
          <w:szCs w:val="20"/>
          <w:color w:val="auto"/>
        </w:rPr>
      </w:pPr>
    </w:p>
    <w:p>
      <w:pPr>
        <w:ind w:left="720" w:hanging="360"/>
        <w:spacing w:after="0"/>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preparation of clinical trial material in accordance with cGMPs;</w:t>
      </w:r>
    </w:p>
    <w:p>
      <w:pPr>
        <w:spacing w:after="0" w:line="133" w:lineRule="exact"/>
        <w:rPr>
          <w:rFonts w:ascii="Arial" w:cs="Arial" w:eastAsia="Arial" w:hAnsi="Arial"/>
          <w:sz w:val="20"/>
          <w:szCs w:val="20"/>
          <w:color w:val="auto"/>
        </w:rPr>
      </w:pPr>
    </w:p>
    <w:p>
      <w:pPr>
        <w:ind w:left="720" w:right="40" w:hanging="360"/>
        <w:spacing w:after="0" w:line="278"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application for an Investigational New Drug ("IND") application, which must become effective before human clinical trials may begin;</w:t>
      </w:r>
    </w:p>
    <w:p>
      <w:pPr>
        <w:spacing w:after="0" w:line="60" w:lineRule="exact"/>
        <w:rPr>
          <w:rFonts w:ascii="Arial" w:cs="Arial" w:eastAsia="Arial" w:hAnsi="Arial"/>
          <w:sz w:val="20"/>
          <w:szCs w:val="20"/>
          <w:color w:val="auto"/>
        </w:rPr>
      </w:pPr>
    </w:p>
    <w:p>
      <w:pPr>
        <w:ind w:left="720" w:right="20" w:hanging="360"/>
        <w:spacing w:after="0" w:line="278"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approval by an institutional review board ("IRB") reviewing each clinical site before each clinical trial may be initiated;</w:t>
      </w:r>
    </w:p>
    <w:p>
      <w:pPr>
        <w:spacing w:after="0" w:line="60" w:lineRule="exact"/>
        <w:rPr>
          <w:rFonts w:ascii="Arial" w:cs="Arial" w:eastAsia="Arial" w:hAnsi="Arial"/>
          <w:sz w:val="20"/>
          <w:szCs w:val="20"/>
          <w:color w:val="auto"/>
        </w:rPr>
      </w:pPr>
    </w:p>
    <w:p>
      <w:pPr>
        <w:ind w:left="720" w:right="260" w:hanging="360"/>
        <w:spacing w:after="0" w:line="252"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performance of adequate and well-controlled human clinical trials according to Good Clinical Practices ("GCPs") and any additional requirements for the protection of human research subjects and their health information, to establish the safety, purity, potency, and efficacy, of the proposed drug or biological product for its intended use;</w:t>
      </w:r>
    </w:p>
    <w:p>
      <w:pPr>
        <w:spacing w:after="0" w:line="87" w:lineRule="exact"/>
        <w:rPr>
          <w:rFonts w:ascii="Arial" w:cs="Arial" w:eastAsia="Arial" w:hAnsi="Arial"/>
          <w:sz w:val="20"/>
          <w:szCs w:val="20"/>
          <w:color w:val="auto"/>
        </w:rPr>
      </w:pPr>
    </w:p>
    <w:p>
      <w:pPr>
        <w:ind w:left="720" w:right="260" w:hanging="360"/>
        <w:spacing w:after="0" w:line="278"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submission to the FDA of an NDA or BLA for marketing approval that includes substantive evidence of safety, purity, potency, and efficacy from results of non-clinical testing and clinical trials;</w:t>
      </w:r>
    </w:p>
    <w:p>
      <w:pPr>
        <w:spacing w:after="0" w:line="60" w:lineRule="exact"/>
        <w:rPr>
          <w:rFonts w:ascii="Arial" w:cs="Arial" w:eastAsia="Arial" w:hAnsi="Arial"/>
          <w:sz w:val="20"/>
          <w:szCs w:val="20"/>
          <w:color w:val="auto"/>
        </w:rPr>
      </w:pPr>
    </w:p>
    <w:p>
      <w:pPr>
        <w:ind w:left="720" w:right="60" w:hanging="360"/>
        <w:spacing w:after="0" w:line="252"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satisfactory completion of an FDA inspection prior to NDA or BLA approval of the manufacturing facility or facilities where the drug or biological product is produced to assess compliance with cGMPs, to assure that the facilities, methods and controls are adequate to preserve the biological product’s identity, strength, quality and purity;</w:t>
      </w:r>
    </w:p>
    <w:p>
      <w:pPr>
        <w:spacing w:after="0" w:line="87" w:lineRule="exact"/>
        <w:rPr>
          <w:rFonts w:ascii="Arial" w:cs="Arial" w:eastAsia="Arial" w:hAnsi="Arial"/>
          <w:sz w:val="20"/>
          <w:szCs w:val="20"/>
          <w:color w:val="auto"/>
        </w:rPr>
      </w:pPr>
    </w:p>
    <w:p>
      <w:pPr>
        <w:ind w:left="720" w:right="400" w:hanging="360"/>
        <w:spacing w:after="0" w:line="278"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FDA audit of the non-clinical and clinical study sites that generated the data in support of the NDA or BLA;</w:t>
      </w:r>
    </w:p>
    <w:p>
      <w:pPr>
        <w:spacing w:after="0" w:line="60" w:lineRule="exact"/>
        <w:rPr>
          <w:rFonts w:ascii="Arial" w:cs="Arial" w:eastAsia="Arial" w:hAnsi="Arial"/>
          <w:sz w:val="20"/>
          <w:szCs w:val="20"/>
          <w:color w:val="auto"/>
        </w:rPr>
      </w:pPr>
    </w:p>
    <w:p>
      <w:pPr>
        <w:ind w:left="720" w:right="40" w:hanging="360"/>
        <w:spacing w:after="0" w:line="278"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potential FDA Advisory Committee meeting to elicit expert input on critical issues and including a vote by external committee members;</w:t>
      </w:r>
    </w:p>
    <w:p>
      <w:pPr>
        <w:spacing w:after="0" w:line="60" w:lineRule="exact"/>
        <w:rPr>
          <w:rFonts w:ascii="Arial" w:cs="Arial" w:eastAsia="Arial" w:hAnsi="Arial"/>
          <w:sz w:val="20"/>
          <w:szCs w:val="20"/>
          <w:color w:val="auto"/>
        </w:rPr>
      </w:pPr>
    </w:p>
    <w:p>
      <w:pPr>
        <w:ind w:left="720" w:right="260" w:hanging="360"/>
        <w:spacing w:after="0" w:line="278"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FDA review and approval, or licensure, of the NDA or BLA, and payment of associated user fees, when applicable; and</w:t>
      </w:r>
    </w:p>
    <w:p>
      <w:pPr>
        <w:spacing w:after="0" w:line="60" w:lineRule="exact"/>
        <w:rPr>
          <w:rFonts w:ascii="Arial" w:cs="Arial" w:eastAsia="Arial" w:hAnsi="Arial"/>
          <w:sz w:val="20"/>
          <w:szCs w:val="20"/>
          <w:color w:val="auto"/>
        </w:rPr>
      </w:pPr>
    </w:p>
    <w:p>
      <w:pPr>
        <w:ind w:left="720" w:right="120" w:hanging="360"/>
        <w:spacing w:after="0" w:line="259"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any post approval requirements, including the potential requirement to implement a Risk Evaluation and Mitigation Strategies ("REMS") and the potential requirement to conduct post approval studies.</w:t>
      </w:r>
    </w:p>
    <w:p>
      <w:pPr>
        <w:sectPr>
          <w:pgSz w:w="11880" w:h="15480" w:orient="portrait"/>
          <w:cols w:equalWidth="0" w:num="1">
            <w:col w:w="9320"/>
          </w:cols>
          <w:pgMar w:left="1260" w:top="123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320"/>
          </w:cols>
          <w:pgMar w:left="1260" w:top="1238" w:right="1300" w:bottom="0" w:gutter="0" w:footer="0" w:header="0"/>
          <w:type w:val="continuous"/>
        </w:sectPr>
      </w:pPr>
    </w:p>
    <w:bookmarkStart w:id="21" w:name="page22"/>
    <w:bookmarkEnd w:id="21"/>
    <w:p>
      <w:pPr>
        <w:ind w:right="60" w:firstLine="490"/>
        <w:spacing w:after="0" w:line="270" w:lineRule="auto"/>
        <w:rPr>
          <w:sz w:val="20"/>
          <w:szCs w:val="20"/>
          <w:color w:val="auto"/>
        </w:rPr>
      </w:pPr>
      <w:r>
        <w:rPr>
          <w:rFonts w:ascii="Times New Roman" w:cs="Times New Roman" w:eastAsia="Times New Roman" w:hAnsi="Times New Roman"/>
          <w:sz w:val="19"/>
          <w:szCs w:val="19"/>
          <w:color w:val="auto"/>
        </w:rPr>
        <w:t>Before testing any drug or biological product candidate in humans, the product candidate enters the non-clinical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5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places the clinical trial on a clinical hold within that 30-day time period. In such a case, the IND sponsor must resolve any deficiencies to the satisfaction of the FDA, and the FDA must lift the clinical hold before the clinical trial can begin. The FDA may 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88"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Clinical trials may involve the administration of the drug or biological product candidate to healthy volunteers or subjects under the supervision of qualified investigators, generally physicians not employed by or under the study sponsor’s control. Clinical trials involving some products for certain diseases, including some rare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application. Clinical trials must be conducted and monitored in accordance with the FDA’s regulations comprising the GCP requirements, including the requirement that all research subjects or his or her legal representative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monitoring committee. The data monitoring committee may review safety data and/or efficacy data.</w:t>
      </w:r>
    </w:p>
    <w:p>
      <w:pPr>
        <w:spacing w:after="0" w:line="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Human clinical trials are typically conducted in three sequential phases that may overlap or be combined:</w:t>
      </w:r>
    </w:p>
    <w:p>
      <w:pPr>
        <w:spacing w:after="0" w:line="134" w:lineRule="exact"/>
        <w:rPr>
          <w:sz w:val="20"/>
          <w:szCs w:val="20"/>
          <w:color w:val="auto"/>
        </w:rPr>
      </w:pPr>
    </w:p>
    <w:p>
      <w:pPr>
        <w:ind w:left="720" w:right="220" w:hanging="360"/>
        <w:spacing w:after="0" w:line="259"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Phase 1</w:t>
      </w:r>
      <w:r>
        <w:rPr>
          <w:rFonts w:ascii="Times New Roman" w:cs="Times New Roman" w:eastAsia="Times New Roman" w:hAnsi="Times New Roman"/>
          <w:sz w:val="20"/>
          <w:szCs w:val="20"/>
          <w:color w:val="auto"/>
        </w:rPr>
        <w:t>. The drug or biological product is initially introduced into healthy human subjects and tested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safety. In the case of some products for rare diseases, the initial human testing is often conducted in patients.</w:t>
      </w:r>
    </w:p>
    <w:p>
      <w:pPr>
        <w:spacing w:after="0" w:line="78" w:lineRule="exact"/>
        <w:rPr>
          <w:rFonts w:ascii="Arial" w:cs="Arial" w:eastAsia="Arial" w:hAnsi="Arial"/>
          <w:sz w:val="20"/>
          <w:szCs w:val="20"/>
          <w:color w:val="auto"/>
        </w:rPr>
      </w:pPr>
    </w:p>
    <w:p>
      <w:pPr>
        <w:ind w:left="720" w:right="260" w:hanging="360"/>
        <w:spacing w:after="0" w:line="259" w:lineRule="auto"/>
        <w:tabs>
          <w:tab w:leader="none" w:pos="720" w:val="left"/>
        </w:tabs>
        <w:numPr>
          <w:ilvl w:val="0"/>
          <w:numId w:val="15"/>
        </w:numPr>
        <w:rPr>
          <w:rFonts w:ascii="Arial" w:cs="Arial" w:eastAsia="Arial" w:hAnsi="Arial"/>
          <w:sz w:val="20"/>
          <w:szCs w:val="20"/>
          <w:color w:val="auto"/>
        </w:rPr>
      </w:pPr>
      <w:r>
        <w:rPr>
          <w:rFonts w:ascii="Times New Roman" w:cs="Times New Roman" w:eastAsia="Times New Roman" w:hAnsi="Times New Roman"/>
          <w:sz w:val="20"/>
          <w:szCs w:val="20"/>
          <w:b w:val="1"/>
          <w:bCs w:val="1"/>
          <w:i w:val="1"/>
          <w:iCs w:val="1"/>
          <w:color w:val="auto"/>
        </w:rPr>
        <w:t>Phase 2</w:t>
      </w:r>
      <w:r>
        <w:rPr>
          <w:rFonts w:ascii="Times New Roman" w:cs="Times New Roman" w:eastAsia="Times New Roman" w:hAnsi="Times New Roman"/>
          <w:sz w:val="20"/>
          <w:szCs w:val="20"/>
          <w:color w:val="auto"/>
        </w:rPr>
        <w:t>. The drug or biological product is evaluated in a limited patient population to identify possible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adverse effects and safety risks, to preliminarily evaluate the efficacy of the product for specific targeted diseases and to determine dosage tolerance, optimal dosage and dosing schedule.</w:t>
      </w:r>
    </w:p>
    <w:p>
      <w:pPr>
        <w:spacing w:after="0" w:line="78" w:lineRule="exact"/>
        <w:rPr>
          <w:rFonts w:ascii="Arial" w:cs="Arial" w:eastAsia="Arial" w:hAnsi="Arial"/>
          <w:sz w:val="20"/>
          <w:szCs w:val="20"/>
          <w:color w:val="auto"/>
        </w:rPr>
      </w:pPr>
    </w:p>
    <w:p>
      <w:pPr>
        <w:jc w:val="both"/>
        <w:ind w:left="720" w:hanging="360"/>
        <w:spacing w:after="0" w:line="252" w:lineRule="auto"/>
        <w:tabs>
          <w:tab w:leader="none" w:pos="720" w:val="left"/>
        </w:tabs>
        <w:numPr>
          <w:ilvl w:val="0"/>
          <w:numId w:val="15"/>
        </w:numPr>
        <w:rPr>
          <w:rFonts w:ascii="Arial" w:cs="Arial" w:eastAsia="Arial" w:hAnsi="Arial"/>
          <w:sz w:val="19"/>
          <w:szCs w:val="19"/>
          <w:color w:val="auto"/>
        </w:rPr>
      </w:pPr>
      <w:r>
        <w:rPr>
          <w:rFonts w:ascii="Times New Roman" w:cs="Times New Roman" w:eastAsia="Times New Roman" w:hAnsi="Times New Roman"/>
          <w:sz w:val="19"/>
          <w:szCs w:val="19"/>
          <w:b w:val="1"/>
          <w:bCs w:val="1"/>
          <w:i w:val="1"/>
          <w:iCs w:val="1"/>
          <w:color w:val="auto"/>
        </w:rPr>
        <w:t>Phase 3</w:t>
      </w:r>
      <w:r>
        <w:rPr>
          <w:rFonts w:ascii="Times New Roman" w:cs="Times New Roman" w:eastAsia="Times New Roman" w:hAnsi="Times New Roman"/>
          <w:sz w:val="19"/>
          <w:szCs w:val="19"/>
          <w:color w:val="auto"/>
        </w:rPr>
        <w:t>. Clinical trials are undertaken to further evaluate dosage, clinical efficacy, potency and safety in an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expanded patient population at geographically dispersed clinical trial sites. These clinical trials are intended to establish the overall risk/benefit ratio of the product and provide an adequate basis for product labeling.</w:t>
      </w:r>
    </w:p>
    <w:p>
      <w:pPr>
        <w:ind w:left="720" w:right="40"/>
        <w:spacing w:after="0" w:line="245" w:lineRule="auto"/>
        <w:rPr>
          <w:rFonts w:ascii="Arial" w:cs="Arial" w:eastAsia="Arial" w:hAnsi="Arial"/>
          <w:sz w:val="19"/>
          <w:szCs w:val="19"/>
          <w:color w:val="auto"/>
        </w:rPr>
      </w:pPr>
      <w:r>
        <w:rPr>
          <w:rFonts w:ascii="Times New Roman" w:cs="Times New Roman" w:eastAsia="Times New Roman" w:hAnsi="Times New Roman"/>
          <w:sz w:val="20"/>
          <w:szCs w:val="20"/>
          <w:color w:val="auto"/>
        </w:rPr>
        <w:t>In most cases, the FDA requires two adequate and well-controlled Phase 3 clinical trials to demonstrate the safety and efficacy of the drug or biologic. In rare instances, a single Phase 3 trial may be sufficient when either (1)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the single trial is supported by other confirmatory evidence. In drugs and biologics for rare diseases where patient populations are small, Phase 3 trials might not be required if an acceptable adequate risk/benefit profile can be demonstrated from Phase 2 trials.</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340"/>
          </w:cols>
          <w:pgMar w:left="1260" w:top="1238" w:right="1280" w:bottom="0" w:gutter="0" w:footer="0" w:header="0"/>
          <w:type w:val="continuous"/>
        </w:sectPr>
      </w:pPr>
    </w:p>
    <w:bookmarkStart w:id="22" w:name="page23"/>
    <w:bookmarkEnd w:id="22"/>
    <w:p>
      <w:pPr>
        <w:jc w:val="both"/>
        <w:ind w:right="380" w:firstLine="490"/>
        <w:spacing w:after="0" w:line="259" w:lineRule="auto"/>
        <w:rPr>
          <w:sz w:val="20"/>
          <w:szCs w:val="20"/>
          <w:color w:val="auto"/>
        </w:rPr>
      </w:pPr>
      <w:r>
        <w:rPr>
          <w:rFonts w:ascii="Times New Roman" w:cs="Times New Roman" w:eastAsia="Times New Roman" w:hAnsi="Times New Roman"/>
          <w:sz w:val="20"/>
          <w:szCs w:val="20"/>
          <w:color w:val="auto"/>
        </w:rPr>
        <w:t>An OLE study may also be conducted. An OLE study typically enrolls participants from previous clinical trials and is designed to gather the long-term safety and tolerability data on a potential new medicine beyond the time period of the original studies.</w:t>
      </w:r>
    </w:p>
    <w:p>
      <w:pPr>
        <w:spacing w:after="0" w:line="65"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in real-world scenarios. They provide additional information regarding risks, benefits and best use, including longer term safety data. In certain instances, the FDA may mandate the performance of Phase 4 clinical trials as a condition of approval of an NDA or BLA.</w:t>
      </w:r>
    </w:p>
    <w:p>
      <w:pPr>
        <w:spacing w:after="0" w:line="7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reactions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8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cGMP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8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77"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Information about certain clinical trials must be submitted within specific timeframes to the NIH for public dissemination on its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 Review and Approval Processes</w:t>
      </w:r>
    </w:p>
    <w:p>
      <w:pPr>
        <w:spacing w:after="0" w:line="117"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After the completion of clinical trials of a drug or biological product, FDA approval of an NDA, or BLA, must be obtained before commercial marketing of the product. The NDA or BLA must include results of product development, laboratory and animal studies, human studies, information on the manufacture and composition of the product, proposed labeling and other relevant information.</w:t>
      </w:r>
    </w:p>
    <w:p>
      <w:pPr>
        <w:spacing w:after="0" w:line="7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Under the Prescription Drug User Fee Act, as amended, ("PDUFA") each NDA or BLA may be accompanied by a significant application fee. The applicant for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360"/>
          </w:cols>
          <w:pgMar w:left="1260" w:top="1238" w:right="1260" w:bottom="0" w:gutter="0" w:footer="0" w:header="0"/>
          <w:type w:val="continuous"/>
        </w:sectPr>
      </w:pPr>
    </w:p>
    <w:bookmarkStart w:id="23" w:name="page24"/>
    <w:bookmarkEnd w:id="23"/>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Within 60 days following submission of the application, the FDA reviews an NDA or BLA submitted to determine if it is substantially complete before the agency files it. The FDA may refuse to file any NDA or BLA that it deems incomplete or not properly reviewable at the time of submission and may request additional information. In this event, the NDA or BLA must be resubmitted with the additional information. The resubmitted application is also subject to review before the FDA files it. Once the submission is filed, the FDA begins an in-depth substantive review of the NDA or BLA. The FDA reviews the NDA or BLA to determine, among other things, whether the proposed product is safe and effective (for drugs) or safe, potent, and effective (for biologics), for its intended use, and has an acceptable purity profile, and whether the product is being manufactured in accordance with cGMPs to assure and preserve the product’s identity, safety, strength, quality, potency and purity. One of the performance goals agreed to by the FDA under the PDUFA is to review standard NDAs or BLAs in 10 months from filing and priority NDAs or BLAs in six months from filing, whereupon a review decision is to be made. The review process may be extended by three months if the FDA classifies a response to an FDA request for additional information or clarification as a major amendment.</w:t>
      </w:r>
    </w:p>
    <w:p>
      <w:pPr>
        <w:spacing w:after="0" w:line="8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review, the FDA will also determine whether a REMS is necessary to assure the safe use of the biological product. If the FDA concludes a REMS is needed, the sponsor of the NDA or BLA must submit a proposed REMS; the FDA will not approve the NDA or BLA without a REMS, if required.</w:t>
      </w:r>
    </w:p>
    <w:p>
      <w:pPr>
        <w:spacing w:after="0" w:line="80"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Before approving an NDA or BLA, the FDA may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To assure cGMP and GCP compliance, an applicant must incur significant expenditure of time, money and effort in the areas of training, record keeping, production, and quality control.</w:t>
      </w:r>
    </w:p>
    <w:p>
      <w:pPr>
        <w:spacing w:after="0" w:line="8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8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If a product receives regulatory approval, the approval may be significantly limited to specific diseases and dosages or the indications for use may otherwise be limited, which could restrict the commercial value of the 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Post-Approval Requirements</w:t>
      </w:r>
    </w:p>
    <w:p>
      <w:pPr>
        <w:spacing w:after="0" w:line="120"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cGMP. We will rely, and expect to continue to rely, on third parties for the production of clinical and commercial quantities of any products that we may commercialize. Manufacturers of our products are required to comply with applicable requirements in the cGMP regulations, including quality control and quality assurance and maintenance of records and documentation.</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360"/>
          </w:cols>
          <w:pgMar w:left="1260" w:top="1238" w:right="1260" w:bottom="0" w:gutter="0" w:footer="0" w:header="0"/>
          <w:type w:val="continuous"/>
        </w:sectPr>
      </w:pPr>
    </w:p>
    <w:bookmarkStart w:id="24" w:name="page25"/>
    <w:bookmarkEnd w:id="24"/>
    <w:p>
      <w:pPr>
        <w:ind w:firstLine="490"/>
        <w:spacing w:after="0" w:line="244" w:lineRule="auto"/>
        <w:rPr>
          <w:sz w:val="20"/>
          <w:szCs w:val="20"/>
          <w:color w:val="auto"/>
        </w:rPr>
      </w:pPr>
      <w:r>
        <w:rPr>
          <w:rFonts w:ascii="Times New Roman" w:cs="Times New Roman" w:eastAsia="Times New Roman" w:hAnsi="Times New Roman"/>
          <w:sz w:val="20"/>
          <w:szCs w:val="20"/>
          <w:color w:val="auto"/>
        </w:rPr>
        <w:t>Following approval, the manufacturing facilities are subject to biennial inspections by the FDA’s and such inspections may result in an issuance of FDA Form 483 deficiency observations, untitled letter,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drug and biological products, include reporting of cGMP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After an NDA or BLA is approved, the product may also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before releasing the lots for distribution by the manufacturer. In addition, the FDA may conduct laboratory research related to the regulatory standards on the safety, purity, potency, and effectiveness of drug and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88"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Manufacturers must also comply with the FDA’s advertising and promotion requirements, such as those related to direct-to-consumer advertising, the prohibition on promoting products for uses or inpatient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8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Drug and biologic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cGMPs and other laws. Accordingly, manufacturers must continue to expend time, money, and effort in the areas of production and quality control to maintain cGMP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Orphan Drug Designation</w:t>
      </w:r>
    </w:p>
    <w:p>
      <w:pPr>
        <w:spacing w:after="0" w:line="12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Under the Orphan Drug Act, the FDA may grant Orphan Drug Designation ("ODD") to a drug or biologic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 product available in the United States for this type of disease or condition will be recovered from sales of the product. ODD must be requested before submitting an NDA or BLA. After the FDA grants ODD, the identity of the therapeutic agent and its potential orphan use are disclosed publicly by the FDA. ODD does not convey any advantage in or shorten the duration of the regulatory review and approval process.</w:t>
      </w:r>
    </w:p>
    <w:p>
      <w:pPr>
        <w:sectPr>
          <w:pgSz w:w="11880" w:h="15480" w:orient="portrait"/>
          <w:cols w:equalWidth="0" w:num="1">
            <w:col w:w="9320"/>
          </w:cols>
          <w:pgMar w:left="1260" w:top="123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320"/>
          </w:cols>
          <w:pgMar w:left="1260" w:top="1238" w:right="1300" w:bottom="0" w:gutter="0" w:footer="0" w:header="0"/>
          <w:type w:val="continuous"/>
        </w:sectPr>
      </w:pPr>
    </w:p>
    <w:bookmarkStart w:id="25" w:name="page26"/>
    <w:bookmarkEnd w:id="25"/>
    <w:p>
      <w:pPr>
        <w:ind w:firstLine="490"/>
        <w:spacing w:after="0" w:line="243" w:lineRule="auto"/>
        <w:rPr>
          <w:sz w:val="20"/>
          <w:szCs w:val="20"/>
          <w:color w:val="auto"/>
        </w:rPr>
      </w:pPr>
      <w:r>
        <w:rPr>
          <w:rFonts w:ascii="Times New Roman" w:cs="Times New Roman" w:eastAsia="Times New Roman" w:hAnsi="Times New Roman"/>
          <w:sz w:val="20"/>
          <w:szCs w:val="20"/>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showing clinical superiority to the product with orphan exclusivity by means of greater effectiveness, greater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our products for seven years if a competitor obtains approval before we do for the same product as defined by the FDA for the same indication we are seeking approval, or if our product is determined to be contained within the competitor’s scope of product for the same indication or disease. If we pursue marketing approval for an indication broader than the orphan drug designation we have received, we may not be entitled to orphan drug exclusivity.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Expedited Review and Approval Programs</w:t>
      </w:r>
    </w:p>
    <w:p>
      <w:pPr>
        <w:spacing w:after="0" w:line="12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FDA has various programs, including fast track designation, priority review, accelerated approval, and breakthrough therapy designation, that are intended to expedite or simplify the process for the development and 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NDA or BLA before the application is complete, a process known as rolling review.</w:t>
      </w:r>
    </w:p>
    <w:p>
      <w:pPr>
        <w:spacing w:after="0" w:line="86"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The FDA may give a priority review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w:t>
      </w:r>
    </w:p>
    <w:p>
      <w:pPr>
        <w:spacing w:after="0" w:line="7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addition, drug and biological products studied for their safety and effectiveness in treating serious or life-threatening illnesses and that provide meaningful therapeutic benefit over existing treatments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to verify and describe the predicted effect on irreversible morbidity or mortality or other clinical endpoint, and the drug or biological product may be subject to accelerated withdrawal procedures.</w:t>
      </w:r>
    </w:p>
    <w:p>
      <w:pPr>
        <w:spacing w:after="0" w:line="82"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Food and Drug Omnibus Reform Act (“FDORA”) was recently enacted, which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which may include milestones such as a target date of study completion and requires sponsors to submit progress reports for required post-approval studies and any conditions required by the FDA not later than 180 days following approval and not less frequently than every 180 days thereafter until completion or termination of the study. FDORA enables the FDA to initiate enforcement actions for the failure to conduct with due diligence a required post-approval study, including a failure to meet any required conditions specified by the FDA or to submit timely reports.</w:t>
      </w:r>
    </w:p>
    <w:p>
      <w:pPr>
        <w:spacing w:after="0" w:line="86" w:lineRule="exact"/>
        <w:rPr>
          <w:sz w:val="20"/>
          <w:szCs w:val="20"/>
          <w:color w:val="auto"/>
        </w:rPr>
      </w:pPr>
    </w:p>
    <w:p>
      <w:pPr>
        <w:ind w:right="120" w:firstLine="490"/>
        <w:spacing w:after="0" w:line="270" w:lineRule="auto"/>
        <w:rPr>
          <w:sz w:val="20"/>
          <w:szCs w:val="20"/>
          <w:color w:val="auto"/>
        </w:rPr>
      </w:pPr>
      <w:r>
        <w:rPr>
          <w:rFonts w:ascii="Times New Roman" w:cs="Times New Roman" w:eastAsia="Times New Roman" w:hAnsi="Times New Roman"/>
          <w:sz w:val="19"/>
          <w:szCs w:val="19"/>
          <w:color w:val="auto"/>
        </w:rPr>
        <w:t>Moreover, a sponsor can request designation of a product candidate as a “breakthrough therapy.” A breakthrough therapy is defined as a drug or biologic product that is intended, alone or in combination with one or more other drugs, to treat a serious or life-threatening disease or condition, and preliminary clinical evidence indicates that the drug or biologic product may demonstrate substantial improvement over existing therapies on one</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360"/>
          </w:cols>
          <w:pgMar w:left="1260" w:top="1238" w:right="1260" w:bottom="0" w:gutter="0" w:footer="0" w:header="0"/>
          <w:type w:val="continuous"/>
        </w:sectPr>
      </w:pPr>
    </w:p>
    <w:bookmarkStart w:id="26" w:name="page27"/>
    <w:bookmarkEnd w:id="26"/>
    <w:p>
      <w:pPr>
        <w:jc w:val="both"/>
        <w:ind w:right="20"/>
        <w:spacing w:after="0" w:line="259" w:lineRule="auto"/>
        <w:rPr>
          <w:sz w:val="20"/>
          <w:szCs w:val="20"/>
          <w:color w:val="auto"/>
        </w:rPr>
      </w:pPr>
      <w:r>
        <w:rPr>
          <w:rFonts w:ascii="Times New Roman" w:cs="Times New Roman" w:eastAsia="Times New Roman" w:hAnsi="Times New Roman"/>
          <w:sz w:val="20"/>
          <w:szCs w:val="20"/>
          <w:color w:val="auto"/>
        </w:rPr>
        <w:t>or more clinically significant endpoints, such as substantial treatment effects observed early in clinical development. The FDA must take certain actions, such as holding timely meetings and providing advice, intended to expedite the development and review of an application for approval of a breakthrough therapy.</w:t>
      </w:r>
    </w:p>
    <w:p>
      <w:pPr>
        <w:spacing w:after="0" w:line="65"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Even if a product qualifies for one or more of these programs, the FDA may later decide that the product no longer meets the conditions for qualification or decides that the time period for FDA review or approval will not be shortened. Furthermore, fast-track designation, priority review, accelerated approval and breakthrough therapy designation, do not change the standards for approval and may not ultimately expedite the development or approval process.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Rare Pediatric Disease Vouchers</w:t>
      </w:r>
    </w:p>
    <w:p>
      <w:pPr>
        <w:spacing w:after="0" w:line="117"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The Rare Pediatric Disease Voucher Program is intended to encourage development of new drug and biological products for prevention and treatment of certain rare pediatric diseases. Although there are existing incentive programs to encourage the development and study of drugs and biologics for rare diseases, pediatric populations, and unmet medical needs, this program provides an additional incentive for the development of drugs and biologics for rare pediatric diseases, which may be used alone or in combination with other incentive programs. A rare pediatric disease is defined as a disease that is a serious or life-threatening disease in which the serious or life-threatening manifestations primarily affect individuals aged from birth to 18 years, including age groups often called neonates, infants, children, and adolescents; and is a rare disease or condition as defined in the FDCA, which includes diseases and conditions that affect fewer than 200,000 persons in the United States and diseases and conditions that affect a larger number of persons and for which there is no reasonable expectation that the costs of developing and making available the product in the United States can be recovered from sales of the product in the United States.</w:t>
      </w:r>
    </w:p>
    <w:p>
      <w:pPr>
        <w:spacing w:after="0" w:line="8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The sponsor of an application for a drug product that obtains rare pediatric disease designation may be eligible for a voucher that can be used or sold to obtain a priority review for a subsequent application submitted under section 505(b)(1) of the FDCA or section 351 of the PHS Act. A rare pediatric disease drug product must meet certain eligibility requirements for a priority voucher at the time the sponsor seeks approval. The rare pediatric disease priority review voucher program was most recently re-authorized by Congress through September 30, 2024, with the potential for priority review vouchers to be granted through September 30, 2026.</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Pediatric Information and Pediatric Exclusivity</w:t>
      </w:r>
    </w:p>
    <w:p>
      <w:pPr>
        <w:spacing w:after="0" w:line="120"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Under the Pediatric Research Equity Act (“PREA”), certain NDAs and BLAs and certain supplements to an NDA or BLA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(“FDASIA”),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89"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A drug or biologic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Biologics Price Competition and Innovation Act</w:t>
      </w:r>
    </w:p>
    <w:p>
      <w:pPr>
        <w:spacing w:after="0" w:line="123" w:lineRule="exact"/>
        <w:rPr>
          <w:sz w:val="20"/>
          <w:szCs w:val="20"/>
          <w:color w:val="auto"/>
        </w:rPr>
      </w:pPr>
    </w:p>
    <w:p>
      <w:pPr>
        <w:ind w:right="40" w:firstLine="490"/>
        <w:spacing w:after="0" w:line="307" w:lineRule="auto"/>
        <w:rPr>
          <w:sz w:val="20"/>
          <w:szCs w:val="20"/>
          <w:color w:val="auto"/>
        </w:rPr>
      </w:pPr>
      <w:r>
        <w:rPr>
          <w:rFonts w:ascii="Times New Roman" w:cs="Times New Roman" w:eastAsia="Times New Roman" w:hAnsi="Times New Roman"/>
          <w:sz w:val="19"/>
          <w:szCs w:val="19"/>
          <w:color w:val="auto"/>
        </w:rPr>
        <w:t>The Biologics Price Competition and Innovation Act of 2009 ("BPCIA") created an abbreviated approval pathway for biological products that are demonstrated to be "biosimilar" or "interchangeable" with an FDA-licensed</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340"/>
          </w:cols>
          <w:pgMar w:left="1260" w:top="1238" w:right="1280" w:bottom="0" w:gutter="0" w:footer="0" w:header="0"/>
          <w:type w:val="continuous"/>
        </w:sectPr>
      </w:pPr>
    </w:p>
    <w:bookmarkStart w:id="27" w:name="page28"/>
    <w:bookmarkEnd w:id="27"/>
    <w:p>
      <w:pPr>
        <w:spacing w:after="0" w:line="242" w:lineRule="auto"/>
        <w:rPr>
          <w:sz w:val="20"/>
          <w:szCs w:val="20"/>
          <w:color w:val="auto"/>
        </w:rPr>
      </w:pPr>
      <w:r>
        <w:rPr>
          <w:rFonts w:ascii="Times New Roman" w:cs="Times New Roman" w:eastAsia="Times New Roman" w:hAnsi="Times New Roman"/>
          <w:sz w:val="20"/>
          <w:szCs w:val="20"/>
          <w:color w:val="auto"/>
        </w:rPr>
        <w:t>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 and potency. Biosimilarity is demonstrated in steps beginning with rigorous analytical studies or "fingerprinting", in vitro studies, in vivo animal studies, and generally at least one clinical study, absent a waiver from the Secretary of Health and Human Services.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Regulation Outside of the United States</w:t>
      </w:r>
    </w:p>
    <w:p>
      <w:pPr>
        <w:spacing w:after="0" w:line="120"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addition to regulations in the United States, we are subject to a variety of regulations in other jurisdictions governing clinical studies, commercial sales, and distribution of our products. Most countries outside of the United States require that clinical trial applications be submitted to and approved by the local regulatory authority for each clinical study. In the European Union, for example, an application must be submitted to the national competent authority and an independent ethics committee in each country in which we intend to conduct clinical trials, much like the FDA and IRB, respectively. Under the new Clinical Trials Regulation (EU) No 536/2014, which replaced the Clinical Trials Directive 2001/20/EC on January 31, 2022, a single application is now made through the Clinical Trials Information System (“CTIS”), for clinical trial authorization in up to 30 European Union/European Economic Area ("EU/EEA") countries at the same time and with a single set of documentation.</w:t>
      </w:r>
    </w:p>
    <w:p>
      <w:pPr>
        <w:spacing w:after="0" w:line="86" w:lineRule="exact"/>
        <w:rPr>
          <w:sz w:val="20"/>
          <w:szCs w:val="20"/>
          <w:color w:val="auto"/>
        </w:rPr>
      </w:pPr>
    </w:p>
    <w:p>
      <w:pPr>
        <w:ind w:right="140" w:firstLine="490"/>
        <w:spacing w:after="0" w:line="245" w:lineRule="auto"/>
        <w:rPr>
          <w:sz w:val="20"/>
          <w:szCs w:val="20"/>
          <w:color w:val="auto"/>
        </w:rPr>
      </w:pPr>
      <w:r>
        <w:rPr>
          <w:rFonts w:ascii="Times New Roman" w:cs="Times New Roman" w:eastAsia="Times New Roman" w:hAnsi="Times New Roman"/>
          <w:sz w:val="20"/>
          <w:szCs w:val="20"/>
          <w:color w:val="auto"/>
        </w:rPr>
        <w:t>The assessment of applications for clinical trials is divided into two parts (Part I contains scientific and medicinal product documentation and Part II contains the national and patient-level documentation). Part I is assessed by a coordinated review by the competent authorities of all European Union Member States in which an application for authorization of a clinical trial has been submitted (Member States concerned) of a draft report prepared by a Reference Member State. Part II is assessed separately by each Member State concerned. The role of the relevant ethics committees in the assessment procedure will continue to be governed by the national law of the Member State concerned, however overall related timelines are defined by the Clinical Trials Regulation. The new Clinical Trials Regulation also provides for simplified reporting procedures for clinical trial sponsors.</w:t>
      </w:r>
    </w:p>
    <w:p>
      <w:pPr>
        <w:spacing w:after="0" w:line="82"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In addition, whether or not we obtain FDA approval for a product, we must obtain approval of a product by the comparable regulatory authorities of countries outside the U.S. before we can commence clinical studies or marketing of the product in those countries. The approval process and requirements vary from country to country, so the number and type of non-clinical, clinical, and manufacturing studies needed may differ, and the time may be longer or shorter than that required for FDA approval.</w:t>
      </w:r>
    </w:p>
    <w:p>
      <w:pPr>
        <w:spacing w:after="0" w:line="77" w:lineRule="exact"/>
        <w:rPr>
          <w:sz w:val="20"/>
          <w:szCs w:val="20"/>
          <w:color w:val="auto"/>
        </w:rPr>
      </w:pPr>
    </w:p>
    <w:p>
      <w:pPr>
        <w:ind w:right="20" w:firstLine="490"/>
        <w:spacing w:after="0" w:line="242" w:lineRule="auto"/>
        <w:rPr>
          <w:sz w:val="20"/>
          <w:szCs w:val="20"/>
          <w:color w:val="auto"/>
        </w:rPr>
      </w:pPr>
      <w:r>
        <w:rPr>
          <w:rFonts w:ascii="Times New Roman" w:cs="Times New Roman" w:eastAsia="Times New Roman" w:hAnsi="Times New Roman"/>
          <w:sz w:val="20"/>
          <w:szCs w:val="20"/>
          <w:color w:val="auto"/>
        </w:rPr>
        <w:t>To obtain regulatory approval of product under the European Union's regulatory system, we are mandated to submit a Marketing Authorization Application ("MAA"), to be assessed in the Centralized Procedure. The centralized procedure, which came into operation in 1995, allows applicants to obtain a marketing authorization that is valid throughout the European Union and the additional Member States of the European Area (Iceland, Liechtenstein and Norway) ("EEA"). It is compulsory for medicinal products manufactured using biotechnological processes, for orphan medicinal products, for advance therapy medicinal products (gene-therapy, somatic cell-therapy or tissue-engineered medicines) and for human products containing a new active substance which are not authorized in the European Union and which are intended for the treatment of HIV, AIDS, cancer, neurodegenerative disorders, auto-immune and other immune dysfunctions, viral diseases or diabetes. The centralized procedure is optional for any other products containing new active substances not authorized in the European Union or for products which constitute a significant therapeutic, scientific or technical innovation or for which a centralized authorization is in the interests of patients at European Union. When a company wishes to place on the market a medicinal product that is eligible for the centralized procedure, it sends an application directly to the EMA, to be assessed by the Committee for Medicinal Products for Human Use ("CHMP"). The CHMP is responsible for conducting the assessment of whether a medicine meets the required quality, safety and efficacy</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340"/>
          </w:cols>
          <w:pgMar w:left="1260" w:top="1238" w:right="1280" w:bottom="0" w:gutter="0" w:footer="0" w:header="0"/>
          <w:type w:val="continuous"/>
        </w:sectPr>
      </w:pPr>
    </w:p>
    <w:bookmarkStart w:id="28" w:name="page29"/>
    <w:bookmarkEnd w:id="28"/>
    <w:p>
      <w:pPr>
        <w:spacing w:after="0" w:line="245" w:lineRule="auto"/>
        <w:rPr>
          <w:sz w:val="20"/>
          <w:szCs w:val="20"/>
          <w:color w:val="auto"/>
        </w:rPr>
      </w:pPr>
      <w:r>
        <w:rPr>
          <w:rFonts w:ascii="Times New Roman" w:cs="Times New Roman" w:eastAsia="Times New Roman" w:hAnsi="Times New Roman"/>
          <w:sz w:val="20"/>
          <w:szCs w:val="20"/>
          <w:color w:val="auto"/>
        </w:rPr>
        <w:t>requirements, and whether the product has a positive risk/benefit/risk profile. The procedure results in a European Commission decision, which is valid in all European Union Member States. Centrally authorized products may be marketed in all Member States. Full copies of the MAA are sent to a rapporteur and a co-rapporteur designated by the competent EMA scientific committee. They coordinate the EMA's scientific assessment of the medicinal product and prepare draft reports. Once the draft reports are prepared (other experts might be called upon for this purpose), they are sent to the CHMP, whose comments or objections are communicated to the applicant. The rapporteur is therefore the privileged interlocutor of the applicant and continues to play this role, even after the Marketing Approval ("MA") has been granted.</w:t>
      </w:r>
    </w:p>
    <w:p>
      <w:pPr>
        <w:spacing w:after="0" w:line="82"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The rapporteur and co-rapporteur then assess the applicant's replies, submit them for discussion to the CHMP and, taking into account the conclusions of this debate, prepare a final assessment report. Once the evaluation is completed, the CHMP gives a favorable or unfavorable opinion as to whether to grant the authorization. When the opinion is favorable, it shall include the draft summary of the product's characteristics, the package leaflet and the texts proposed for the various packaging materials. The time limit for the evaluation procedure is 210 days (excluding clock stops, when additional written or oral information is to be provided by the applicant in response to questions asked by the CHMP). The EMA then has fifteen days to forward its opinion to the European Commission which will make a binding decision on the grant of an MA within 67 days of the receipt of the CHMP.</w:t>
      </w:r>
    </w:p>
    <w:p>
      <w:pPr>
        <w:spacing w:after="0" w:line="8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The Commission has fifteen days to prepare a draft decision. The medicinal product is assigned a Community registration number, which will be placed on its packaging if the marketing authorization is granted. During this period, various Commission directorates-general are consulted on the draft marketing authorization decision. There are two other procedures in the European Union for the grant of an MAA in multiple European Union Member States. The Decentralized Procedure provides for approval by one or more other, or concerned, member states of an assessment of an application performed by one member state, known as the reference member state. Under this procedure, an applicant submits an application, or dossier, and related materials including a draft summary of product characteristics, and draft labeling and package leaflet, to the reference member state and concerned member states. The reference member state prepares a draft assessment and drafts of the related materials within 120 days after receipt of a valid application. Within 90 days of receiving the reference member state's assessment report, each concerned member state must decide whether to approve the assessment report and related materials. If a member state cannot approve the assessment report and related materials on the grounds of potential serious risk to the public health, the disputed points may eventually be referred to the European Commission, whose decision is binding on all member states. Where a product has already received a marketing authorization in one Member State, another Member State can recognize that marketing authorization under the mutual recognition procedure.</w:t>
      </w:r>
    </w:p>
    <w:p>
      <w:pPr>
        <w:spacing w:after="0" w:line="91"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Applications from persons or companies seeking "orphan medicinal product designation" for products they intend to develop for the diagnosis, prevention, or treatment of life-threatening or chronically debilitating conditions that affect not more than 5 in 10,000 persons in the European Union are reviewed by the Committee for Orphan Medicinal Products, ("COMP"). In addition, orphan drug designation can be granted if the drug is intended for a life threatening, seriously debilitating, or serious and chronic condition in the European Union where without incentives it is unlikely that sales of the product in the European Union would be sufficient to justify the necessary investment in its development. Orphan designation is only available if there is no other satisfactory method approved in the European Union of diagnosing, preventing, or treating the condition, or if such a method exists, the proposed orphan product will be of significant benefit to patients. We have obtained orphan drug designation for CTI-1601.</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Orphan designation provides opportunities for fee reductions, protocol assistance and access to the centralized procedure before and during the first year after marketing approval. Fee reductions are not limited to the first year after marketing approval for small and medium enterprises. In addition, if a product which has an orphan drug designation subsequently receives EMA marketing approval for the indication for which it has such designation, the product is entitled to orphan market exclusivity, which means the EMA may not approve any other application to market a similar drug for the same indication for a period of 10 years. A “similar medicinal product” is defined as a medicinal product containing a similar active substance or substances as contained in an authorized orphan medicinal product, and which is intended for the same therapeutic indication. The exclusivity period may be reduced to six years if the designation criteria are no longer met, including where it is shown that the product is sufficiently profitable not to justify maintenance of market exclusivity. Additionally, an MA may be granted to a similar medicinal product for the same indication if:</w:t>
      </w:r>
    </w:p>
    <w:p>
      <w:pPr>
        <w:spacing w:after="0" w:line="103" w:lineRule="exact"/>
        <w:rPr>
          <w:sz w:val="20"/>
          <w:szCs w:val="20"/>
          <w:color w:val="auto"/>
        </w:rPr>
      </w:pPr>
    </w:p>
    <w:p>
      <w:pPr>
        <w:ind w:left="980" w:right="100" w:hanging="491"/>
        <w:spacing w:after="0" w:line="278" w:lineRule="auto"/>
        <w:tabs>
          <w:tab w:leader="none" w:pos="980" w:val="left"/>
        </w:tabs>
        <w:numPr>
          <w:ilvl w:val="0"/>
          <w:numId w:val="16"/>
        </w:numPr>
        <w:rPr>
          <w:rFonts w:ascii="Arial" w:cs="Arial" w:eastAsia="Arial" w:hAnsi="Arial"/>
          <w:sz w:val="20"/>
          <w:szCs w:val="20"/>
          <w:color w:val="auto"/>
        </w:rPr>
      </w:pPr>
      <w:r>
        <w:rPr>
          <w:rFonts w:ascii="Times New Roman" w:cs="Times New Roman" w:eastAsia="Times New Roman" w:hAnsi="Times New Roman"/>
          <w:sz w:val="20"/>
          <w:szCs w:val="20"/>
          <w:color w:val="auto"/>
        </w:rPr>
        <w:t>the second applicant can establish that its product, although similar to the authorized orphan product, is safer, more effective or otherwise clinically superior;</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340"/>
          </w:cols>
          <w:pgMar w:left="1260" w:top="1238" w:right="1280" w:bottom="0" w:gutter="0" w:footer="0" w:header="0"/>
          <w:type w:val="continuous"/>
        </w:sectPr>
      </w:pPr>
    </w:p>
    <w:bookmarkStart w:id="29" w:name="page30"/>
    <w:bookmarkEnd w:id="29"/>
    <w:p>
      <w:pPr>
        <w:ind w:left="980" w:right="720" w:hanging="491"/>
        <w:spacing w:after="0" w:line="278" w:lineRule="auto"/>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MA holder of the authorized orphan product consents to a second orphan medicinal product application; or</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17"/>
        </w:numPr>
        <w:rPr>
          <w:rFonts w:ascii="Arial" w:cs="Arial" w:eastAsia="Arial" w:hAnsi="Arial"/>
          <w:sz w:val="20"/>
          <w:szCs w:val="20"/>
          <w:color w:val="auto"/>
        </w:rPr>
      </w:pPr>
      <w:r>
        <w:rPr>
          <w:rFonts w:ascii="Times New Roman" w:cs="Times New Roman" w:eastAsia="Times New Roman" w:hAnsi="Times New Roman"/>
          <w:sz w:val="20"/>
          <w:szCs w:val="20"/>
          <w:color w:val="auto"/>
        </w:rPr>
        <w:t>the MA holder of the authorized orphan product cannot supply enough orphan medicinal product</w:t>
      </w:r>
    </w:p>
    <w:p>
      <w:pPr>
        <w:spacing w:after="0" w:line="119"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The EMA offers a scheme to facilitate development of product candidates in indications, often rare, for which few or no therapies currently exist. The PRIority MEdicines, or PRIME, scheme is intended to encourage drug development in areas of unmet medical need and is intended to reinforce early dialogue with, and regulatory support from, EMA in order to stimulate innovation, optimize development and enable accelerated assessment of such product candidates. It is intended to build upon the scientific advice scheme and accelerated assessment procedure offered by the EMA. The scheme is voluntary and eligibility criteria must be met for a medicine to qualify for PRIME.</w:t>
      </w:r>
    </w:p>
    <w:p>
      <w:pPr>
        <w:spacing w:after="0" w:line="8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The PRIME scheme is open to medicines under development and for which the applicant intends to apply for an MA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If a medicine is selected for the PRIME scheme, EMA:</w:t>
      </w:r>
    </w:p>
    <w:p>
      <w:pPr>
        <w:spacing w:after="0" w:line="134" w:lineRule="exact"/>
        <w:rPr>
          <w:sz w:val="20"/>
          <w:szCs w:val="20"/>
          <w:color w:val="auto"/>
        </w:rPr>
      </w:pPr>
    </w:p>
    <w:p>
      <w:pPr>
        <w:ind w:left="980" w:right="340" w:hanging="491"/>
        <w:spacing w:after="0" w:line="259"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Appoints a rapporteur from the CHMP or from the Committee for Advanced Therapies ("CAT") to provide continuous support and to build up knowledge of the medicine in advance of the filing of an MAA;</w:t>
      </w:r>
    </w:p>
    <w:p>
      <w:pPr>
        <w:spacing w:after="0" w:line="78" w:lineRule="exact"/>
        <w:rPr>
          <w:rFonts w:ascii="Arial" w:cs="Arial" w:eastAsia="Arial" w:hAnsi="Arial"/>
          <w:sz w:val="20"/>
          <w:szCs w:val="20"/>
          <w:color w:val="auto"/>
        </w:rPr>
      </w:pPr>
    </w:p>
    <w:p>
      <w:pPr>
        <w:ind w:left="980" w:hanging="491"/>
        <w:spacing w:after="0"/>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Issues guidance on the applicant’s overall development plan and regulatory strategy;</w:t>
      </w:r>
    </w:p>
    <w:p>
      <w:pPr>
        <w:spacing w:after="0" w:line="133" w:lineRule="exact"/>
        <w:rPr>
          <w:rFonts w:ascii="Arial" w:cs="Arial" w:eastAsia="Arial" w:hAnsi="Arial"/>
          <w:sz w:val="20"/>
          <w:szCs w:val="20"/>
          <w:color w:val="auto"/>
        </w:rPr>
      </w:pPr>
    </w:p>
    <w:p>
      <w:pPr>
        <w:ind w:left="980" w:right="540" w:hanging="491"/>
        <w:spacing w:after="0" w:line="278"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Organizes a kick-off meeting with the rapporteur and experts from relevant EMA committees and working groups; Provides a dedicated EMA contact person; and</w:t>
      </w:r>
    </w:p>
    <w:p>
      <w:pPr>
        <w:spacing w:after="0" w:line="60" w:lineRule="exact"/>
        <w:rPr>
          <w:rFonts w:ascii="Arial" w:cs="Arial" w:eastAsia="Arial" w:hAnsi="Arial"/>
          <w:sz w:val="20"/>
          <w:szCs w:val="20"/>
          <w:color w:val="auto"/>
        </w:rPr>
      </w:pPr>
    </w:p>
    <w:p>
      <w:pPr>
        <w:ind w:left="980" w:right="340" w:hanging="491"/>
        <w:spacing w:after="0" w:line="278" w:lineRule="auto"/>
        <w:tabs>
          <w:tab w:leader="none" w:pos="980" w:val="left"/>
        </w:tabs>
        <w:numPr>
          <w:ilvl w:val="0"/>
          <w:numId w:val="18"/>
        </w:numPr>
        <w:rPr>
          <w:rFonts w:ascii="Arial" w:cs="Arial" w:eastAsia="Arial" w:hAnsi="Arial"/>
          <w:sz w:val="20"/>
          <w:szCs w:val="20"/>
          <w:color w:val="auto"/>
        </w:rPr>
      </w:pPr>
      <w:r>
        <w:rPr>
          <w:rFonts w:ascii="Times New Roman" w:cs="Times New Roman" w:eastAsia="Times New Roman" w:hAnsi="Times New Roman"/>
          <w:sz w:val="20"/>
          <w:szCs w:val="20"/>
          <w:color w:val="auto"/>
        </w:rPr>
        <w:t>Provides scientific advice at key development milestones, involving additional stakeholders, such as health technology assessment bodies and patients, as needed.</w:t>
      </w:r>
    </w:p>
    <w:p>
      <w:pPr>
        <w:spacing w:after="0" w:line="46"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auto"/>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spacing w:after="0" w:line="65" w:lineRule="exact"/>
        <w:rPr>
          <w:sz w:val="20"/>
          <w:szCs w:val="20"/>
          <w:color w:val="auto"/>
        </w:rPr>
      </w:pPr>
    </w:p>
    <w:p>
      <w:pPr>
        <w:ind w:right="520" w:firstLine="490"/>
        <w:spacing w:after="0" w:line="253" w:lineRule="auto"/>
        <w:rPr>
          <w:sz w:val="20"/>
          <w:szCs w:val="20"/>
          <w:color w:val="auto"/>
        </w:rPr>
      </w:pPr>
      <w:r>
        <w:rPr>
          <w:rFonts w:ascii="Times New Roman" w:cs="Times New Roman" w:eastAsia="Times New Roman" w:hAnsi="Times New Roman"/>
          <w:sz w:val="20"/>
          <w:szCs w:val="20"/>
          <w:color w:val="auto"/>
        </w:rPr>
        <w:t>Medicines that are selected for the PRIME scheme are also expected to benefit from EMA’s accelerated assessment procedure at the time of application for marketing authorization. Where, during the course of development, a medicine no longer meets the eligibility criteria, support under the PRIME scheme may be withdrawn.</w:t>
      </w:r>
    </w:p>
    <w:p>
      <w:pPr>
        <w:spacing w:after="0" w:line="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 Pediatric Investigation Plan ("PIP") in the European Union is aimed at ensuring that the necessary data are obtained to support the authorization of a medicine for children, through studies in children. All applications for marketing authorization for new medicines have to include the results of studies as described in an agreed PIP, unless the study results are deferred, or the medicine is exempt because of a waiver. This requirement also applies when a marketing-authorization holder wants to add a new indication, pharmaceutical form, or route of administration for a medicine that is already authorized and covered by intellectual property rights. Several rewards and incentives for the development of pediatric medicines for children are available in the E.U. Medicines authorized across the E.U. with the results of studies from a PIP included in the product information are eligible for an extension of their supplementary protection certificate by six months. This is the case even when the studies’ results are negative. For orphan medicines, the incentive is an additional two years of market exclusivity. Scientific advice and protocol assistance at the Agency are free of charge for questions relating to the development of pediatric medicines.</w:t>
      </w:r>
    </w:p>
    <w:p>
      <w:pPr>
        <w:sectPr>
          <w:pgSz w:w="11880" w:h="15480" w:orient="portrait"/>
          <w:cols w:equalWidth="0" w:num="1">
            <w:col w:w="9340"/>
          </w:cols>
          <w:pgMar w:left="1260" w:top="12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340"/>
          </w:cols>
          <w:pgMar w:left="1260" w:top="1253" w:right="1280" w:bottom="0" w:gutter="0" w:footer="0" w:header="0"/>
          <w:type w:val="continuous"/>
        </w:sectPr>
      </w:pPr>
    </w:p>
    <w:bookmarkStart w:id="30" w:name="page31"/>
    <w:bookmarkEnd w:id="30"/>
    <w:p>
      <w:pPr>
        <w:ind w:left="500"/>
        <w:spacing w:after="0"/>
        <w:rPr>
          <w:sz w:val="20"/>
          <w:szCs w:val="20"/>
          <w:color w:val="auto"/>
        </w:rPr>
      </w:pPr>
      <w:r>
        <w:rPr>
          <w:rFonts w:ascii="Times New Roman" w:cs="Times New Roman" w:eastAsia="Times New Roman" w:hAnsi="Times New Roman"/>
          <w:sz w:val="20"/>
          <w:szCs w:val="20"/>
          <w:color w:val="auto"/>
        </w:rPr>
        <w:t>The aforementioned European Union rules are generally applicable in the EEA.</w:t>
      </w:r>
    </w:p>
    <w:p>
      <w:pPr>
        <w:spacing w:after="0" w:line="120"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The UK left the European Union on January 31, 2020 and the UK and the European Union concluded a trade and cooperation agreement (“TCA”), which was provisionally applicable since January 1, 2021 and has been formally applicable since May 1, 2021. The TCA includes specific provisions concerning pharmaceuticals, which include the mutual recognition of cGMP, inspections of manufacturing facilities for medicinal products and cGMP documents issued, but does not provide for wholesale mutual recognition of UK and European Union pharmaceutical regulations. At present, Great Britain has implemented European Union legislation on the marketing, promotion and sale of medicinal products through the Human Medicines Regulations 2012 (as amended) (under the Northern Ireland Protocol, the European Union regulatory framework continues to apply in Northern Ireland). Except in respect of the new European Union Clinical Trials Regulation, the regulatory regime in Great Britain therefore largely aligns with current European Union medicines regulations, however it is possible that these regimes will diverge more significantly in future now that Great Britain’s regulatory system is independent from the European Union and the TCA does not provide for mutual recognition of UK and European Union pharmaceutical legislation. However, notwithstanding that there is no wholesale recognition of European Union pharmaceutical legislation under the TCA, under the new framework mentioned below which will be put in place by the Medicines and Healthcare products Regulatory Agency (“MHRA”), the UK’s medicines regulator, from January 1, 2024, the MHRA has stated that it will take into account decisions on the approval of MAs from the EMA (and certain other regulators) when considering an application for a Great Britain MA. On February 27, 2023, the UK government and the European Commission announced a political agreement in principle to replace the Northern Ireland Protocol with a new set of arrangements, known as the “Windsor Framework”. This new framework fundamentally changes the existing system under the Northern Ireland Protocol, including with respect to the regulation of medicinal products in the UK. In particular, the MHRA will be responsible for approving all medicinal products destined for the UK market (Great Britain and Northern Ireland), and the EMA will no longer have any role in approving medicinal products destined for Northern Ireland. Once the Windsor Framework is approved by the EU-UK Joint Committee, the UK Government and the European Union will enact legislative measures to enact it into law. The MHRA has introduced changes to national licensing procedures, including procedures to prioritize access to new medicines that will benefit patients, an accelerated assessment procedure and new routes of evaluation for novel products and biotechnological products. All existing E.U. MAs for centrally authorized products were automatically converted (grand fathered) into UK MAs free-of-charge on January 1, 2021. For a period of three years from January 1, 2021, the MHRA may rely on a decision taken by the European Commission on the approval of a new MA in the centralized procedure, in order to more quickly grant a new Great Britain MA. A separate application will, however, still be required. On January 24, 2023, the MHRA announced that a new international recognition framework will be put in place from January 1, 2024, which will have regard to decisions on the approval of MAs made by the EMA and certain other regulators when determining an application for a new Great Britain MA.</w:t>
      </w:r>
    </w:p>
    <w:p>
      <w:pPr>
        <w:spacing w:after="0" w:line="88" w:lineRule="exact"/>
        <w:rPr>
          <w:sz w:val="20"/>
          <w:szCs w:val="20"/>
          <w:color w:val="auto"/>
        </w:rPr>
      </w:pPr>
    </w:p>
    <w:p>
      <w:pPr>
        <w:ind w:right="380" w:firstLine="490"/>
        <w:spacing w:after="0" w:line="247" w:lineRule="auto"/>
        <w:rPr>
          <w:sz w:val="20"/>
          <w:szCs w:val="20"/>
          <w:color w:val="auto"/>
        </w:rPr>
      </w:pPr>
      <w:r>
        <w:rPr>
          <w:rFonts w:ascii="Times New Roman" w:cs="Times New Roman" w:eastAsia="Times New Roman" w:hAnsi="Times New Roman"/>
          <w:sz w:val="20"/>
          <w:szCs w:val="20"/>
          <w:color w:val="auto"/>
        </w:rPr>
        <w:t>There is now no pre-marketing authorization orphan designation in Great Britain. Instead, the MHRA will review applications for orphan designation in parallel to the corresponding MA application. The criteria are essentially the same, but have been tailored for the GB market, i.e. the prevalence of the condition in GB (rather than the EU) must not be more than 5 in 10,000. Should an orphan designation be granted, the period or market exclusivity will be set from the date of first approval of the product in GB or EU/European Economic Area, wherever is earliest.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Healthcare Laws and Regulations</w:t>
      </w:r>
    </w:p>
    <w:p>
      <w:pPr>
        <w:spacing w:after="0" w:line="120"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Sales of our product candidate, if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85" w:lineRule="exact"/>
        <w:rPr>
          <w:sz w:val="20"/>
          <w:szCs w:val="20"/>
          <w:color w:val="auto"/>
        </w:rPr>
      </w:pPr>
    </w:p>
    <w:p>
      <w:pPr>
        <w:ind w:left="720" w:right="60" w:hanging="360"/>
        <w:spacing w:after="0" w:line="249" w:lineRule="auto"/>
        <w:tabs>
          <w:tab w:leader="none" w:pos="720" w:val="left"/>
        </w:tabs>
        <w:numPr>
          <w:ilvl w:val="0"/>
          <w:numId w:val="19"/>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360"/>
          </w:cols>
          <w:pgMar w:left="1260" w:top="1238" w:right="1260" w:bottom="0" w:gutter="0" w:footer="0" w:header="0"/>
          <w:type w:val="continuous"/>
        </w:sectPr>
      </w:pPr>
    </w:p>
    <w:bookmarkStart w:id="31" w:name="page32"/>
    <w:bookmarkEnd w:id="31"/>
    <w:p>
      <w:pPr>
        <w:jc w:val="both"/>
        <w:ind w:left="720" w:right="560" w:hanging="360"/>
        <w:spacing w:after="0" w:line="252"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87" w:lineRule="exact"/>
        <w:rPr>
          <w:rFonts w:ascii="Arial" w:cs="Arial" w:eastAsia="Arial" w:hAnsi="Arial"/>
          <w:sz w:val="20"/>
          <w:szCs w:val="20"/>
          <w:color w:val="auto"/>
        </w:rPr>
      </w:pPr>
    </w:p>
    <w:p>
      <w:pPr>
        <w:ind w:left="720" w:hanging="360"/>
        <w:spacing w:after="0" w:line="249"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Health Insurance Portability and Accountability Act of 1996 ("HIPAA")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90" w:lineRule="exact"/>
        <w:rPr>
          <w:rFonts w:ascii="Arial" w:cs="Arial" w:eastAsia="Arial" w:hAnsi="Arial"/>
          <w:sz w:val="20"/>
          <w:szCs w:val="20"/>
          <w:color w:val="auto"/>
        </w:rPr>
      </w:pPr>
    </w:p>
    <w:p>
      <w:pPr>
        <w:ind w:left="720" w:right="60" w:hanging="360"/>
        <w:spacing w:after="0" w:line="278"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HIPAA, as amended by the Health Information Technology for Economic and Clinical Health Act of 2009 ("HITECH") and their implementing regulations, impose obligations on certain types of individuals;</w:t>
      </w:r>
    </w:p>
    <w:p>
      <w:pPr>
        <w:spacing w:after="0" w:line="60" w:lineRule="exact"/>
        <w:rPr>
          <w:rFonts w:ascii="Arial" w:cs="Arial" w:eastAsia="Arial" w:hAnsi="Arial"/>
          <w:sz w:val="20"/>
          <w:szCs w:val="20"/>
          <w:color w:val="auto"/>
        </w:rPr>
      </w:pPr>
    </w:p>
    <w:p>
      <w:pPr>
        <w:ind w:left="720" w:right="340" w:hanging="360"/>
        <w:spacing w:after="0" w:line="278"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entities regarding the electronic exchange of information in common healthcare transactions, as well as standards relating to the privacy and security of individually identifiable health information;</w:t>
      </w:r>
    </w:p>
    <w:p>
      <w:pPr>
        <w:spacing w:after="0" w:line="60" w:lineRule="exact"/>
        <w:rPr>
          <w:rFonts w:ascii="Arial" w:cs="Arial" w:eastAsia="Arial" w:hAnsi="Arial"/>
          <w:sz w:val="20"/>
          <w:szCs w:val="20"/>
          <w:color w:val="auto"/>
        </w:rPr>
      </w:pPr>
    </w:p>
    <w:p>
      <w:pPr>
        <w:ind w:left="720" w:right="20" w:hanging="360"/>
        <w:spacing w:after="0" w:line="245"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the Centers for Medicare and Medicaid Services, the agency that administers the Medicare and Medicaid programs ("CMS") information related to payments or other transfers of value made to physicians (defined to include doctors, dentists, optometrists, podiatrists and chiropractors), physician assistants, nurse practitioners, clinical nurse specialists, certified nurse anesthetists, certified nurse-midwives) and teaching hospitals, as well as ownership and investment interests held by physicians and their immediate family members and</w:t>
      </w:r>
    </w:p>
    <w:p>
      <w:pPr>
        <w:spacing w:after="0" w:line="95" w:lineRule="exact"/>
        <w:rPr>
          <w:rFonts w:ascii="Arial" w:cs="Arial" w:eastAsia="Arial" w:hAnsi="Arial"/>
          <w:sz w:val="20"/>
          <w:szCs w:val="20"/>
          <w:color w:val="auto"/>
        </w:rPr>
      </w:pPr>
    </w:p>
    <w:p>
      <w:pPr>
        <w:ind w:left="720" w:right="40" w:hanging="360"/>
        <w:spacing w:after="0" w:line="252" w:lineRule="auto"/>
        <w:tabs>
          <w:tab w:leader="none" w:pos="720" w:val="left"/>
        </w:tabs>
        <w:numPr>
          <w:ilvl w:val="0"/>
          <w:numId w:val="20"/>
        </w:numPr>
        <w:rPr>
          <w:rFonts w:ascii="Arial" w:cs="Arial" w:eastAsia="Arial" w:hAnsi="Arial"/>
          <w:sz w:val="20"/>
          <w:szCs w:val="20"/>
          <w:color w:val="auto"/>
        </w:rPr>
      </w:pPr>
      <w:r>
        <w:rPr>
          <w:rFonts w:ascii="Times New Roman" w:cs="Times New Roman" w:eastAsia="Times New Roman" w:hAnsi="Times New Roman"/>
          <w:sz w:val="20"/>
          <w:szCs w:val="20"/>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73"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our product is sold in a foreign country, we may be subject to similar foreign laws.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Healthcare Reform</w:t>
      </w:r>
    </w:p>
    <w:p>
      <w:pPr>
        <w:spacing w:after="0" w:line="11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In recent years, Congress has considered reductions in Medicare reimbursement levels for drugs administered by physicians. CMS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payors often follow Medicare coverage policy and payment limitations in setting their own reimbursement rates. Therefore, any reduction in reimbursement that results from federal legislation or regulation may result in a similar reduction in payments from private payors.</w:t>
      </w:r>
    </w:p>
    <w:p>
      <w:pPr>
        <w:sectPr>
          <w:pgSz w:w="11880" w:h="15480" w:orient="portrait"/>
          <w:cols w:equalWidth="0" w:num="1">
            <w:col w:w="9320"/>
          </w:cols>
          <w:pgMar w:left="1260" w:top="1253"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320"/>
          </w:cols>
          <w:pgMar w:left="1260" w:top="1253" w:right="1300" w:bottom="0" w:gutter="0" w:footer="0" w:header="0"/>
          <w:type w:val="continuous"/>
        </w:sectPr>
      </w:pPr>
    </w:p>
    <w:bookmarkStart w:id="32" w:name="page33"/>
    <w:bookmarkEnd w:id="32"/>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The Affordable Care Act substantially changed the way healthcare is financed by both governmental and private insurers, included provisions that affected the pharmaceutical industry. Among other things, the Affordable Care Act expanded manufacturers’ rebate liability under the Medicaid Drug Rebate Program, expanded the 340B program, and increased the amount of Medicaid drug rebates manufacturers are required to pay to states. Since that time, there have been significant ongoing legislative and executive efforts to modify or eliminate the Affordable Care Act. The Tax Act of 2017, for example, repealed the shared responsibility payment provisions commonly referred to as the individual mandate.</w:t>
      </w:r>
    </w:p>
    <w:p>
      <w:pPr>
        <w:spacing w:after="0" w:line="80"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Other legislative changes have been proposed and adopted since the passage of the Affordable Care Act. The Budget Control Act of 2011 and subsequent legislation has resulted in reductions to Medicare payments to healthcare providers of up to 2.0% per fiscal year which will remain in effect through 2031 unless additional Congressional action is taken. On January 2, 2013, the American Taxpayer Relief Act was signed into law,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80" w:lineRule="exact"/>
        <w:rPr>
          <w:sz w:val="20"/>
          <w:szCs w:val="20"/>
          <w:color w:val="auto"/>
        </w:rPr>
      </w:pPr>
    </w:p>
    <w:p>
      <w:pPr>
        <w:ind w:left="60" w:right="540" w:firstLine="440"/>
        <w:spacing w:after="0" w:line="252" w:lineRule="auto"/>
        <w:rPr>
          <w:sz w:val="20"/>
          <w:szCs w:val="20"/>
          <w:color w:val="auto"/>
        </w:rPr>
      </w:pPr>
      <w:r>
        <w:rPr>
          <w:rFonts w:ascii="Times New Roman" w:cs="Times New Roman" w:eastAsia="Times New Roman" w:hAnsi="Times New Roman"/>
          <w:sz w:val="19"/>
          <w:szCs w:val="19"/>
          <w:color w:val="auto"/>
        </w:rPr>
        <w:t>The IRA includes several provisions that will impact our business to varying degrees, including provisions that reduce the out-of-pocket cap for Medicare Part D beneficiaries to $2,000 starting in 2025; impose new manufacturer financial liability on certain drugs in Medicare Part D, allow the U.S. government to negotiate Medicare Part B and Part D price caps for certain high-cost drugs and biologics without generic</w:t>
      </w:r>
    </w:p>
    <w:p>
      <w:pPr>
        <w:spacing w:after="0" w:line="2" w:lineRule="exact"/>
        <w:rPr>
          <w:sz w:val="20"/>
          <w:szCs w:val="20"/>
          <w:color w:val="auto"/>
        </w:rPr>
      </w:pPr>
    </w:p>
    <w:p>
      <w:pPr>
        <w:ind w:right="60" w:firstLine="50"/>
        <w:spacing w:after="0"/>
        <w:rPr>
          <w:sz w:val="20"/>
          <w:szCs w:val="20"/>
          <w:color w:val="auto"/>
        </w:rPr>
      </w:pPr>
      <w:r>
        <w:rPr>
          <w:rFonts w:ascii="Times New Roman" w:cs="Times New Roman" w:eastAsia="Times New Roman" w:hAnsi="Times New Roman"/>
          <w:sz w:val="20"/>
          <w:szCs w:val="20"/>
          <w:color w:val="auto"/>
        </w:rPr>
        <w:t>or biosimilar competition, require companies to pay rebates to Medicare for certain drug prices that increase faster than inflation, and delay the rebate rule that would limit the fees that pharmacy benefit managers can</w:t>
      </w:r>
    </w:p>
    <w:p>
      <w:pPr>
        <w:ind w:left="60" w:right="500"/>
        <w:spacing w:after="0" w:line="259" w:lineRule="auto"/>
        <w:rPr>
          <w:sz w:val="20"/>
          <w:szCs w:val="20"/>
          <w:color w:val="auto"/>
        </w:rPr>
      </w:pPr>
      <w:r>
        <w:rPr>
          <w:rFonts w:ascii="Times New Roman" w:cs="Times New Roman" w:eastAsia="Times New Roman" w:hAnsi="Times New Roman"/>
          <w:sz w:val="20"/>
          <w:szCs w:val="20"/>
          <w:color w:val="auto"/>
        </w:rPr>
        <w:t>charge. Further, under the IRA, orphan drugs are exempted from the Medicare drug price negotiation program, but only if they have one rare disease designation and for which the only approved indication is for that disease or condition.</w:t>
      </w:r>
    </w:p>
    <w:p>
      <w:pPr>
        <w:spacing w:after="0" w:line="65"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We expect that changes to the Affordable Care Act, the Medicare and Medicaid programs, including recent changes that allow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70"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0"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ectPr>
          <w:pgSz w:w="11880" w:h="15480" w:orient="portrait"/>
          <w:cols w:equalWidth="0" w:num="1">
            <w:col w:w="9260"/>
          </w:cols>
          <w:pgMar w:left="1260" w:top="1238" w:right="13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260"/>
          </w:cols>
          <w:pgMar w:left="1260" w:top="1238" w:right="136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2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i w:val="1"/>
          <w:iCs w:val="1"/>
          <w:color w:val="auto"/>
        </w:rPr>
        <w:t>You should consider carefully the following risks and uncertainties when reading this Annual Report on Form 10-K, as well as the other information contained herein, including our audited consolidated financial statements and the related notes and the section titled “Management’s Discussion and Analysis of Financial Condition and Results of Operation.” If any of the following risks occur, our business, financial condition and results of operations could be materially and adversely affected. Although we believe that we have identified and discussed below the key risk factors affecting our business, there may be additional risks and uncertainties that are not presently known or that are not currently believed to be significant that may adversely affect our performance or financial condition. In that event, the trading price of our common stock could decline.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Capital</w:t>
      </w:r>
    </w:p>
    <w:p>
      <w:pPr>
        <w:spacing w:after="0" w:line="125"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incurred significant losses since our inception and anticipate that we will incur continued losses for the foreseeable future.</w:t>
      </w:r>
    </w:p>
    <w:p>
      <w:pPr>
        <w:spacing w:after="0" w:line="46"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Since our inception we have devoted substantially all of our resources to the development of CTI-1601. We have incurred significant losses in each year of operation since our inception in 2016. For the years ended December 31, 2022 and 2021, we had net losses of $35.4 million and $50.6 million, respectively, and, as of December 31, 2022, we had an accumulated deficit of $151.6 million and we expect to continue to incur significant expenses and net operating losses ("NOLs") for the foreseeable future.</w:t>
      </w:r>
    </w:p>
    <w:p>
      <w:pPr>
        <w:spacing w:after="0" w:line="77"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auto"/>
        </w:rPr>
        <w:t>We have devoted substantially all of our financial resources and efforts to research and development, including non-clinical studies, our clinical development program, the development of manufacturing processes as well as the manufacture of initial lots of clinical trial material. We expect to incur significant losses for the foreseeable future to further develop and commercialize our lead drug candidate, CTI-1601.</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We expect that our expenses will increase substantially if and as we:</w:t>
      </w:r>
    </w:p>
    <w:p>
      <w:pPr>
        <w:spacing w:after="0" w:line="134" w:lineRule="exact"/>
        <w:rPr>
          <w:sz w:val="20"/>
          <w:szCs w:val="20"/>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continue clinical development efforts for CTI-1601;</w:t>
      </w:r>
    </w:p>
    <w:p>
      <w:pPr>
        <w:spacing w:after="0" w:line="133" w:lineRule="exact"/>
        <w:rPr>
          <w:rFonts w:ascii="Arial" w:cs="Arial" w:eastAsia="Arial" w:hAnsi="Arial"/>
          <w:sz w:val="20"/>
          <w:szCs w:val="20"/>
          <w:color w:val="auto"/>
        </w:rPr>
      </w:pPr>
    </w:p>
    <w:p>
      <w:pPr>
        <w:ind w:left="720" w:right="280" w:hanging="360"/>
        <w:spacing w:after="0" w:line="278"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seek regulatory and marketing approvals in the United States and in foreign jurisdictions for our product candidates that successfully complete clinical trials, if any;</w:t>
      </w:r>
    </w:p>
    <w:p>
      <w:pPr>
        <w:spacing w:after="0" w:line="60" w:lineRule="exact"/>
        <w:rPr>
          <w:rFonts w:ascii="Arial" w:cs="Arial" w:eastAsia="Arial" w:hAnsi="Arial"/>
          <w:sz w:val="20"/>
          <w:szCs w:val="20"/>
          <w:color w:val="auto"/>
        </w:rPr>
      </w:pPr>
    </w:p>
    <w:p>
      <w:pPr>
        <w:ind w:left="720" w:right="560" w:hanging="360"/>
        <w:spacing w:after="0" w:line="278"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establish sales, marketing, distribution and other commercial infrastructure to commercialize various products for which we may obtain marketing approval, if any;</w:t>
      </w:r>
    </w:p>
    <w:p>
      <w:pPr>
        <w:spacing w:after="0" w:line="60" w:lineRule="exact"/>
        <w:rPr>
          <w:rFonts w:ascii="Arial" w:cs="Arial" w:eastAsia="Arial" w:hAnsi="Arial"/>
          <w:sz w:val="20"/>
          <w:szCs w:val="20"/>
          <w:color w:val="auto"/>
        </w:rPr>
      </w:pPr>
    </w:p>
    <w:p>
      <w:pPr>
        <w:ind w:left="720" w:right="680" w:hanging="360"/>
        <w:spacing w:after="0" w:line="278"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contract for the manufacture of larger quantities of product candidates for clinical development and potentially commercialization;</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maintain, expand and protect our intellectual property portfolio;</w:t>
      </w:r>
    </w:p>
    <w:p>
      <w:pPr>
        <w:spacing w:after="0" w:line="133" w:lineRule="exact"/>
        <w:rPr>
          <w:rFonts w:ascii="Arial" w:cs="Arial" w:eastAsia="Arial" w:hAnsi="Arial"/>
          <w:sz w:val="20"/>
          <w:szCs w:val="20"/>
          <w:color w:val="auto"/>
        </w:rPr>
      </w:pPr>
    </w:p>
    <w:p>
      <w:pPr>
        <w:ind w:left="720" w:right="20" w:hanging="360"/>
        <w:spacing w:after="0" w:line="278"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hire and retain additional personnel, such as clinical, manufacturing, quality control, regulatory and finance personnel.</w:t>
      </w:r>
    </w:p>
    <w:p>
      <w:pPr>
        <w:spacing w:after="0" w:line="60" w:lineRule="exact"/>
        <w:rPr>
          <w:rFonts w:ascii="Arial" w:cs="Arial" w:eastAsia="Arial" w:hAnsi="Arial"/>
          <w:sz w:val="20"/>
          <w:szCs w:val="20"/>
          <w:color w:val="auto"/>
        </w:rPr>
      </w:pPr>
    </w:p>
    <w:p>
      <w:pPr>
        <w:ind w:left="720" w:hanging="360"/>
        <w:spacing w:after="0" w:line="278" w:lineRule="auto"/>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build out our sales, marketing and distribution infrastructure, assuming CT-1601 is approved for marketing; and</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21"/>
        </w:numPr>
        <w:rPr>
          <w:rFonts w:ascii="Arial" w:cs="Arial" w:eastAsia="Arial" w:hAnsi="Arial"/>
          <w:sz w:val="20"/>
          <w:szCs w:val="20"/>
          <w:color w:val="auto"/>
        </w:rPr>
      </w:pPr>
      <w:r>
        <w:rPr>
          <w:rFonts w:ascii="Times New Roman" w:cs="Times New Roman" w:eastAsia="Times New Roman" w:hAnsi="Times New Roman"/>
          <w:sz w:val="20"/>
          <w:szCs w:val="20"/>
          <w:color w:val="auto"/>
        </w:rPr>
        <w:t>experience any delays or encounter issues with any of the above.</w:t>
      </w:r>
    </w:p>
    <w:p>
      <w:pPr>
        <w:spacing w:after="0" w:line="349"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We currently have no sales, marketing. medical affairs infrastructure and have no experience in the sales, marketing, or distribution of pharmaceutical products. Assuming CTI-1601 ultimately is approved for marketing in the US and elsewhere, we will need to establish sales and marketing capabilities as well as customer service and support, logistics, and other related functions, or make arrangements with third parties to perform these services;</w:t>
      </w:r>
    </w:p>
    <w:p>
      <w:pPr>
        <w:spacing w:after="0" w:line="70"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auto"/>
        </w:rPr>
        <w:t>Net losses and negative cash flows have had, and will continue to have, an adverse effect on our liquidity and potentially the ability for us to raise capital due to our unfavorable operating results.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no commercial revenue and may never become profitable.</w:t>
      </w:r>
    </w:p>
    <w:p>
      <w:pPr>
        <w:spacing w:after="0" w:line="118"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To date, we have not generated any commercial revenue. Our ability to generate revenue and become profitable depends upon our ability to obtain regulatory approval for, and to successfully commercialize, CTI-1601 or other product candidates that we may develop, in-license or acquire in the future.</w:t>
      </w:r>
    </w:p>
    <w:p>
      <w:pPr>
        <w:sectPr>
          <w:pgSz w:w="11880" w:h="15480" w:orient="portrait"/>
          <w:cols w:equalWidth="0" w:num="1">
            <w:col w:w="9340"/>
          </w:cols>
          <w:pgMar w:left="1260" w:top="1235" w:right="1280" w:bottom="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340"/>
          </w:cols>
          <w:pgMar w:left="1260" w:top="1235" w:right="1280" w:bottom="0" w:gutter="0" w:footer="0" w:header="0"/>
          <w:type w:val="continuous"/>
        </w:sectPr>
      </w:pPr>
    </w:p>
    <w:bookmarkStart w:id="34" w:name="page35"/>
    <w:bookmarkEnd w:id="34"/>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This will require success in a range of challenging activities, including completing numerous clinical trials of CTI-1601 or any future product candidates, obtaining marketing approval for CTI-1601 and any future product candidates, manufacturing, marketing and selling those products for which we, or any future collaborators or partners, may obtain marketing approval, satisfying any post-marketing requirements and obtaining reimbursement for our products from private insurance and/or government payors. Even if we are able to successfully achieve the above, we do not know what the reimbursement status of CTI-1601 or any other future product candidates will be or when any of these products will generate revenue for us, if at all. We have not generated, and do not expect to generate, any product revenue for the foreseeable future, and expect to continue to incur significant operating losses for the foreseeable future due to the cost of research and development, non-clinical studies and clinical trials and the regulatory approval process for CTI-1601 and any future product candidates.</w:t>
      </w:r>
    </w:p>
    <w:p>
      <w:pPr>
        <w:spacing w:after="0" w:line="82"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auto"/>
        </w:rPr>
        <w:t>Our ability to generate revenue from CTI-1601 or any future product candidates also depends on a number of additional factors, including our ability to:</w:t>
      </w:r>
    </w:p>
    <w:p>
      <w:pPr>
        <w:spacing w:after="0" w:line="41" w:lineRule="exact"/>
        <w:rPr>
          <w:sz w:val="20"/>
          <w:szCs w:val="20"/>
          <w:color w:val="auto"/>
        </w:rPr>
      </w:pPr>
    </w:p>
    <w:p>
      <w:pPr>
        <w:ind w:left="720" w:right="360" w:hanging="360"/>
        <w:spacing w:after="0" w:line="254"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complete development activities, including the remaining non-clinical studies and planned clinical trials for our product candidates;</w:t>
      </w:r>
    </w:p>
    <w:p>
      <w:pPr>
        <w:spacing w:after="0" w:line="60" w:lineRule="exact"/>
        <w:rPr>
          <w:rFonts w:ascii="Arial" w:cs="Arial" w:eastAsia="Arial" w:hAnsi="Arial"/>
          <w:sz w:val="20"/>
          <w:szCs w:val="20"/>
          <w:color w:val="auto"/>
        </w:rPr>
      </w:pPr>
    </w:p>
    <w:p>
      <w:pPr>
        <w:ind w:left="720" w:right="140" w:hanging="360"/>
        <w:spacing w:after="0" w:line="254"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complete and submit NDAs and BLAs to the FDA and MAAs to the EMA and obtain regulatory approval for indications for which there is a commercial market;</w:t>
      </w:r>
    </w:p>
    <w:p>
      <w:pPr>
        <w:spacing w:after="0" w:line="60" w:lineRule="exact"/>
        <w:rPr>
          <w:rFonts w:ascii="Arial" w:cs="Arial" w:eastAsia="Arial" w:hAnsi="Arial"/>
          <w:sz w:val="20"/>
          <w:szCs w:val="20"/>
          <w:color w:val="auto"/>
        </w:rPr>
      </w:pPr>
    </w:p>
    <w:p>
      <w:pPr>
        <w:ind w:left="720" w:right="720" w:hanging="360"/>
        <w:spacing w:after="0" w:line="254"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complete and submit applications to, and obtain regulatory approval from, other foreign regulatory authorities;</w:t>
      </w:r>
    </w:p>
    <w:p>
      <w:pPr>
        <w:spacing w:after="0" w:line="60" w:lineRule="exact"/>
        <w:rPr>
          <w:rFonts w:ascii="Arial" w:cs="Arial" w:eastAsia="Arial" w:hAnsi="Arial"/>
          <w:sz w:val="20"/>
          <w:szCs w:val="20"/>
          <w:color w:val="auto"/>
        </w:rPr>
      </w:pPr>
    </w:p>
    <w:p>
      <w:pPr>
        <w:ind w:left="720" w:right="180" w:hanging="360"/>
        <w:spacing w:after="0" w:line="254"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manufacture or have manufactured any approved products in commercial quantities and on commercially reasonable terms;</w:t>
      </w:r>
    </w:p>
    <w:p>
      <w:pPr>
        <w:spacing w:after="0" w:line="60" w:lineRule="exact"/>
        <w:rPr>
          <w:rFonts w:ascii="Arial" w:cs="Arial" w:eastAsia="Arial" w:hAnsi="Arial"/>
          <w:sz w:val="20"/>
          <w:szCs w:val="20"/>
          <w:color w:val="auto"/>
        </w:rPr>
      </w:pPr>
    </w:p>
    <w:p>
      <w:pPr>
        <w:ind w:left="720" w:right="620" w:hanging="360"/>
        <w:spacing w:after="0" w:line="254" w:lineRule="auto"/>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develop a commercial organization, or find suitable partners, to market, sell and distribute approved products in the markets in which we have retained commercialization rights;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achieve acceptance among patients, clinicians and advocacy groups for any products we develop;</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obtain coverage and adequate reimbursement from third parties, including government payors; and</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22"/>
        </w:numPr>
        <w:rPr>
          <w:rFonts w:ascii="Arial" w:cs="Arial" w:eastAsia="Arial" w:hAnsi="Arial"/>
          <w:sz w:val="20"/>
          <w:szCs w:val="20"/>
          <w:color w:val="auto"/>
        </w:rPr>
      </w:pPr>
      <w:r>
        <w:rPr>
          <w:rFonts w:ascii="Times New Roman" w:cs="Times New Roman" w:eastAsia="Times New Roman" w:hAnsi="Times New Roman"/>
          <w:sz w:val="20"/>
          <w:szCs w:val="20"/>
          <w:color w:val="auto"/>
        </w:rPr>
        <w:t>set a commercially viable price for any products for which we may receive approval.</w:t>
      </w:r>
    </w:p>
    <w:p>
      <w:pPr>
        <w:spacing w:after="0" w:line="115"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Because of the uncertainties and risks associated with these activities, we are unable to accurately predict the timing and amount of increased expenses, and if or when we might achieve or maintain profitability. We and any future collaborators may never succeed in these activities and, even if we do, or any future collaborators do, we may never generate revenues that are large enough for us to achieve profitability. Even if we are able to complete the processes described above, we anticipate incurring significant costs associated with commercializing CTI-1601 or any of our future product candidates. Even if we achieve profitability in the future, we may not be able to sustain profitability in subsequent periods. Our failure to become and remain profitable could decrease the value of our business and could impair our ability to raise capital, maintain our discovery and clinical development efforts, expand our business or continue our operations and may require us to raise additional capital that may dilute the ownership interest of shareholders. A decline in the value of our business could also cause shareholders to lose all or part of their investment.</w:t>
      </w:r>
    </w:p>
    <w:p>
      <w:pPr>
        <w:spacing w:after="0" w:line="90"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need to raise additional funding in order to continue our planned operations. This funding may not be available on acceptable terms, or at all. Failure to obtain this necessary capital when needed would force us to delay, limit or terminate our product development efforts or other operations.</w:t>
      </w:r>
    </w:p>
    <w:p>
      <w:pPr>
        <w:spacing w:after="0" w:line="64"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We expect to continue to spend substantial and increasing amounts to conduct clinical trials of CTI-1601 and further research and development activities for CTI-1601, and for any additional product candidates that we may develop, in-license or acquire in the future. In addition, raising funds in the current economic environment may present substantial challenges, and our expenses will increase as we expand, through development, in-license or acquisition, our pipeline of product candidates. If we obtain marketing approval for any of our product candidates, we will likely incur significant commercialization expenses related to product sales, marketing, manufacturing and distribution to the extent that such sales, marketing, manufacturing and distribution are not the responsibility of a future collaborator. Accordingly, we will need to obtain additional funding in connection with our continuing operations.</w:t>
      </w:r>
    </w:p>
    <w:p>
      <w:pPr>
        <w:spacing w:after="0" w:line="86"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auto"/>
        </w:rPr>
        <w:t>As of December 31, 2022, our existing cash, cash equivalents and marketable securities were $118.4 million, excluding restricted cash of $1.3 million. This amount will not be sufficient to fund all of the efforts that we plan to</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340"/>
          </w:cols>
          <w:pgMar w:left="1260" w:top="1238" w:right="1280" w:bottom="0" w:gutter="0" w:footer="0" w:header="0"/>
          <w:type w:val="continuous"/>
        </w:sectPr>
      </w:pPr>
    </w:p>
    <w:bookmarkStart w:id="35" w:name="page36"/>
    <w:bookmarkEnd w:id="35"/>
    <w:p>
      <w:pPr>
        <w:spacing w:after="0" w:line="245" w:lineRule="auto"/>
        <w:rPr>
          <w:sz w:val="20"/>
          <w:szCs w:val="20"/>
          <w:color w:val="auto"/>
        </w:rPr>
      </w:pPr>
      <w:r>
        <w:rPr>
          <w:rFonts w:ascii="Times New Roman" w:cs="Times New Roman" w:eastAsia="Times New Roman" w:hAnsi="Times New Roman"/>
          <w:sz w:val="20"/>
          <w:szCs w:val="20"/>
          <w:color w:val="auto"/>
        </w:rPr>
        <w:t>undertake or to fund the completion of the development of CTI-1601. Accordingly, we will be required to obtain further funding through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2"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19"/>
          <w:szCs w:val="19"/>
          <w:color w:val="auto"/>
        </w:rPr>
        <w:t>There can be no assurance that we will be able to raise sufficient additional capital on acceptable terms or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financial condition and prospects. In addition, geopolitical unrest including, for example, the broader impact of the Russian invasion of Ukraine, the possibility that the conflict could expand beyond eastern Europe, and the impact of a possible resurgence of vaccine resistant, more deadly or more contagious variant of COVID-19 or other health crisis or recent liquidity constraints, failures and instability in U.S. and international financial banking systems on the global financial markets may reduce our ability to access capital, which could negatively affect our liquidity.</w:t>
      </w:r>
    </w:p>
    <w:p>
      <w:pPr>
        <w:spacing w:after="0" w:line="68" w:lineRule="exact"/>
        <w:rPr>
          <w:sz w:val="20"/>
          <w:szCs w:val="20"/>
          <w:color w:val="auto"/>
        </w:rPr>
      </w:pPr>
    </w:p>
    <w:p>
      <w:pPr>
        <w:ind w:right="160" w:firstLine="490"/>
        <w:spacing w:after="0" w:line="253" w:lineRule="auto"/>
        <w:rPr>
          <w:sz w:val="20"/>
          <w:szCs w:val="20"/>
          <w:color w:val="auto"/>
        </w:rPr>
      </w:pPr>
      <w:r>
        <w:rPr>
          <w:rFonts w:ascii="Times New Roman" w:cs="Times New Roman" w:eastAsia="Times New Roman" w:hAnsi="Times New Roman"/>
          <w:sz w:val="20"/>
          <w:szCs w:val="20"/>
          <w:color w:val="auto"/>
        </w:rPr>
        <w:t>If we are unable to obtain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w:t>
      </w:r>
    </w:p>
    <w:p>
      <w:pPr>
        <w:spacing w:after="0" w:line="7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may cause dilution to our existing stockholders, restrict our operations or require us to relinquish rights to our technologies, CTI-1601 or other product candidates that we may develop, in-license or acquire in the future.</w:t>
      </w:r>
    </w:p>
    <w:p>
      <w:pPr>
        <w:spacing w:after="0" w:line="64"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We may seek additional capital through a combination of private or public equity offerings, debt financings, collaborations and licensing arrangements or other sources. To the extent we raise additional capital through the sale of equity or convertible debt securities, existing ownership interests will be diluted and the terms of such financings may include liquidation or other preferences that adversely affect the rights of existing stockholders. Debt or equity financings may be coupled with an additional equity component, such as warrants to purchase shares, which could also result in dilution of our existing stockholder’s ownership.</w:t>
      </w:r>
    </w:p>
    <w:p>
      <w:pPr>
        <w:spacing w:after="0" w:line="80"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If we raise additional funds through strategic partnerships and alliances and licensing arrangements with third parties, we may have to relinquish valuable rights, including future revenue streams, to CTI-1601 or other product candidates that we may develop, in-license or acquire in the future, or grant licenses on terms that are not favorable to us.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our NOLs and certain other tax attributes may be limited.</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December 31, 2022 we had NOL carryforwards that expire for U.S. federal income tax purposes of</w:t>
      </w:r>
    </w:p>
    <w:p>
      <w:pPr>
        <w:spacing w:after="0"/>
        <w:rPr>
          <w:sz w:val="20"/>
          <w:szCs w:val="20"/>
          <w:color w:val="auto"/>
        </w:rPr>
      </w:pPr>
      <w:r>
        <w:rPr>
          <w:rFonts w:ascii="Times New Roman" w:cs="Times New Roman" w:eastAsia="Times New Roman" w:hAnsi="Times New Roman"/>
          <w:sz w:val="20"/>
          <w:szCs w:val="20"/>
          <w:color w:val="auto"/>
        </w:rPr>
        <w:t>$167.4 million, a portion of which begin to expire in 2026. Our net operating losses ("NOLs") could expire unused</w:t>
      </w:r>
    </w:p>
    <w:p>
      <w:pPr>
        <w:spacing w:after="0"/>
        <w:rPr>
          <w:sz w:val="20"/>
          <w:szCs w:val="20"/>
          <w:color w:val="auto"/>
        </w:rPr>
      </w:pPr>
      <w:r>
        <w:rPr>
          <w:rFonts w:ascii="Times New Roman" w:cs="Times New Roman" w:eastAsia="Times New Roman" w:hAnsi="Times New Roman"/>
          <w:sz w:val="20"/>
          <w:szCs w:val="20"/>
          <w:color w:val="auto"/>
        </w:rPr>
        <w:t>and be unavailable to offset future income tax liabilities because of their limited duration or because of restrictions</w:t>
      </w:r>
    </w:p>
    <w:p>
      <w:pPr>
        <w:spacing w:after="0"/>
        <w:rPr>
          <w:sz w:val="20"/>
          <w:szCs w:val="20"/>
          <w:color w:val="auto"/>
        </w:rPr>
      </w:pPr>
      <w:r>
        <w:rPr>
          <w:rFonts w:ascii="Times New Roman" w:cs="Times New Roman" w:eastAsia="Times New Roman" w:hAnsi="Times New Roman"/>
          <w:sz w:val="20"/>
          <w:szCs w:val="20"/>
          <w:color w:val="auto"/>
        </w:rPr>
        <w:t>under U.S. tax law. NOLs generated in taxable years beginning before January 1, 2018 are permitted to be carried</w:t>
      </w:r>
    </w:p>
    <w:p>
      <w:pPr>
        <w:spacing w:after="0"/>
        <w:rPr>
          <w:sz w:val="20"/>
          <w:szCs w:val="20"/>
          <w:color w:val="auto"/>
        </w:rPr>
      </w:pPr>
      <w:r>
        <w:rPr>
          <w:rFonts w:ascii="Times New Roman" w:cs="Times New Roman" w:eastAsia="Times New Roman" w:hAnsi="Times New Roman"/>
          <w:sz w:val="20"/>
          <w:szCs w:val="20"/>
          <w:color w:val="auto"/>
        </w:rPr>
        <w:t>forward for 20 taxable years under applicable U.S. federal income tax law. Under current U.S. federal income tax</w:t>
      </w:r>
    </w:p>
    <w:p>
      <w:pPr>
        <w:spacing w:after="0"/>
        <w:rPr>
          <w:sz w:val="20"/>
          <w:szCs w:val="20"/>
          <w:color w:val="auto"/>
        </w:rPr>
      </w:pPr>
      <w:r>
        <w:rPr>
          <w:rFonts w:ascii="Times New Roman" w:cs="Times New Roman" w:eastAsia="Times New Roman" w:hAnsi="Times New Roman"/>
          <w:sz w:val="20"/>
          <w:szCs w:val="20"/>
          <w:color w:val="auto"/>
        </w:rPr>
        <w:t>law, NOLs arising in tax years beginning after December 31, 2020 may not be carried back. Moreover, NOLs</w:t>
      </w:r>
    </w:p>
    <w:p>
      <w:pPr>
        <w:spacing w:after="0"/>
        <w:rPr>
          <w:sz w:val="20"/>
          <w:szCs w:val="20"/>
          <w:color w:val="auto"/>
        </w:rPr>
      </w:pPr>
      <w:r>
        <w:rPr>
          <w:rFonts w:ascii="Times New Roman" w:cs="Times New Roman" w:eastAsia="Times New Roman" w:hAnsi="Times New Roman"/>
          <w:sz w:val="20"/>
          <w:szCs w:val="20"/>
          <w:color w:val="auto"/>
        </w:rPr>
        <w:t>generated in taxable years beginning after December 31, 2017 may be carried forward indefinitely. As of</w:t>
      </w:r>
    </w:p>
    <w:p>
      <w:pPr>
        <w:spacing w:after="0"/>
        <w:rPr>
          <w:sz w:val="20"/>
          <w:szCs w:val="20"/>
          <w:color w:val="auto"/>
        </w:rPr>
      </w:pPr>
      <w:r>
        <w:rPr>
          <w:rFonts w:ascii="Times New Roman" w:cs="Times New Roman" w:eastAsia="Times New Roman" w:hAnsi="Times New Roman"/>
          <w:sz w:val="20"/>
          <w:szCs w:val="20"/>
          <w:color w:val="auto"/>
        </w:rPr>
        <w:t>December 31, 2022, the Company had federal net operating loss carryforwards that were generated after December</w:t>
      </w:r>
    </w:p>
    <w:p>
      <w:pPr>
        <w:spacing w:after="0"/>
        <w:rPr>
          <w:sz w:val="20"/>
          <w:szCs w:val="20"/>
          <w:color w:val="auto"/>
        </w:rPr>
      </w:pPr>
      <w:r>
        <w:rPr>
          <w:rFonts w:ascii="Times New Roman" w:cs="Times New Roman" w:eastAsia="Times New Roman" w:hAnsi="Times New Roman"/>
          <w:sz w:val="20"/>
          <w:szCs w:val="20"/>
          <w:color w:val="auto"/>
        </w:rPr>
        <w:t>31, 2017 of $128.7 million that do not expire, however these carryforwards are limited to 80% of the taxable income</w:t>
      </w:r>
    </w:p>
    <w:p>
      <w:pPr>
        <w:spacing w:after="0"/>
        <w:rPr>
          <w:sz w:val="20"/>
          <w:szCs w:val="20"/>
          <w:color w:val="auto"/>
        </w:rPr>
      </w:pPr>
      <w:r>
        <w:rPr>
          <w:rFonts w:ascii="Times New Roman" w:cs="Times New Roman" w:eastAsia="Times New Roman" w:hAnsi="Times New Roman"/>
          <w:sz w:val="20"/>
          <w:szCs w:val="20"/>
          <w:color w:val="auto"/>
        </w:rPr>
        <w:t>in any one tax period.</w:t>
      </w:r>
    </w:p>
    <w:p>
      <w:pPr>
        <w:spacing w:after="0" w:line="120" w:lineRule="exact"/>
        <w:rPr>
          <w:sz w:val="20"/>
          <w:szCs w:val="20"/>
          <w:color w:val="auto"/>
        </w:rPr>
      </w:pPr>
    </w:p>
    <w:p>
      <w:pPr>
        <w:ind w:right="20" w:firstLine="540"/>
        <w:spacing w:after="0" w:line="259" w:lineRule="auto"/>
        <w:rPr>
          <w:sz w:val="20"/>
          <w:szCs w:val="20"/>
          <w:color w:val="auto"/>
        </w:rPr>
      </w:pPr>
      <w:r>
        <w:rPr>
          <w:rFonts w:ascii="Times New Roman" w:cs="Times New Roman" w:eastAsia="Times New Roman" w:hAnsi="Times New Roman"/>
          <w:sz w:val="20"/>
          <w:szCs w:val="20"/>
          <w:color w:val="auto"/>
        </w:rPr>
        <w:t>In general, under Section 382 of the Internal Revenue Code (the "Code") if a corporation undergoes an “ownership change,” generally defined as a greater than 50% change (by value) in its equity ownership over a three-year period, the corporation’s ability to use its pre-change NOLs and other pre-change tax attributes (such as</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340"/>
          </w:cols>
          <w:pgMar w:left="1260" w:top="1238" w:right="1280" w:bottom="0" w:gutter="0" w:footer="0" w:header="0"/>
          <w:type w:val="continuous"/>
        </w:sectPr>
      </w:pPr>
    </w:p>
    <w:bookmarkStart w:id="36" w:name="page37"/>
    <w:bookmarkEnd w:id="36"/>
    <w:p>
      <w:pPr>
        <w:spacing w:after="0" w:line="244" w:lineRule="auto"/>
        <w:rPr>
          <w:sz w:val="20"/>
          <w:szCs w:val="20"/>
          <w:color w:val="auto"/>
        </w:rPr>
      </w:pPr>
      <w:r>
        <w:rPr>
          <w:rFonts w:ascii="Times New Roman" w:cs="Times New Roman" w:eastAsia="Times New Roman" w:hAnsi="Times New Roman"/>
          <w:sz w:val="20"/>
          <w:szCs w:val="20"/>
          <w:color w:val="auto"/>
        </w:rPr>
        <w:t>capitalized research and development costs and research tax credits) to offset its post-change income may be limited. We believe that as a result of our merger with Zafgen, our ability to utilize NOLs acquired in the transaction and our other NOLs is expected to be severely limited by Section 382 of the Code. Additionally, our July 2021 and September 2022 equity transactions could also limit our ability to utilize NOLs in the future. We may also experience ownership changes in the future as a result of subsequent shifts in our stock ownership. As a result, if we earn net taxable income,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and would adversely affect our business, financial condition and results of operations.</w:t>
      </w:r>
    </w:p>
    <w:p>
      <w:pPr>
        <w:spacing w:after="0" w:line="83"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tax laws and regulations may have a material adverse effect on our business, financial condition and results of operations.</w:t>
      </w:r>
    </w:p>
    <w:p>
      <w:pPr>
        <w:spacing w:after="0" w:line="46"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New income, sales, use or other tax laws, statutes, rules, regulations or ordinances could be enacted at any time, which could affect the tax treatment of any of our future domestic and foreign earnings. Any new taxes could adversely affect our domestic and international business operations, and our business and financial performance. Further, existing tax laws, statutes, rules, regulations or ordinances could be interpreted, changed, modified or applied adversely to us. For example, under Section 174 of the code, in taxable years beginning after December 31, 2021, expenses that are incurred for research and development in the U.S. are capitalized and amortized, which may have an adverse effect on our cash flow. In addition, it is unclear how these U.S. federal income tax changes will affect state and local taxation. Generally, future changes in applicable U.S. tax laws and regulations, or their interpretation and application could have an adverse effect on our business, financial conditions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Product Development and Regulatory Approvals</w:t>
      </w:r>
    </w:p>
    <w:p>
      <w:pPr>
        <w:spacing w:after="0" w:line="125" w:lineRule="exact"/>
        <w:rPr>
          <w:sz w:val="20"/>
          <w:szCs w:val="20"/>
          <w:color w:val="auto"/>
        </w:rPr>
      </w:pPr>
    </w:p>
    <w:p>
      <w:pPr>
        <w:jc w:val="both"/>
        <w:ind w:righ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The FDA has placed a partial clinical hold on CTI-1601 and there is uncertainty as to when, or if, the FDA will lift the partial clinical hold on our CTI-1601 program, if it will allow additional cohorts of the dose exploration study or if it will ever allow further clinical development of CTI-1601.</w:t>
      </w:r>
    </w:p>
    <w:p>
      <w:pPr>
        <w:spacing w:after="0" w:line="64"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In May 2021, the FDA placed a clinical hold on our CTI-1601 clinical program after we notified the agency of mortalities at the two highest dose levels of the 26-week NHP toxicology study that was designed to support extended dosing of patients with CTI-1601. This NHP study included four dose groups in addition to vehicle and the mortalities were seen in the two highest dose groups. At the time the hold was placed, we had no interventional clinical trials with patients enrolling or enrolled.</w:t>
      </w:r>
    </w:p>
    <w:p>
      <w:pPr>
        <w:spacing w:after="0" w:line="77" w:lineRule="exact"/>
        <w:rPr>
          <w:sz w:val="20"/>
          <w:szCs w:val="20"/>
          <w:color w:val="auto"/>
        </w:rPr>
      </w:pPr>
    </w:p>
    <w:p>
      <w:pPr>
        <w:ind w:right="820" w:firstLine="490"/>
        <w:spacing w:after="0" w:line="279" w:lineRule="auto"/>
        <w:rPr>
          <w:sz w:val="20"/>
          <w:szCs w:val="20"/>
          <w:color w:val="auto"/>
        </w:rPr>
      </w:pPr>
      <w:r>
        <w:rPr>
          <w:rFonts w:ascii="Times New Roman" w:cs="Times New Roman" w:eastAsia="Times New Roman" w:hAnsi="Times New Roman"/>
          <w:sz w:val="20"/>
          <w:szCs w:val="20"/>
          <w:color w:val="auto"/>
        </w:rPr>
        <w:t>In July 2021, we completed dosing in the NHP toxicology study. Data from the study were collected throughout the second half of 2021 and included in the complete response submitted to the FDA</w:t>
      </w:r>
    </w:p>
    <w:p>
      <w:pPr>
        <w:spacing w:after="0" w:line="45"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auto"/>
        </w:rPr>
        <w:t>In February 2022, in response to our complete response to the clinical hold discussed above, the FDA stated that it was maintaining the clinical hold and that additional data were needed to resolve the clinical hold.</w:t>
      </w:r>
    </w:p>
    <w:p>
      <w:pPr>
        <w:spacing w:after="0" w:line="45" w:lineRule="exact"/>
        <w:rPr>
          <w:sz w:val="20"/>
          <w:szCs w:val="20"/>
          <w:color w:val="auto"/>
        </w:rPr>
      </w:pPr>
    </w:p>
    <w:p>
      <w:pPr>
        <w:ind w:right="280" w:firstLine="490"/>
        <w:spacing w:after="0" w:line="259" w:lineRule="auto"/>
        <w:rPr>
          <w:sz w:val="20"/>
          <w:szCs w:val="20"/>
          <w:color w:val="auto"/>
        </w:rPr>
      </w:pPr>
      <w:r>
        <w:rPr>
          <w:rFonts w:ascii="Times New Roman" w:cs="Times New Roman" w:eastAsia="Times New Roman" w:hAnsi="Times New Roman"/>
          <w:sz w:val="20"/>
          <w:szCs w:val="20"/>
          <w:color w:val="auto"/>
        </w:rPr>
        <w:t>We subsequently submitted a request to the FDA for a Type C meeting, which was granted and was held in July 2022. We submitted a complete response to the FDA incorporating additional information requested by the FDA at the meeting as well as information on a proposed dose exploration study in August 2022.</w:t>
      </w:r>
    </w:p>
    <w:p>
      <w:pPr>
        <w:spacing w:after="0" w:line="65" w:lineRule="exact"/>
        <w:rPr>
          <w:sz w:val="20"/>
          <w:szCs w:val="20"/>
          <w:color w:val="auto"/>
        </w:rPr>
      </w:pPr>
    </w:p>
    <w:p>
      <w:pPr>
        <w:ind w:right="280" w:firstLine="490"/>
        <w:spacing w:after="0" w:line="245" w:lineRule="auto"/>
        <w:rPr>
          <w:sz w:val="20"/>
          <w:szCs w:val="20"/>
          <w:color w:val="auto"/>
        </w:rPr>
      </w:pPr>
      <w:r>
        <w:rPr>
          <w:rFonts w:ascii="Times New Roman" w:cs="Times New Roman" w:eastAsia="Times New Roman" w:hAnsi="Times New Roman"/>
          <w:sz w:val="20"/>
          <w:szCs w:val="20"/>
          <w:color w:val="auto"/>
        </w:rPr>
        <w:t>In September 2022, following the Type C meeting and the submission of our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We have since initiated the 25 mg cohort of the Phase 2 dose exploration trial. Initiation of the second cohort and/or other clinical trials is contingent on the FDA’s agreement based on its review of the trial's 25 mg cohort data and on review by the trial’s independent data monitoring committee. We anticipate that we will provide an update that will outline the next steps for the clinical trial in the second quarter of 2023 and anticipate reporting top-line data in the second half of 2023</w:t>
      </w:r>
    </w:p>
    <w:p>
      <w:pPr>
        <w:spacing w:after="0" w:line="82"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Our business may be adversely affected if the FDA does not lift the partial clinical hold in a timely manner, if it places a full clinical hold on the development of CTI-1601, or, if additional non-clinical or clinical studies are required. This may cause significant delays or expense in developing CTI-1601.</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360"/>
          </w:cols>
          <w:pgMar w:left="1260" w:top="1238" w:right="1260" w:bottom="0" w:gutter="0" w:footer="0" w:header="0"/>
          <w:type w:val="continuous"/>
        </w:sectPr>
      </w:pPr>
    </w:p>
    <w:bookmarkStart w:id="37" w:name="page38"/>
    <w:bookmarkEnd w:id="37"/>
    <w:p>
      <w:pPr>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Our success is currently dependent upon the success of our lead product candidate, CTI-1601, for which we have completed two Phase 1 clinical trials in patients with FA and are currently conducting a Phase 2 dose exploration study. We cannot be certain that data from the first cohort of our current dose exploration study will provide the FDA with adequate data to allow the CTI-1601 development program to proceed as planned in part or in full, or that we will ultimately be successful with our clinical development or that we will be ever able to obtain regulatory approval for CTI-1601.</w:t>
      </w:r>
    </w:p>
    <w:p>
      <w:pPr>
        <w:spacing w:after="0" w:line="7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We currently have no drug products for sale and our business is currently wholly dependent on our successful clinical development, regulatory approval and commercialization of CTI-1601, our lead product candidate and our only product candidate in clinical development, for which we have completed two Phase 1 clinical trials in patients with FA and are currently working to complete a Phase 2 dose exploration under an FDA partial clinical hold. The study’s first cohort (25 mg ) is proceeding in line with our planned timeline with dosing completed. Additional cohorts and/or other clinical trials are contingent on the review of the study’s 25 mg cohort data by the FDA and the data monitoring committee. We expect to provide an update on the study in the second quarter of 2023 and anticipate reporting top-line data in the second half of 2023.</w:t>
      </w:r>
    </w:p>
    <w:p>
      <w:pPr>
        <w:spacing w:after="0" w:line="82"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If our efforts to develop and commercialize CTI-1601 for the treatment of FA are unsuccessful, or we experience significant delays in doing so, our business could also be substantially harmed. The success of CTI-1601 will depend on several factors, including the following:</w:t>
      </w:r>
    </w:p>
    <w:p>
      <w:pPr>
        <w:spacing w:after="0" w:line="80" w:lineRule="exact"/>
        <w:rPr>
          <w:sz w:val="20"/>
          <w:szCs w:val="20"/>
          <w:color w:val="auto"/>
        </w:rPr>
      </w:pPr>
    </w:p>
    <w:p>
      <w:pPr>
        <w:ind w:left="720" w:right="180" w:hanging="360"/>
        <w:spacing w:after="0" w:line="27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our IND application with the FDA in order to continue to conduct clinical trials in the United States, including our ability to have the clinical hold lifted by the FDA on a timely basis, if at all;</w:t>
      </w:r>
    </w:p>
    <w:p>
      <w:pPr>
        <w:spacing w:after="0" w:line="60" w:lineRule="exact"/>
        <w:rPr>
          <w:rFonts w:ascii="Arial" w:cs="Arial" w:eastAsia="Arial" w:hAnsi="Arial"/>
          <w:sz w:val="20"/>
          <w:szCs w:val="20"/>
          <w:color w:val="auto"/>
        </w:rPr>
      </w:pPr>
    </w:p>
    <w:p>
      <w:pPr>
        <w:ind w:left="720" w:right="200" w:hanging="360"/>
        <w:spacing w:after="0" w:line="27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recruiting, enrolling and retaining patients in and completing any clinical trials, if allowed to continue, including trials in pediatric patients;</w:t>
      </w:r>
    </w:p>
    <w:p>
      <w:pPr>
        <w:spacing w:after="0" w:line="60" w:lineRule="exact"/>
        <w:rPr>
          <w:rFonts w:ascii="Arial" w:cs="Arial" w:eastAsia="Arial" w:hAnsi="Arial"/>
          <w:sz w:val="20"/>
          <w:szCs w:val="20"/>
          <w:color w:val="auto"/>
        </w:rPr>
      </w:pPr>
    </w:p>
    <w:p>
      <w:pPr>
        <w:ind w:left="720" w:right="380" w:hanging="360"/>
        <w:spacing w:after="0" w:line="27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demonstrating safety, tolerability and efficacy profiles that are satisfactory to the FDA, EMA and other comparable regulatory authorities for marketing approval;</w:t>
      </w:r>
    </w:p>
    <w:p>
      <w:pPr>
        <w:spacing w:after="0" w:line="60" w:lineRule="exact"/>
        <w:rPr>
          <w:rFonts w:ascii="Arial" w:cs="Arial" w:eastAsia="Arial" w:hAnsi="Arial"/>
          <w:sz w:val="20"/>
          <w:szCs w:val="20"/>
          <w:color w:val="auto"/>
        </w:rPr>
      </w:pPr>
    </w:p>
    <w:p>
      <w:pPr>
        <w:ind w:left="720" w:right="340" w:hanging="360"/>
        <w:spacing w:after="0" w:line="27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completing all necessary toxicology studies to support clinical development and regulatory approval for CTI-1601;</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receiving timely marketing approvals from applicable regulatory authorities;</w:t>
      </w:r>
    </w:p>
    <w:p>
      <w:pPr>
        <w:spacing w:after="0" w:line="133" w:lineRule="exact"/>
        <w:rPr>
          <w:rFonts w:ascii="Arial" w:cs="Arial" w:eastAsia="Arial" w:hAnsi="Arial"/>
          <w:sz w:val="20"/>
          <w:szCs w:val="20"/>
          <w:color w:val="auto"/>
        </w:rPr>
      </w:pPr>
    </w:p>
    <w:p>
      <w:pPr>
        <w:ind w:left="720" w:right="800" w:hanging="360"/>
        <w:spacing w:after="0" w:line="27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managing the extent and cost of any required post-marketing approval commitments to applicable regulatory authorities;</w:t>
      </w:r>
    </w:p>
    <w:p>
      <w:pPr>
        <w:spacing w:after="0" w:line="60" w:lineRule="exact"/>
        <w:rPr>
          <w:rFonts w:ascii="Arial" w:cs="Arial" w:eastAsia="Arial" w:hAnsi="Arial"/>
          <w:sz w:val="20"/>
          <w:szCs w:val="20"/>
          <w:color w:val="auto"/>
        </w:rPr>
      </w:pPr>
    </w:p>
    <w:p>
      <w:pPr>
        <w:ind w:left="720" w:right="20" w:hanging="360"/>
        <w:spacing w:after="0" w:line="259"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establishing and maintaining arrangements with third-party manufacturers for CTI-1601, including developing, validating and maintaining a commercially viable manufacturing process that is compliant with cGMPs;</w:t>
      </w:r>
    </w:p>
    <w:p>
      <w:pPr>
        <w:spacing w:after="0" w:line="78" w:lineRule="exact"/>
        <w:rPr>
          <w:rFonts w:ascii="Arial" w:cs="Arial" w:eastAsia="Arial" w:hAnsi="Arial"/>
          <w:sz w:val="20"/>
          <w:szCs w:val="20"/>
          <w:color w:val="auto"/>
        </w:rPr>
      </w:pPr>
    </w:p>
    <w:p>
      <w:pPr>
        <w:ind w:left="720" w:right="300" w:hanging="360"/>
        <w:spacing w:after="0" w:line="27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and growing an organization of scientists and business people who can develop our product candidates and technology;</w:t>
      </w:r>
    </w:p>
    <w:p>
      <w:pPr>
        <w:spacing w:after="0" w:line="60" w:lineRule="exact"/>
        <w:rPr>
          <w:rFonts w:ascii="Arial" w:cs="Arial" w:eastAsia="Arial" w:hAnsi="Arial"/>
          <w:sz w:val="20"/>
          <w:szCs w:val="20"/>
          <w:color w:val="auto"/>
        </w:rPr>
      </w:pPr>
    </w:p>
    <w:p>
      <w:pPr>
        <w:ind w:left="720" w:right="360" w:hanging="360"/>
        <w:spacing w:after="0" w:line="27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maintaining and protecting our patents, trade secrets and regulatory exclusivity in the United States and other countries;</w:t>
      </w:r>
    </w:p>
    <w:p>
      <w:pPr>
        <w:spacing w:after="0" w:line="60" w:lineRule="exact"/>
        <w:rPr>
          <w:rFonts w:ascii="Arial" w:cs="Arial" w:eastAsia="Arial" w:hAnsi="Arial"/>
          <w:sz w:val="20"/>
          <w:szCs w:val="20"/>
          <w:color w:val="auto"/>
        </w:rPr>
      </w:pPr>
    </w:p>
    <w:p>
      <w:pPr>
        <w:ind w:left="720" w:right="620" w:hanging="360"/>
        <w:spacing w:after="0" w:line="278"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successfully launching commercial sales following any marketing approval, including establishing a specialty sales organization, or successfully partnering with another organization, if applicable;</w:t>
      </w:r>
    </w:p>
    <w:p>
      <w:pPr>
        <w:spacing w:after="0" w:line="60" w:lineRule="exact"/>
        <w:rPr>
          <w:rFonts w:ascii="Arial" w:cs="Arial" w:eastAsia="Arial" w:hAnsi="Arial"/>
          <w:sz w:val="20"/>
          <w:szCs w:val="20"/>
          <w:color w:val="auto"/>
        </w:rPr>
      </w:pPr>
    </w:p>
    <w:p>
      <w:pPr>
        <w:ind w:left="720" w:right="660" w:hanging="360"/>
        <w:spacing w:after="0" w:line="259" w:lineRule="auto"/>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obtaining commercial acceptance of our product candidates, if approved, by patients, the medical community and third-party payors and obtaining and maintaining healthcare coverage and adequate reimbursement;</w:t>
      </w:r>
    </w:p>
    <w:p>
      <w:pPr>
        <w:spacing w:after="0" w:line="78" w:lineRule="exact"/>
        <w:rPr>
          <w:rFonts w:ascii="Arial" w:cs="Arial" w:eastAsia="Arial" w:hAnsi="Arial"/>
          <w:sz w:val="20"/>
          <w:szCs w:val="20"/>
          <w:color w:val="auto"/>
        </w:rPr>
      </w:pPr>
    </w:p>
    <w:p>
      <w:pPr>
        <w:ind w:left="720" w:hanging="360"/>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maintaining an acceptable safety profile following any marketing approval; and</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23"/>
        </w:numPr>
        <w:rPr>
          <w:rFonts w:ascii="Arial" w:cs="Arial" w:eastAsia="Arial" w:hAnsi="Arial"/>
          <w:sz w:val="20"/>
          <w:szCs w:val="20"/>
          <w:color w:val="auto"/>
        </w:rPr>
      </w:pPr>
      <w:r>
        <w:rPr>
          <w:rFonts w:ascii="Times New Roman" w:cs="Times New Roman" w:eastAsia="Times New Roman" w:hAnsi="Times New Roman"/>
          <w:sz w:val="20"/>
          <w:szCs w:val="20"/>
          <w:color w:val="auto"/>
        </w:rPr>
        <w:t>competing with other therapies.</w:t>
      </w:r>
    </w:p>
    <w:p>
      <w:pPr>
        <w:spacing w:after="0" w:line="119"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Many of these factors are outside of our control, including the clinical development and regulatory approval processes, results of non-clinical and toxicology studies and clinical trials, potential threats to our intellectual property rights and the manufacturing, marketing and sales efforts, respectively. The process of obtaining regulatory approval is expensive and time consuming. The FDA and foreign regulatory authorities may never approve CTI-1601 for sale and marketing, and even if CTI-1601 is ultimately approved, regulatory approval may be delayed or</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360"/>
          </w:cols>
          <w:pgMar w:left="1260" w:top="1240" w:right="1260" w:bottom="0" w:gutter="0" w:footer="0" w:header="0"/>
          <w:type w:val="continuous"/>
        </w:sectPr>
      </w:pPr>
    </w:p>
    <w:bookmarkStart w:id="38" w:name="page39"/>
    <w:bookmarkEnd w:id="38"/>
    <w:p>
      <w:pPr>
        <w:spacing w:after="0" w:line="246" w:lineRule="auto"/>
        <w:rPr>
          <w:sz w:val="20"/>
          <w:szCs w:val="20"/>
          <w:color w:val="auto"/>
        </w:rPr>
      </w:pPr>
      <w:r>
        <w:rPr>
          <w:rFonts w:ascii="Times New Roman" w:cs="Times New Roman" w:eastAsia="Times New Roman" w:hAnsi="Times New Roman"/>
          <w:sz w:val="20"/>
          <w:szCs w:val="20"/>
          <w:color w:val="auto"/>
        </w:rPr>
        <w:t>limited in the United States or in other jurisdictions. Even if we are authorized to sell and market CTI-1601 in one or more markets, there is no assurance that we will be able to successfully market CTI-1601 or that CTI-1601 will achieve market acceptance sufficient to generate profits. If we are unable to successfully develop and commercialize CTI-1601 due to failure to obtain regulatory approval for CTI-1601, to successfully market CTI-1601, to generate profits from the sale of CTI-1601, or due to other risk factors outlined in this report, it would have material adverse effects on our business, financial condition, and results of operations as CTI-1601 is currently our sole product candidate.</w:t>
      </w:r>
    </w:p>
    <w:p>
      <w:pPr>
        <w:spacing w:after="0" w:line="8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64" w:lineRule="exact"/>
        <w:rPr>
          <w:sz w:val="20"/>
          <w:szCs w:val="20"/>
          <w:color w:val="auto"/>
        </w:rPr>
      </w:pPr>
    </w:p>
    <w:p>
      <w:pPr>
        <w:ind w:right="120" w:firstLine="490"/>
        <w:spacing w:after="0" w:line="263" w:lineRule="auto"/>
        <w:rPr>
          <w:sz w:val="20"/>
          <w:szCs w:val="20"/>
          <w:color w:val="auto"/>
        </w:rPr>
      </w:pPr>
      <w:r>
        <w:rPr>
          <w:rFonts w:ascii="Times New Roman" w:cs="Times New Roman" w:eastAsia="Times New Roman" w:hAnsi="Times New Roman"/>
          <w:sz w:val="19"/>
          <w:szCs w:val="19"/>
          <w:color w:val="auto"/>
        </w:rPr>
        <w:t>Clinical development is expensive and can take many years to complete, and its outcome is inherently uncertain. We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our industry is high, especially for products in early stages of development.</w:t>
      </w:r>
    </w:p>
    <w:p>
      <w:pPr>
        <w:spacing w:after="0" w:line="63"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The results from non-clinical studies, toxicology studies or clinical trials of a product candidate may not predict the results of later non-clinical or clinical trials of the product candidate, or in clinical trials with different patient populations such as children and adolescents and interim results of a clinical 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 Favorable safety and efficacy outcomes in adult clinical trials may not be seen in pediatric clinical trials.</w:t>
      </w:r>
    </w:p>
    <w:p>
      <w:pPr>
        <w:spacing w:after="0" w:line="82"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Moreover, current and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we cannot provide assurance that we will be able to successfully progress any future non-clinical programs from candidate identification to Phase 1 clinical development. As is typical in candidate development, we have a program of ongoing toxicology studies in animals for CTI-1601 and cannot provide assurance that the findings from such studies or any ongoing or future clinical trials will not adversely affect the clinical development of CTI-1601. For the foregoing reasons, we cannot be certain that our ongoing and planned non-clinical studies and clinical trials will be successful. If non-clinical studies or clinical trials for CTI-1601 or any future product candidates or indications fail to demonstrate safety or efficacy to the satisfaction of the FDA or the equivalent regulatory authorities in other countries, the FDA or equivalent regulatory authority will not approve our product candidates in those and other indications, which could have a material adverse effect on our business, financial condition results of operations and prospects.</w:t>
      </w:r>
    </w:p>
    <w:p>
      <w:pPr>
        <w:spacing w:after="0" w:line="83" w:lineRule="exact"/>
        <w:rPr>
          <w:sz w:val="20"/>
          <w:szCs w:val="20"/>
          <w:color w:val="auto"/>
        </w:rPr>
      </w:pPr>
    </w:p>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We do not know whether any ongoing or future clinical trials for CTI-1601 will be completed on schedule, if at all, as the commencement and completion of clinical trials can be delayed, prevented or terminated for a number of reasons, including as a result of safety concerns, or ambiguous or negative interim results. In addition, a clinical trial may be suspended or terminated by us, the FDA, other regulatory authorities, institutional review boards (IRBs") or ethics committees, an independent data monitoring committee, or safety review committee, overseeing the clinical trial at issue or other regulatory authorities due to a number of factors, including, among others:</w:t>
      </w:r>
    </w:p>
    <w:p>
      <w:pPr>
        <w:spacing w:after="0" w:line="94" w:lineRule="exact"/>
        <w:rPr>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failure to conduct the clinical trial in accordance with regulatory requirements or our clinical protocols;</w:t>
      </w:r>
    </w:p>
    <w:p>
      <w:pPr>
        <w:spacing w:after="0" w:line="133" w:lineRule="exact"/>
        <w:rPr>
          <w:rFonts w:ascii="Arial" w:cs="Arial" w:eastAsia="Arial" w:hAnsi="Arial"/>
          <w:sz w:val="20"/>
          <w:szCs w:val="20"/>
          <w:color w:val="auto"/>
        </w:rPr>
      </w:pPr>
    </w:p>
    <w:p>
      <w:pPr>
        <w:ind w:left="720" w:right="100" w:hanging="360"/>
        <w:spacing w:after="0" w:line="259"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inspection of the clinical trial operations or trial sites by the FDA, the EMA, or other applicable regulatory authorities that reveals deficiencies or violations that require us to undertake corrective action, including the imposition of a partial clinical hold or a full clinical hold;</w:t>
      </w:r>
    </w:p>
    <w:p>
      <w:pPr>
        <w:spacing w:after="0" w:line="78" w:lineRule="exact"/>
        <w:rPr>
          <w:rFonts w:ascii="Arial" w:cs="Arial" w:eastAsia="Arial" w:hAnsi="Arial"/>
          <w:sz w:val="20"/>
          <w:szCs w:val="20"/>
          <w:color w:val="auto"/>
        </w:rPr>
      </w:pPr>
    </w:p>
    <w:p>
      <w:pPr>
        <w:ind w:left="720" w:right="320" w:hanging="360"/>
        <w:spacing w:after="0" w:line="278"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unforeseen safety issues, including any that could be identified in our prior or future toxicology studies, adverse events or lack of effectiveness;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government regulations or administrative actions;</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340"/>
          </w:cols>
          <w:pgMar w:left="1260" w:top="1238" w:right="1280" w:bottom="0" w:gutter="0" w:footer="0" w:header="0"/>
          <w:type w:val="continuous"/>
        </w:sectPr>
      </w:pPr>
    </w:p>
    <w:bookmarkStart w:id="39" w:name="page40"/>
    <w:bookmarkEnd w:id="39"/>
    <w:p>
      <w:pPr>
        <w:ind w:left="720" w:hanging="360"/>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problems with clinical supply materials;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lack of adequate funding to continue the clinical trial;</w:t>
      </w:r>
    </w:p>
    <w:p>
      <w:pPr>
        <w:spacing w:after="0" w:line="133" w:lineRule="exact"/>
        <w:rPr>
          <w:rFonts w:ascii="Arial" w:cs="Arial" w:eastAsia="Arial" w:hAnsi="Arial"/>
          <w:sz w:val="20"/>
          <w:szCs w:val="20"/>
          <w:color w:val="auto"/>
        </w:rPr>
      </w:pPr>
    </w:p>
    <w:p>
      <w:pPr>
        <w:ind w:left="720" w:hanging="360"/>
        <w:spacing w:after="0" w:line="247" w:lineRule="auto"/>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challenges in recruiting and enrolling patients to participate in clinical trials, including the size and nature of the patient population, such as pediatric patients, the proximity of patients to clinical trial sites, eligibility criteria for the clinical trial, the nature of the clinical trial protocol, the availability of approved effective treatments for the relevant disease and competition from FDA-approved therapeutics for FA, other clinical trial programs for similar indications, and the resurgence of vaccine resistant, more deadly or more contagious variants of COVID-19 and the efforts to mitigate those effects;</w:t>
      </w:r>
    </w:p>
    <w:p>
      <w:pPr>
        <w:spacing w:after="0" w:line="93" w:lineRule="exact"/>
        <w:rPr>
          <w:rFonts w:ascii="Arial" w:cs="Arial" w:eastAsia="Arial" w:hAnsi="Arial"/>
          <w:sz w:val="20"/>
          <w:szCs w:val="20"/>
          <w:color w:val="auto"/>
        </w:rPr>
      </w:pPr>
    </w:p>
    <w:p>
      <w:pPr>
        <w:ind w:left="720" w:hanging="360"/>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in retaining or recruiting clinical investigators in our ongoing or future clinical trials;</w:t>
      </w:r>
    </w:p>
    <w:p>
      <w:pPr>
        <w:spacing w:after="0" w:line="133" w:lineRule="exact"/>
        <w:rPr>
          <w:rFonts w:ascii="Arial" w:cs="Arial" w:eastAsia="Arial" w:hAnsi="Arial"/>
          <w:sz w:val="20"/>
          <w:szCs w:val="20"/>
          <w:color w:val="auto"/>
        </w:rPr>
      </w:pPr>
    </w:p>
    <w:p>
      <w:pPr>
        <w:jc w:val="both"/>
        <w:ind w:left="720" w:right="460" w:hanging="360"/>
        <w:spacing w:after="0" w:line="259" w:lineRule="auto"/>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78" w:lineRule="exact"/>
        <w:rPr>
          <w:rFonts w:ascii="Arial" w:cs="Arial" w:eastAsia="Arial" w:hAnsi="Arial"/>
          <w:sz w:val="20"/>
          <w:szCs w:val="20"/>
          <w:color w:val="auto"/>
        </w:rPr>
      </w:pPr>
    </w:p>
    <w:p>
      <w:pPr>
        <w:ind w:left="720" w:hanging="360"/>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severe, serious or unexpected drug-related adverse events experienced by patients in clinical trials;</w:t>
      </w:r>
    </w:p>
    <w:p>
      <w:pPr>
        <w:spacing w:after="0" w:line="133" w:lineRule="exact"/>
        <w:rPr>
          <w:rFonts w:ascii="Arial" w:cs="Arial" w:eastAsia="Arial" w:hAnsi="Arial"/>
          <w:sz w:val="20"/>
          <w:szCs w:val="20"/>
          <w:color w:val="auto"/>
        </w:rPr>
      </w:pPr>
    </w:p>
    <w:p>
      <w:pPr>
        <w:ind w:left="720" w:right="100" w:hanging="360"/>
        <w:spacing w:after="0" w:line="259" w:lineRule="auto"/>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the FDA, the EMA, or other applicable regulatory authorities may disagree with our clinical trial designs, our interpretation of data from clinical trials, or may change the requirements for approval even after it has reviewed and commented on the design for our clinical trials;</w:t>
      </w:r>
    </w:p>
    <w:p>
      <w:pPr>
        <w:spacing w:after="0" w:line="78" w:lineRule="exact"/>
        <w:rPr>
          <w:rFonts w:ascii="Arial" w:cs="Arial" w:eastAsia="Arial" w:hAnsi="Arial"/>
          <w:sz w:val="20"/>
          <w:szCs w:val="20"/>
          <w:color w:val="auto"/>
        </w:rPr>
      </w:pPr>
    </w:p>
    <w:p>
      <w:pPr>
        <w:ind w:left="720" w:hanging="360"/>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clinical sites and subjects may deviate from trial protocol or drop out of a trial; and</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reports from non-clinical studies or clinical testing of other therapies that raise safety or efficacy concerns.</w:t>
      </w:r>
    </w:p>
    <w:p>
      <w:pPr>
        <w:spacing w:after="0" w:line="12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Failures or delays in the completion of our clinical trials could result in increased costs and could delay, prevent or limit our ability to generate revenue and continue our business.</w:t>
      </w:r>
    </w:p>
    <w:p>
      <w:pPr>
        <w:spacing w:after="0" w:line="46"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For our lead product candidate CTI-1601, we have completed two Phase 1 clinical trials in patients with FA and are currently conducting the first cohort of a Phase 2, four-week, placebo-controlled, dose exploration trial of CTI-1601 in FA patients. Additional cohorts and/or the initiation of other clinical trials are contingent on agreement by the FDA based on its review of the data from the 25 mg cohort and on review by the study's independent data monitoring committee. We expect to provide an update that will outline the next steps for the study in the second quarter of 2023 and anticipate reporting top-line data in the second half of 2023. We do not know if, or when, the FDA will lift the partial clinical hold on our CTI-1601 program, if it will allow additional cohorts of this dose exploration study or if it will ever allow further clinical development of CTI-1601.</w:t>
      </w:r>
    </w:p>
    <w:p>
      <w:pPr>
        <w:spacing w:after="0" w:line="82" w:lineRule="exact"/>
        <w:rPr>
          <w:sz w:val="20"/>
          <w:szCs w:val="20"/>
          <w:color w:val="auto"/>
        </w:rPr>
      </w:pPr>
    </w:p>
    <w:p>
      <w:pPr>
        <w:ind w:right="300" w:firstLine="490"/>
        <w:spacing w:after="0" w:line="279" w:lineRule="auto"/>
        <w:rPr>
          <w:sz w:val="20"/>
          <w:szCs w:val="20"/>
          <w:color w:val="auto"/>
        </w:rPr>
      </w:pPr>
      <w:r>
        <w:rPr>
          <w:rFonts w:ascii="Times New Roman" w:cs="Times New Roman" w:eastAsia="Times New Roman" w:hAnsi="Times New Roman"/>
          <w:sz w:val="20"/>
          <w:szCs w:val="20"/>
          <w:color w:val="auto"/>
        </w:rPr>
        <w:t>Clinical trials may also be delayed or terminated as a result of safety issues in non-clinical or clinical trials, ambiguous or negative interim results or events outside of our control.</w:t>
      </w:r>
    </w:p>
    <w:p>
      <w:pPr>
        <w:spacing w:after="0" w:line="45" w:lineRule="exact"/>
        <w:rPr>
          <w:sz w:val="20"/>
          <w:szCs w:val="20"/>
          <w:color w:val="auto"/>
        </w:rPr>
      </w:pPr>
    </w:p>
    <w:p>
      <w:pPr>
        <w:jc w:val="both"/>
        <w:ind w:right="120" w:firstLine="490"/>
        <w:spacing w:after="0" w:line="259" w:lineRule="auto"/>
        <w:rPr>
          <w:sz w:val="20"/>
          <w:szCs w:val="20"/>
          <w:color w:val="auto"/>
        </w:rPr>
      </w:pPr>
      <w:r>
        <w:rPr>
          <w:rFonts w:ascii="Times New Roman" w:cs="Times New Roman" w:eastAsia="Times New Roman" w:hAnsi="Times New Roman"/>
          <w:sz w:val="20"/>
          <w:szCs w:val="20"/>
          <w:color w:val="auto"/>
        </w:rPr>
        <w:t>If future clinical trials of CTI-1601 fail or further delays occur in the United States and or other countries, we may not be able to develop and commercialize CTI-1601 and could fail to realize the potential advantages of doing so, and it could materially adversely affect our business, financial condition and results of operations.</w:t>
      </w:r>
    </w:p>
    <w:p>
      <w:pPr>
        <w:spacing w:after="0" w:line="65"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In addition, disruptions caused by health crises, such as the recent COVID-19 pandemic may increase the likelihood that we encounter such difficulties or delays in initiating, enrolling, conducting or completing our planned and ongoing clinical trials. Further, FA is a rare disease, there are a limited number of patients in close proximity to clinical trial sites and clinical trial patients may need to travel from other countries to the clinical trial sites in order to participate. In addition, given the limited number of FA patients, the recent approval of a competing therapy for the treatment of FA may make patients less likely to enroll in our clinical trials or less likely to be eligible for our clinical trials. 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ectPr>
          <w:pgSz w:w="11880" w:h="15480" w:orient="portrait"/>
          <w:cols w:equalWidth="0" w:num="1">
            <w:col w:w="9360"/>
          </w:cols>
          <w:pgMar w:left="1260" w:top="12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360"/>
          </w:cols>
          <w:pgMar w:left="1260" w:top="1253" w:right="126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successful in our efforts to identify, discover or acquire additional product candidates.</w:t>
      </w:r>
    </w:p>
    <w:p>
      <w:pPr>
        <w:spacing w:after="0" w:line="118"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color w:val="auto"/>
        </w:rPr>
        <w:t>We currently only have one product candidate CTI-1601 in clinical development, although we have other product candidates in pre-clinical development. Therefore, the success of our business largely depends upon our ability to identify, develop, in-license or acquire and commercialize products targeting rare diseases. We may focus our efforts and resources on potential programs or product candidates that ultimately prove to be unsuccessful. In addition, our research methodology may be unsuccessful in identifying potential product candidates or our potential product candidates may be shown to have harmful side effects or may have other characteristics that may make the products unmarketable or unlikely to receive marketing approval.</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Research programs to identify new product candidates require substantial technical, financial and human resources. We may focus our efforts and resources on potential programs or product candidates that ultimately prove to be unsuccessful. If any of these events occur, we may be forced to abandon our development efforts for a program or programs, which would have a material adverse effect on our business, financial condition and results of operations.</w:t>
      </w:r>
    </w:p>
    <w:p>
      <w:pPr>
        <w:spacing w:after="0" w:line="7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no marketed proprietary products and have not yet advanced a product candidate beyond Phase 2 clinical trials, which makes it difficult to assess our ability to develop CTI-1601 or any future product candidates and commercialize any resulting products independently.</w:t>
      </w:r>
    </w:p>
    <w:p>
      <w:pPr>
        <w:spacing w:after="0" w:line="64"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We have no experience in later stage clinical development, and related regulatory requirements or the commercialization of products. As a result, we have not yet demonstrated our ability to independently and repeatedly conduct clinical development after Phase 1, successfully conduct an international multi-center clinical trial, conduct a pivotal clinical trial, obtain regulatory approval, manufacture drug product on a commercial scale or arrange for a third party to do so on our behalf, and commercialize therapeutic products. We will need to develop such abilities if we are to execute on our business strategy to develop and independently commercialize product candidates for orphan and niche indications. To execute on our business plan for the development of independent programs, we will need to successfully:</w:t>
      </w:r>
    </w:p>
    <w:p>
      <w:pPr>
        <w:spacing w:after="0" w:line="96" w:lineRule="exact"/>
        <w:rPr>
          <w:sz w:val="20"/>
          <w:szCs w:val="20"/>
          <w:color w:val="auto"/>
        </w:rPr>
      </w:pPr>
    </w:p>
    <w:p>
      <w:pPr>
        <w:ind w:left="720" w:hanging="360"/>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obtain the FDA's permission to continue with the clinical development of CTI-1601;</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execute our clinical development plans for product candidates;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obtain required regulatory approvals in each jurisdiction in which we will seek to commercialize products;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build and maintain appropriate sales, distribution and marketing capabilities;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gain market acceptance, including reimbursement, for our future products, if any; and</w:t>
      </w:r>
    </w:p>
    <w:p>
      <w:pPr>
        <w:spacing w:after="0" w:line="133" w:lineRule="exact"/>
        <w:rPr>
          <w:rFonts w:ascii="Arial" w:cs="Arial" w:eastAsia="Arial" w:hAnsi="Arial"/>
          <w:sz w:val="20"/>
          <w:szCs w:val="20"/>
          <w:color w:val="auto"/>
        </w:rPr>
      </w:pPr>
    </w:p>
    <w:p>
      <w:pPr>
        <w:ind w:left="720" w:right="720" w:hanging="360"/>
        <w:spacing w:after="0" w:line="278" w:lineRule="auto"/>
        <w:tabs>
          <w:tab w:leader="none" w:pos="720" w:val="left"/>
        </w:tabs>
        <w:numPr>
          <w:ilvl w:val="0"/>
          <w:numId w:val="26"/>
        </w:numPr>
        <w:rPr>
          <w:rFonts w:ascii="Arial" w:cs="Arial" w:eastAsia="Arial" w:hAnsi="Arial"/>
          <w:sz w:val="20"/>
          <w:szCs w:val="20"/>
          <w:color w:val="auto"/>
        </w:rPr>
      </w:pPr>
      <w:r>
        <w:rPr>
          <w:rFonts w:ascii="Times New Roman" w:cs="Times New Roman" w:eastAsia="Times New Roman" w:hAnsi="Times New Roman"/>
          <w:sz w:val="20"/>
          <w:szCs w:val="20"/>
          <w:color w:val="auto"/>
        </w:rPr>
        <w:t>manage our spending as costs and expenses increase due to clinical trials, regulatory approvals and commercialization activities.</w:t>
      </w:r>
    </w:p>
    <w:p>
      <w:pPr>
        <w:spacing w:after="0" w:line="46" w:lineRule="exact"/>
        <w:rPr>
          <w:sz w:val="20"/>
          <w:szCs w:val="20"/>
          <w:color w:val="auto"/>
        </w:rPr>
      </w:pPr>
    </w:p>
    <w:p>
      <w:pPr>
        <w:jc w:val="both"/>
        <w:ind w:right="260" w:firstLine="490"/>
        <w:spacing w:after="0" w:line="259" w:lineRule="auto"/>
        <w:rPr>
          <w:sz w:val="20"/>
          <w:szCs w:val="20"/>
          <w:color w:val="auto"/>
        </w:rPr>
      </w:pPr>
      <w:r>
        <w:rPr>
          <w:rFonts w:ascii="Times New Roman" w:cs="Times New Roman" w:eastAsia="Times New Roman" w:hAnsi="Times New Roman"/>
          <w:sz w:val="20"/>
          <w:szCs w:val="20"/>
          <w:color w:val="auto"/>
        </w:rPr>
        <w:t>If we are unsuccessful in accomplishing these objectives, we will not be able to develop and commercialize any product candidates independently and could fail to realize the potential advantages of doing so, and it would materially adversely affect our business, financial condition and results of operations.</w:t>
      </w:r>
    </w:p>
    <w:p>
      <w:pPr>
        <w:spacing w:after="0" w:line="67"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cannot be certain that we will be able to successfully complete clinical trials for CTI-1601 or any other product candidates.</w:t>
      </w:r>
    </w:p>
    <w:p>
      <w:pPr>
        <w:spacing w:after="0" w:line="46"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We have advanced only one product candidate into clinical development, CTI-1601. Our business currently depends primarily on CTI-1601’s successful clinical development, regulatory approval and commercialization. We submitted our IND and it was accepted, permitting the conduct of clinical trials. We completed two Phase 1 clinical trials but, as a result of certain mortalities in a non-clinical study of NHPs, the FDA issued a clinical hold. We responded to the clinical hold in January 2022. Following review of our response, the FDA maintained the clinical hold.</w:t>
      </w:r>
    </w:p>
    <w:p>
      <w:pPr>
        <w:spacing w:after="0" w:line="80" w:lineRule="exact"/>
        <w:rPr>
          <w:sz w:val="20"/>
          <w:szCs w:val="20"/>
          <w:color w:val="auto"/>
        </w:rPr>
      </w:pPr>
    </w:p>
    <w:p>
      <w:pPr>
        <w:ind w:right="60" w:firstLine="490"/>
        <w:spacing w:after="0" w:line="247" w:lineRule="auto"/>
        <w:rPr>
          <w:sz w:val="20"/>
          <w:szCs w:val="20"/>
          <w:color w:val="auto"/>
        </w:rPr>
      </w:pPr>
      <w:r>
        <w:rPr>
          <w:rFonts w:ascii="Times New Roman" w:cs="Times New Roman" w:eastAsia="Times New Roman" w:hAnsi="Times New Roman"/>
          <w:sz w:val="20"/>
          <w:szCs w:val="20"/>
          <w:color w:val="auto"/>
        </w:rPr>
        <w:t>In September 2022, following the Type C meeting and the submission of our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The dose exploration trial is designed to further characterize CTI-1601’s safety and PD and PK profiles to provide information about the preferred long-term dose and dose regimen. We have since initiated the 25 mg cohort of the Phase 2 dose exploration trial. Initiation of the second cohort and/or</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360"/>
          </w:cols>
          <w:pgMar w:left="1260" w:top="1240" w:right="1260" w:bottom="0" w:gutter="0" w:footer="0" w:header="0"/>
          <w:type w:val="continuous"/>
        </w:sectPr>
      </w:pPr>
    </w:p>
    <w:bookmarkStart w:id="41" w:name="page42"/>
    <w:bookmarkEnd w:id="41"/>
    <w:p>
      <w:pPr>
        <w:jc w:val="both"/>
        <w:ind w:right="80"/>
        <w:spacing w:after="0" w:line="253" w:lineRule="auto"/>
        <w:rPr>
          <w:sz w:val="20"/>
          <w:szCs w:val="20"/>
          <w:color w:val="auto"/>
        </w:rPr>
      </w:pPr>
      <w:r>
        <w:rPr>
          <w:rFonts w:ascii="Times New Roman" w:cs="Times New Roman" w:eastAsia="Times New Roman" w:hAnsi="Times New Roman"/>
          <w:sz w:val="20"/>
          <w:szCs w:val="20"/>
          <w:color w:val="auto"/>
        </w:rPr>
        <w:t>other clinical trials is contingent on the FDA’s agreement based on its review of the trial's 25 mg cohort data and on review by the trial’s independent data monitoring committee. We anticipate that we will provide an update that will outline the next steps for the clinical trial in the second quarter of 2023 and anticipate reporting top-line data in the second half of 2023.</w:t>
      </w:r>
    </w:p>
    <w:p>
      <w:pPr>
        <w:spacing w:after="0" w:line="7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do not know if, or when, the FDA will lift the partial clinical hold on our CTI-1601 program, if it will allow additional cohorts of the dose exploration study or if it will ever allow further clinical development of CTI-1601. If the FDA does not lift the clinical hold in a timely manner, or at all, our development timelines and our business may be adversely affected and our stock price may decline. Further, even if the FDA lifts the partial clinical hold, or if the FDA or other regulatory agencies continue to express safety concerns after the partial clinical hold is lifted, future CTI-1601 non-clinical or clinical studies may be required. In such instances, our progress in the development of CTI-1601 may be significantly slowed and the associated costs may be significantly increased, adversely affecting our business, which could impair our ability to ultimately obtain FDA or other regulatory approval for CTI-1601.</w:t>
      </w:r>
    </w:p>
    <w:p>
      <w:pPr>
        <w:spacing w:after="0" w:line="86"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In clinical development of any product candidate, the outcome of toxicology studies and early clinical trials may not be positive and may not be predictive of the success of later non-clinical studies or clinical trials. Adverse toxicology or safety results could lead to clinical holds or other developmental delays. Interim results of clinical trials do not necessarily predict success in those or future clinical trials. Success in adult clinical trials may not predict the outcome of pediatric clinical trials.</w:t>
      </w:r>
    </w:p>
    <w:p>
      <w:pPr>
        <w:spacing w:after="0" w:line="77"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Published clinical data or case reports from third parties or early clinical trial data of CTI-1601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or different patient populations, such as pediatric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different patient population, number of patients, patient selection criteria, trial duration, drug dosage and formulation and lack of statistical power.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to our knowledge, CTI-1601 is the only protein replacement therapy being developed for the treatment of FA and therefore non-clinical studies may not be adequate to predict efficacy in a clinical trial due to our novel protein replacement therapy platform.</w:t>
      </w:r>
    </w:p>
    <w:p>
      <w:pPr>
        <w:spacing w:after="0" w:line="80" w:lineRule="exact"/>
        <w:rPr>
          <w:sz w:val="20"/>
          <w:szCs w:val="20"/>
          <w:color w:val="auto"/>
        </w:rPr>
      </w:pPr>
    </w:p>
    <w:p>
      <w:pPr>
        <w:ind w:right="140" w:firstLine="490"/>
        <w:spacing w:after="0" w:line="246" w:lineRule="auto"/>
        <w:rPr>
          <w:sz w:val="20"/>
          <w:szCs w:val="20"/>
          <w:color w:val="auto"/>
        </w:rPr>
      </w:pPr>
      <w:r>
        <w:rPr>
          <w:rFonts w:ascii="Times New Roman" w:cs="Times New Roman" w:eastAsia="Times New Roman" w:hAnsi="Times New Roman"/>
          <w:sz w:val="20"/>
          <w:szCs w:val="20"/>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such as pediatric patients, variability of the disease being studied, changes in and adherence to the dosing regimen and other clinical trial protocols and the rate of dropout among clinical trial participants. If we fail to ultimately receive positive results in clinical trials of CTI-1601, the development timeline and regulatory approval and commercialization prospects for CTI-1601, and, correspondingly, our business, financial prospects and results of operation would be negatively impacted.</w:t>
      </w:r>
    </w:p>
    <w:p>
      <w:pPr>
        <w:spacing w:after="0" w:line="8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Further, CTI-1601 or any future product candidates may not be approved even if they achieve their primary endpoint in clinical trials. The FDA, EMA or foreign regulatory authorities may disagree with our trial design and our interpretation of data from non-clinical studies and clinical trials. In addition,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regulatory authority. Furthermore, any of these regulatory authorities may also approve CTI-1601 or any future product candidates for a narrower indication than we may request or may grant approval contingent on the performance of costly post-marketing clinical trials.</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360"/>
          </w:cols>
          <w:pgMar w:left="1260" w:top="1238" w:right="1260" w:bottom="0" w:gutter="0" w:footer="0" w:header="0"/>
          <w:type w:val="continuous"/>
        </w:sectPr>
      </w:pPr>
    </w:p>
    <w:bookmarkStart w:id="42" w:name="page43"/>
    <w:bookmarkEnd w:id="42"/>
    <w:p>
      <w:pPr>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We may experience difficulties identifying and enrolling patients in our clinical trials given the limited number of patients who have the disease for which CTI-1601 is being studied or for any other product candidate we may study in the future. Difficulty in enrolling patients could delay or prevent clinical trials of CTI-1601 or any future product candidate. There are also competing FA therapeutics, other competing studies and potentially other FA therapeutics that could be approved that may also limit the availability of prospective participants in CTI-1601 clinical trials.</w:t>
      </w:r>
    </w:p>
    <w:p>
      <w:pPr>
        <w:spacing w:after="0" w:line="78" w:lineRule="exact"/>
        <w:rPr>
          <w:sz w:val="20"/>
          <w:szCs w:val="20"/>
          <w:color w:val="auto"/>
        </w:rPr>
      </w:pPr>
    </w:p>
    <w:p>
      <w:pPr>
        <w:ind w:right="260" w:firstLine="490"/>
        <w:spacing w:after="0" w:line="253" w:lineRule="auto"/>
        <w:rPr>
          <w:sz w:val="20"/>
          <w:szCs w:val="20"/>
          <w:color w:val="auto"/>
        </w:rPr>
      </w:pPr>
      <w:r>
        <w:rPr>
          <w:rFonts w:ascii="Times New Roman" w:cs="Times New Roman" w:eastAsia="Times New Roman" w:hAnsi="Times New Roman"/>
          <w:sz w:val="20"/>
          <w:szCs w:val="20"/>
          <w:color w:val="auto"/>
        </w:rPr>
        <w:t>Identifying and qualifying patients to participate in clinical trials of CTI-1601 is critical to our success. The timing of our clinical trials depends in part on the speed at which we can recruit patients to participate in testing CTI-1601, and we may experience delays in our clinical trials if we encounter difficulties in enrollment, such as difficulties with enrollment in pediatric clinical trials.</w:t>
      </w:r>
    </w:p>
    <w:p>
      <w:pPr>
        <w:spacing w:after="0" w:line="7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The conditions for which we are planning to evaluate CTI-1601 and any product candidates we may evaluate in the future, are rare genetic diseases. Accordingly, there are limited patient pools from which to draw for clinical trials. Arranging for investigative sites and recruiting patients for clinical trials in this disease may be very difficult. The recent FDA approval of a product for the treatment of FA may impact our ability to enroll patients in our clinical trials as patients using other FA treatments may be excluded from participation in our CTI-1601 studies or may be less likely to participate in our CTI-1601 clinical trials due to the availability of another FA therapy. If other companies are studying their investigational products in Friedreich’s ataxia and/or if other companies have their products approved for the treatment of FA, it may be more difficult to enroll eligible patients into our clinical trials. Competing priorities at sites and participation of subjects in other studies may limit our ability to execute clinical trials in a timely fashion, if at all.</w:t>
      </w:r>
    </w:p>
    <w:p>
      <w:pPr>
        <w:spacing w:after="0" w:line="82"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In addition to the rarity of FA and other diseases that we are studying, the eligibility criteria of our clinical trials will further limit the pool of available study participants as it will require patients to have specific characteristics that we can measure to assure their disease is either severe enough or not too advanced to include them in a clinical trial. The process of finding and diagnosing patients may prove costly, especially since the diseases we are studying are rare. We also may not be able to identify, recruit, and enroll a sufficient number of appropriate patients to complete our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approved and competing therapies and clinical trials can also adversely impact enrollment. Furthermore, our inability to enroll a sufficient number of patients for our clinical trials, including pediatric clinical trials, could result in significant delays or may require us to abandon one or more clinical trials altogether. Enrollment delays in our clinical trials may result in increased development costs for CTI-1601 or any future product candidates, and jeopardize our ability to achieve our clinical development timeline and goals, including the dates by which we will commence, complete and receive results from clinical trials. If patients are unwilling to participate in our trials for any reason, the timeline for recruiting patients, conducting trials, and obtaining regulatory approval of potential products may be delayed. Enrollment delays in our clinical trials may also jeopardize our ability to commence sales of and generate revenues from CTI-1601, which could cause the value of our company to decline and limit our ability to obtain additional financing, if needed. Any of these occurrences may harm our business, financial condition, and prospects significantly.</w:t>
      </w:r>
    </w:p>
    <w:p>
      <w:pPr>
        <w:spacing w:after="0" w:line="85"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FA has no FDA-approved therapies that address frataxin deficiency, which is the underlying cause of the disease, and clinical endpoints required to obtain approval are not well defined.</w:t>
      </w:r>
    </w:p>
    <w:p>
      <w:pPr>
        <w:spacing w:after="0" w:line="4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There are currently no FDA-approved products to treat FA that are designed to increase frataxin levels. We have concentrated our research and development efforts on developing a novel, FA therapy designed to address frataxin deficiency, which is the underlying cause of the disease, and our future success depends on the success of 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 Given the nature of FA, we may have to devise novel clinical endpoints to be tested in our clinical trials, which can lead to some subjectivity in interpreting trial results and could result in regulatory agencies not agreeing with the validity of our endpoints, or our interpretation of the clinical data, and therefore denying approval, which would materially adversely affect our business, financial condition and results of operations. As a result, the design and conduct of clinical trials for a therapeutic product candidate such as CTI-1601 that is intended to deliver FXN through a subcutaneously administered, recombinant fusion protein in FA patients are subject to unknown risks, and we may</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340"/>
          </w:cols>
          <w:pgMar w:left="1260" w:top="1240" w:right="1280" w:bottom="0" w:gutter="0" w:footer="0" w:header="0"/>
          <w:type w:val="continuous"/>
        </w:sectPr>
      </w:pPr>
    </w:p>
    <w:bookmarkStart w:id="43" w:name="page44"/>
    <w:bookmarkEnd w:id="43"/>
    <w:p>
      <w:pPr>
        <w:ind w:right="340"/>
        <w:spacing w:after="0" w:line="279" w:lineRule="auto"/>
        <w:rPr>
          <w:sz w:val="20"/>
          <w:szCs w:val="20"/>
          <w:color w:val="auto"/>
        </w:rPr>
      </w:pPr>
      <w:r>
        <w:rPr>
          <w:rFonts w:ascii="Times New Roman" w:cs="Times New Roman" w:eastAsia="Times New Roman" w:hAnsi="Times New Roman"/>
          <w:sz w:val="20"/>
          <w:szCs w:val="20"/>
          <w:color w:val="auto"/>
        </w:rPr>
        <w:t>experience setbacks with our planned clinical trials of CTI-1601 in FA because of the limited clinical experience with our mechanism of action in these patients.</w:t>
      </w:r>
    </w:p>
    <w:p>
      <w:pPr>
        <w:spacing w:after="0" w:line="45" w:lineRule="exact"/>
        <w:rPr>
          <w:sz w:val="20"/>
          <w:szCs w:val="20"/>
          <w:color w:val="auto"/>
        </w:rPr>
      </w:pPr>
    </w:p>
    <w:p>
      <w:pPr>
        <w:ind w:right="60" w:firstLine="490"/>
        <w:spacing w:after="0" w:line="261" w:lineRule="auto"/>
        <w:rPr>
          <w:sz w:val="20"/>
          <w:szCs w:val="20"/>
          <w:color w:val="auto"/>
        </w:rPr>
      </w:pPr>
      <w:r>
        <w:rPr>
          <w:rFonts w:ascii="Times New Roman" w:cs="Times New Roman" w:eastAsia="Times New Roman" w:hAnsi="Times New Roman"/>
          <w:sz w:val="19"/>
          <w:szCs w:val="19"/>
          <w:color w:val="auto"/>
        </w:rPr>
        <w:t>In particular, regulatory authorities in the United States and the European Union have not issued definitive guidance as to how to measure and achieve efficacy in treatments for FA. As a result, the design and conduct of clinical trials of CTI-1601 may take longer, be more costly or be less effective as part of the novelty of development in FA. We may use new or novel endpoints or methodologies, and the FDA or other regulatory authorities may not consider the endpoints of our clinical trials to provide clinically meaningful results.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68"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CTI-1601 may cause adverse events or undesirable side effects in non-clinical or clinical trials that could delay or prevent its regulatory approval, limit the commercial profile of approved labeling, or result in significant negative consequences following regulatory approval, if any.</w:t>
      </w:r>
    </w:p>
    <w:p>
      <w:pPr>
        <w:spacing w:after="0" w:line="6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Any adverse events or undesirable side effects caused by, or other unexpected properties of, CTI-1601 in non-clinical or clinical studies could cause us, any future collaborators, an IRB or ethics committee or regulatory authorities to interrupt, delay or halt clinical trials of our product candidate and could result in a more restrictive label or the delay or denial of regulatory approval by the FDA or other regulatory authorities. Should the FDA permit us to continue with the clinical development of CTI-1601, it is possible that as we progress CTI-1601 through clinical trials and toxicology studies, or as the use of CTI-1601 becomes more widespread if it receives regulatory approval, illnesses, injuries, discomforts and other adverse events that were not observed in earlier trials, as well as conditions that did not occur or went undetected in previous trials, may be reported by patients. If such side effects become known later in development or after approval, such findings may harm our business, financial condition and prospects significantly. Further, if a serious safety issue is identified in connection with the use of CTI-1601 commercially or in third-party clinical trials elsewhere, such issues may adversely affect the development potential of CTI-1601 elsewhere or result in regulatory authorities restricting our ability to develop or commercialize CTI-1601, if approved.</w:t>
      </w:r>
    </w:p>
    <w:p>
      <w:pPr>
        <w:spacing w:after="0" w:line="83" w:lineRule="exact"/>
        <w:rPr>
          <w:sz w:val="20"/>
          <w:szCs w:val="20"/>
          <w:color w:val="auto"/>
        </w:rPr>
      </w:pPr>
    </w:p>
    <w:p>
      <w:pPr>
        <w:ind w:right="360" w:firstLine="490"/>
        <w:spacing w:after="0" w:line="259" w:lineRule="auto"/>
        <w:rPr>
          <w:sz w:val="20"/>
          <w:szCs w:val="20"/>
          <w:color w:val="auto"/>
        </w:rPr>
      </w:pPr>
      <w:r>
        <w:rPr>
          <w:rFonts w:ascii="Times New Roman" w:cs="Times New Roman" w:eastAsia="Times New Roman" w:hAnsi="Times New Roman"/>
          <w:sz w:val="20"/>
          <w:szCs w:val="20"/>
          <w:color w:val="auto"/>
        </w:rPr>
        <w:t>Further, if CTI-1601 were to receive marketing approval and we or others identify undesirable side effects caused by the product (or any other product) after the approval, a number of potentially significant negative consequences could result, including:</w:t>
      </w:r>
    </w:p>
    <w:p>
      <w:pPr>
        <w:spacing w:after="0" w:line="80" w:lineRule="exact"/>
        <w:rPr>
          <w:sz w:val="20"/>
          <w:szCs w:val="20"/>
          <w:color w:val="auto"/>
        </w:rPr>
      </w:pPr>
    </w:p>
    <w:p>
      <w:pPr>
        <w:ind w:left="720" w:right="120" w:hanging="360"/>
        <w:spacing w:after="0" w:line="278"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request that we recall or withdraw the product from the market or may limit the approval of the product through labeling or other means;</w:t>
      </w:r>
    </w:p>
    <w:p>
      <w:pPr>
        <w:spacing w:after="0" w:line="60" w:lineRule="exact"/>
        <w:rPr>
          <w:rFonts w:ascii="Arial" w:cs="Arial" w:eastAsia="Arial" w:hAnsi="Arial"/>
          <w:sz w:val="20"/>
          <w:szCs w:val="20"/>
          <w:color w:val="auto"/>
        </w:rPr>
      </w:pPr>
    </w:p>
    <w:p>
      <w:pPr>
        <w:ind w:left="720" w:right="500" w:hanging="360"/>
        <w:spacing w:after="0" w:line="278"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authorities may require the addition of labeling statements, such as a “boxed” warning or a contraindication or a precaution, or labeling restrictions based on patient population;</w:t>
      </w:r>
    </w:p>
    <w:p>
      <w:pPr>
        <w:spacing w:after="0" w:line="60" w:lineRule="exact"/>
        <w:rPr>
          <w:rFonts w:ascii="Arial" w:cs="Arial" w:eastAsia="Arial" w:hAnsi="Arial"/>
          <w:sz w:val="20"/>
          <w:szCs w:val="20"/>
          <w:color w:val="auto"/>
        </w:rPr>
      </w:pPr>
    </w:p>
    <w:p>
      <w:pPr>
        <w:ind w:left="720" w:right="640" w:hanging="360"/>
        <w:spacing w:after="0" w:line="278"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change the way the product is distributed or administered, conduct additional clinical trials or change the labeling of the product;</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may decide to recall or remove the product from the marketplace;</w:t>
      </w:r>
    </w:p>
    <w:p>
      <w:pPr>
        <w:spacing w:after="0" w:line="133" w:lineRule="exact"/>
        <w:rPr>
          <w:rFonts w:ascii="Arial" w:cs="Arial" w:eastAsia="Arial" w:hAnsi="Arial"/>
          <w:sz w:val="20"/>
          <w:szCs w:val="20"/>
          <w:color w:val="auto"/>
        </w:rPr>
      </w:pPr>
    </w:p>
    <w:p>
      <w:pPr>
        <w:ind w:left="720" w:right="940" w:hanging="360"/>
        <w:spacing w:after="0" w:line="278"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sued or held liable for injury caused to individuals exposed to or taking our product candidates;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required to conduct expensive post-marketing studies;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we could lose our commercial market opportunity and our revenues could decrease substantially;</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damage to the public perception of the safety of CTI-1601; and</w:t>
      </w:r>
    </w:p>
    <w:p>
      <w:pPr>
        <w:spacing w:after="0" w:line="133" w:lineRule="exact"/>
        <w:rPr>
          <w:rFonts w:ascii="Arial" w:cs="Arial" w:eastAsia="Arial" w:hAnsi="Arial"/>
          <w:sz w:val="20"/>
          <w:szCs w:val="20"/>
          <w:color w:val="auto"/>
        </w:rPr>
      </w:pPr>
    </w:p>
    <w:p>
      <w:pPr>
        <w:ind w:left="720" w:right="340" w:hanging="360"/>
        <w:spacing w:after="0" w:line="278" w:lineRule="auto"/>
        <w:tabs>
          <w:tab w:leader="none" w:pos="720" w:val="left"/>
        </w:tabs>
        <w:numPr>
          <w:ilvl w:val="0"/>
          <w:numId w:val="27"/>
        </w:numPr>
        <w:rPr>
          <w:rFonts w:ascii="Arial" w:cs="Arial" w:eastAsia="Arial" w:hAnsi="Arial"/>
          <w:sz w:val="20"/>
          <w:szCs w:val="20"/>
          <w:color w:val="auto"/>
        </w:rPr>
      </w:pPr>
      <w:r>
        <w:rPr>
          <w:rFonts w:ascii="Times New Roman" w:cs="Times New Roman" w:eastAsia="Times New Roman" w:hAnsi="Times New Roman"/>
          <w:sz w:val="20"/>
          <w:szCs w:val="20"/>
          <w:color w:val="auto"/>
        </w:rPr>
        <w:t>our reputation may suffer and physicians or patients might be less likely to use our product or may refer patients to products produced by our competitors.</w:t>
      </w:r>
    </w:p>
    <w:p>
      <w:pPr>
        <w:spacing w:after="0" w:line="46"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Any of these events could prevent us from achieving or maintaining market acceptance of the affected product candidate and could substantially increase the costs of commercializing our product candidates and significantly impact our ability to successfully commercialize our product candidates and generate revenues, all of which would materially adversely affect our business, financial condition and results of operations.</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360"/>
          </w:cols>
          <w:pgMar w:left="1260" w:top="1238" w:right="1260" w:bottom="0" w:gutter="0" w:footer="0" w:header="0"/>
          <w:type w:val="continuous"/>
        </w:sectPr>
      </w:pPr>
    </w:p>
    <w:bookmarkStart w:id="44" w:name="page45"/>
    <w:bookmarkEnd w:id="44"/>
    <w:p>
      <w:pPr>
        <w:jc w:val="both"/>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Interim, “top-line,” and preliminary data from our clinical trials that we announce or publish from time to time may change as more patient data become available or as additional analyses are conducted, and as the data are subject to audit and verification procedures that could result in material changes in the final data.</w:t>
      </w:r>
    </w:p>
    <w:p>
      <w:pPr>
        <w:spacing w:after="0" w:line="6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also remain subject to audit and verification procedures that may result in the final data being materially different from the preliminary data we previously published. As a result, interim and preliminary data should be viewed with caution until the final data are available. Material adverse changes between preliminary, “top-line” or interim data and final data could significantly harm our business, financial condition, results of operations and prospects.</w:t>
      </w:r>
    </w:p>
    <w:p>
      <w:pPr>
        <w:spacing w:after="0" w:line="101"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approach to discover and develop fusion proteins for delivering proteins is novel and may never lead to marketable products.</w:t>
      </w:r>
    </w:p>
    <w:p>
      <w:pPr>
        <w:spacing w:after="0" w:line="46"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We have concentrated our efforts and research and development activities on delivering proteins (FXN or other) to intracellular targets. Our future success depends on the successful development and manufacturing of such therapeutics and the effectiveness of our platform. The scientific discoveries that form the basis for our research are relatively new.</w:t>
      </w:r>
    </w:p>
    <w:p>
      <w:pPr>
        <w:spacing w:after="0" w:line="70"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CTI-1601 uses a novel and unproven approach and mechanism to treat FA and therefore its efficacy and safety are difficult to predict, and there is no guarantee that CTI-1601 will be approved by the FDA, the EMA, or any other regulatory authorities.</w:t>
      </w:r>
    </w:p>
    <w:p>
      <w:pPr>
        <w:spacing w:after="0" w:line="65"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If CTI-1601 proves to be ineffective, unsafe or commercially unviable, it is possible that our platform and pipeline would have little, if any, value, which would substantially harm our business, financial condition, results of operations and prospects. In addition, our approach may expose us to additional financial risks and make it more difficult to raise additional capital than other, more advanced proven technologies, which would materially adversely affect our business, financial condition and results of operations.</w:t>
      </w:r>
    </w:p>
    <w:p>
      <w:pPr>
        <w:spacing w:after="0" w:line="60" w:lineRule="exact"/>
        <w:rPr>
          <w:sz w:val="20"/>
          <w:szCs w:val="20"/>
          <w:color w:val="auto"/>
        </w:rPr>
      </w:pPr>
    </w:p>
    <w:p>
      <w:pPr>
        <w:jc w:val="both"/>
        <w:ind w:right="104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Protein replacement therapies are novel, complex and difficult to manufacture. We could experience manufacturing problems that result in delays in the development or commercialization of our protein replacement therapy platform or product candidates or otherwise harm our business.</w:t>
      </w:r>
    </w:p>
    <w:p>
      <w:pPr>
        <w:spacing w:after="0" w:line="80" w:lineRule="exact"/>
        <w:rPr>
          <w:sz w:val="20"/>
          <w:szCs w:val="20"/>
          <w:color w:val="auto"/>
        </w:rPr>
      </w:pPr>
    </w:p>
    <w:p>
      <w:pPr>
        <w:ind w:right="100" w:firstLine="490"/>
        <w:spacing w:after="0" w:line="246" w:lineRule="auto"/>
        <w:rPr>
          <w:sz w:val="20"/>
          <w:szCs w:val="20"/>
          <w:color w:val="auto"/>
        </w:rPr>
      </w:pPr>
      <w:r>
        <w:rPr>
          <w:rFonts w:ascii="Times New Roman" w:cs="Times New Roman" w:eastAsia="Times New Roman" w:hAnsi="Times New Roman"/>
          <w:sz w:val="20"/>
          <w:szCs w:val="20"/>
          <w:color w:val="auto"/>
        </w:rPr>
        <w:t>The manufacture of fusion proteins, such as CTI-1601 and any fusion protein candidates, is technically complex and necessitates substantial expertise and capital investment. Production difficulties caused by unforeseen events may delay the availability of material for clinical trials and commercial products for CTI-1601 or any fusion protein product that may receive regulatory approval in the future. Additionally, because biologic products are complex, the manufacture of such products and product candidates is more difficult and costly. We may not be able to have such products reliably manufactured in accordance with the applicable regulatory requirements in sufficient quantities to support our development programs and, if ultimately approved, commercial supply.</w:t>
      </w:r>
    </w:p>
    <w:p>
      <w:pPr>
        <w:spacing w:after="0" w:line="80"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There are a limited number of contract manufacturers who specialize in the manufacture of biologic products and those that do may still be developing appropriate processes, controls and facilities for large-scale production. While we believe that there will be sufficient sources of supply that can satisfy our clinical and commercial requirements, we cannot be certain that we will be able to identify and establish additional relationships with such sources, if necessary, in a timely manner or at all, and what the terms and costs of such new arrangements would be, or that such suppliers would be able to supply our potential commercial needs. Furthermore, in the event our primary manufacturer cannot meet our needs, any switch to an alternative manufacturer, if available, would result in a significant delay, would require FDA approval, and cause material additional costs.</w:t>
      </w:r>
    </w:p>
    <w:p>
      <w:pPr>
        <w:spacing w:after="0" w:line="82"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As further described in these risk factors, the manufacturers of biologic products must comply with strictly enforced cGMP requirements, state and federal regulations, as well as foreign requirements when applicable. Any failure by us or our contract manufacturing organizations to adhere to or document compliance to such regulatory requirements could lead to a delay or interruption in the availability of our program materials for clinical trials or commercial use, among other consequences. If we or our manufacturers fail to comply with the FDA, EMA, or other regulatory authorities, it could result in sanctions being imposed on us, including fines, injunctions, civil penalties, delays, suspension or withdrawal of approvals, clinical holds or termination of clinical trials, Form 483s, warning or untitled letters, regulatory communications warning the public about safety issues with a product, import or export</w:t>
      </w:r>
    </w:p>
    <w:p>
      <w:pPr>
        <w:sectPr>
          <w:pgSz w:w="11880" w:h="15480" w:orient="portrait"/>
          <w:cols w:equalWidth="0" w:num="1">
            <w:col w:w="9360"/>
          </w:cols>
          <w:pgMar w:left="1260" w:top="124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360"/>
          </w:cols>
          <w:pgMar w:left="1260" w:top="1240" w:right="1260" w:bottom="0" w:gutter="0" w:footer="0" w:header="0"/>
          <w:type w:val="continuous"/>
        </w:sectPr>
      </w:pPr>
    </w:p>
    <w:bookmarkStart w:id="45" w:name="page46"/>
    <w:bookmarkEnd w:id="45"/>
    <w:p>
      <w:pPr>
        <w:ind w:right="160"/>
        <w:spacing w:after="0" w:line="253" w:lineRule="auto"/>
        <w:rPr>
          <w:sz w:val="20"/>
          <w:szCs w:val="20"/>
          <w:color w:val="auto"/>
        </w:rPr>
      </w:pPr>
      <w:r>
        <w:rPr>
          <w:rFonts w:ascii="Times New Roman" w:cs="Times New Roman" w:eastAsia="Times New Roman" w:hAnsi="Times New Roman"/>
          <w:sz w:val="20"/>
          <w:szCs w:val="20"/>
          <w:color w:val="auto"/>
        </w:rPr>
        <w:t>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our product candidates and our business, financial conditions and results of operations could be materially adversely affected.</w:t>
      </w:r>
    </w:p>
    <w:p>
      <w:pPr>
        <w:spacing w:after="0" w:line="70" w:lineRule="exact"/>
        <w:rPr>
          <w:sz w:val="20"/>
          <w:szCs w:val="20"/>
          <w:color w:val="auto"/>
        </w:rPr>
      </w:pPr>
    </w:p>
    <w:p>
      <w:pPr>
        <w:jc w:val="both"/>
        <w:ind w:right="80" w:firstLine="490"/>
        <w:spacing w:after="0" w:line="259" w:lineRule="auto"/>
        <w:rPr>
          <w:sz w:val="20"/>
          <w:szCs w:val="20"/>
          <w:color w:val="auto"/>
        </w:rPr>
      </w:pPr>
      <w:r>
        <w:rPr>
          <w:rFonts w:ascii="Times New Roman" w:cs="Times New Roman" w:eastAsia="Times New Roman" w:hAnsi="Times New Roman"/>
          <w:sz w:val="20"/>
          <w:szCs w:val="20"/>
          <w:color w:val="auto"/>
        </w:rPr>
        <w:t>Our current dependence upon others for the manufacture of our product candidates may also adversely affect our business, results of operations, financial condition, and our ability to commercialize any product candidates that receive regulatory approval on a timely and competitive basis.</w:t>
      </w:r>
    </w:p>
    <w:p>
      <w:pPr>
        <w:spacing w:after="0" w:line="48"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Fast track designation by the FDA or any future designations may not lead to a faster development, regulatory review or approval process and it does not increase the likelihood that any of our product candidates will receive marketing approval.</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have received fast track therapy designation for CTI-1601 for the treatment of FA. We may, in the future, apply for other designations from the FDA (such as breakthrough therapy or accelerated approval) for CTI-1601 or future product candidates. Designation for these programs is within the discretion of the FDA. Accordingly, even if we believe CTI-1601 or a future product candidate meets the criteria for designation, the FDA may disagree. In any event, the receipt of a designation may not result in a faster development process, review or approval compared to products considered for approval under conventional FDA procedures and, in any event, does not assure ultimate approval by the FDA. In addition, even though CTI-1601 has obtained fast track designation, the FDA may later decide that it no longer meets the criteria for designation and revoke it. Approval of other therapies for the treatment Friedreich’s ataxia could negatively impact our continued fast track therapy designation for CTI-1601 for the treatment of FA. In addition, if we apply to the FDA for other designations for CTI-1601 or future product candidates, the FDA might not grant such designations. If we apply for any similar programs in foreign countries for CTI-1601 or future product candidates, those designations also might not be granted by the regulatory authorities of those countries. Any of the above could adversely affect our business, financial condition and results of operations.</w:t>
      </w:r>
    </w:p>
    <w:p>
      <w:pPr>
        <w:spacing w:after="0" w:line="84" w:lineRule="exact"/>
        <w:rPr>
          <w:sz w:val="20"/>
          <w:szCs w:val="20"/>
          <w:color w:val="auto"/>
        </w:rPr>
      </w:pPr>
    </w:p>
    <w:p>
      <w:pPr>
        <w:ind w:right="280"/>
        <w:spacing w:after="0" w:line="247" w:lineRule="auto"/>
        <w:rPr>
          <w:sz w:val="20"/>
          <w:szCs w:val="20"/>
          <w:color w:val="auto"/>
        </w:rPr>
      </w:pPr>
      <w:r>
        <w:rPr>
          <w:rFonts w:ascii="Times New Roman" w:cs="Times New Roman" w:eastAsia="Times New Roman" w:hAnsi="Times New Roman"/>
          <w:sz w:val="20"/>
          <w:szCs w:val="20"/>
          <w:b w:val="1"/>
          <w:bCs w:val="1"/>
          <w:i w:val="1"/>
          <w:iCs w:val="1"/>
          <w:color w:val="auto"/>
        </w:rPr>
        <w:t>If we decide to pursue accelerated approval for any of our product candidates, it may not lead to a faster development or regulatory review or approval process and does not increase the likelihood that it will receive marketing approval. If we are unable to obtain approval under an accelerated pathway, we may be required to conduct additional clinical trials beyond those that we contemplate, which could increase the expense of obtaining, reduce the likelihood of obtaining, and/or delay the timing of obtaining, necessary marketing approvals.</w:t>
      </w:r>
    </w:p>
    <w:p>
      <w:pPr>
        <w:spacing w:after="0" w:line="78"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In the future, we may decide to pursue accelerated approval for one or more of our product candidates. Under the FDA’s accelerated approval program, the FDA may approve a drug or biologic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Approval of other therapies for the treatment Friedreich’s ataxia, including the recent approval of omaveloxolone for the treatment of FA, could negatively impact our ability to demonstrate a benefit over existing treatments and therefore utilize the accelerated approval pathway. For drugs or biologics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w:t>
      </w:r>
    </w:p>
    <w:p>
      <w:pPr>
        <w:spacing w:after="0" w:line="8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Moreover, the FDA may withdraw approval of any product candidate approved under the accelerated approval pathway if, for example:</w:t>
      </w:r>
    </w:p>
    <w:p>
      <w:pPr>
        <w:spacing w:after="0" w:line="78" w:lineRule="exact"/>
        <w:rPr>
          <w:sz w:val="20"/>
          <w:szCs w:val="20"/>
          <w:color w:val="auto"/>
        </w:rPr>
      </w:pPr>
    </w:p>
    <w:p>
      <w:pPr>
        <w:ind w:left="980" w:right="180" w:hanging="491"/>
        <w:spacing w:after="0" w:line="259"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the trial or trials required to verify the predicted clinical benefit of the product candidate fails to verify such benefit or do not demonstrate sufficient clinical benefit to justify the risks associated with such product;</w:t>
      </w:r>
    </w:p>
    <w:p>
      <w:pPr>
        <w:spacing w:after="0" w:line="78" w:lineRule="exact"/>
        <w:rPr>
          <w:rFonts w:ascii="Arial" w:cs="Arial" w:eastAsia="Arial" w:hAnsi="Arial"/>
          <w:sz w:val="20"/>
          <w:szCs w:val="20"/>
          <w:color w:val="auto"/>
        </w:rPr>
      </w:pPr>
    </w:p>
    <w:p>
      <w:pPr>
        <w:ind w:left="980" w:right="320" w:hanging="491"/>
        <w:spacing w:after="0" w:line="278" w:lineRule="auto"/>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other evidence demonstrates that the product candidate is not shown to be safe or effective under the conditions of use;</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we fail to conduct any required post-approval trial of our product candidate with due diligence; or</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28"/>
        </w:numPr>
        <w:rPr>
          <w:rFonts w:ascii="Arial" w:cs="Arial" w:eastAsia="Arial" w:hAnsi="Arial"/>
          <w:sz w:val="20"/>
          <w:szCs w:val="20"/>
          <w:color w:val="auto"/>
        </w:rPr>
      </w:pPr>
      <w:r>
        <w:rPr>
          <w:rFonts w:ascii="Times New Roman" w:cs="Times New Roman" w:eastAsia="Times New Roman" w:hAnsi="Times New Roman"/>
          <w:sz w:val="20"/>
          <w:szCs w:val="20"/>
          <w:color w:val="auto"/>
        </w:rPr>
        <w:t>we disseminate false or misleading promotional materials relating to the relevant product candidate.</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340"/>
          </w:cols>
          <w:pgMar w:left="1260" w:top="1238" w:right="1280" w:bottom="0" w:gutter="0" w:footer="0" w:header="0"/>
          <w:type w:val="continuous"/>
        </w:sectPr>
      </w:pPr>
    </w:p>
    <w:bookmarkStart w:id="46" w:name="page47"/>
    <w:bookmarkEnd w:id="46"/>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In addition, the FDA may terminate the accelerated approval program or change the standards under which accelerated approvals are considered and granted in response to public pressure or other concerns regarding the accelerated approval program. Changes to or termination of the accelerated approval program could prevent or limit our ability to obtain accelerated approval of any of our clinical development programs. Recently, the accelerated approval pathway has come under scrutiny within the FDA and by Congress. The FDA has put increased focus on ensuring that confirmatory studies are conducted with diligence and, ultimately, that such studies confirm the benefit. In addition, Congress recently enacted the Food and Drug Omnibus Reform Act (“FDORA”), which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w:t>
      </w:r>
    </w:p>
    <w:p>
      <w:pPr>
        <w:spacing w:after="0" w:line="102" w:lineRule="exact"/>
        <w:rPr>
          <w:sz w:val="20"/>
          <w:szCs w:val="20"/>
          <w:color w:val="auto"/>
        </w:rPr>
      </w:pPr>
    </w:p>
    <w:p>
      <w:pPr>
        <w:ind w:right="52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If we fail to maintain orphan drug designation or other regulatory exclusivity for CTI-1601 or obtain such exclusivity for any of our other product candidates in the future, our competitive position would be harmed.</w:t>
      </w:r>
    </w:p>
    <w:p>
      <w:pPr>
        <w:spacing w:after="0" w:line="23"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We received orphan drug designation from the FDA for CTI-1601 for the treatment of FA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 means that the FDA may not approve any other applications, including an NDA or BLA, to market the same drug for the same indication for seven years, except in limited circumstances, including if the FDA concludes that the later drug is clinically superior to the approved drug. A drug is clinically superior if it is safer, more effective, or makes a major contribution to patient care. In the case of a biological product, whether a drug is the same drug is based on the principal molecular structural features of the product. Orphan drug designation neither shortens the development time or regulatory review time of a drug nor gives the drug any advantage in the regulatory review or approval process.</w:t>
      </w:r>
    </w:p>
    <w:p>
      <w:pPr>
        <w:spacing w:after="0" w:line="88" w:lineRule="exact"/>
        <w:rPr>
          <w:sz w:val="20"/>
          <w:szCs w:val="20"/>
          <w:color w:val="auto"/>
        </w:rPr>
      </w:pPr>
    </w:p>
    <w:p>
      <w:pPr>
        <w:jc w:val="both"/>
        <w:ind w:right="80" w:firstLine="490"/>
        <w:spacing w:after="0" w:line="252" w:lineRule="auto"/>
        <w:rPr>
          <w:sz w:val="20"/>
          <w:szCs w:val="20"/>
          <w:color w:val="auto"/>
        </w:rPr>
      </w:pPr>
      <w:r>
        <w:rPr>
          <w:rFonts w:ascii="Times New Roman" w:cs="Times New Roman" w:eastAsia="Times New Roman" w:hAnsi="Times New Roman"/>
          <w:sz w:val="19"/>
          <w:szCs w:val="19"/>
          <w:color w:val="auto"/>
        </w:rPr>
        <w:t>Additionally, we may lose orphan drug exclusivity if we are unable to assure sufficient quantity of the drug to meet the needs of patients with the rare disease or condition. Moreover, orphan drug exclusivity may not effectively protect our product candidates from competition because different drugs can be approved for the same condition.</w:t>
      </w:r>
    </w:p>
    <w:p>
      <w:pPr>
        <w:spacing w:after="0" w:line="2"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auto"/>
        </w:rPr>
        <w:t>Further, even after an orphan drug is approved, the FDA or comparable foreign regulatory authority can subsequently approve another drug for the same condition if such regulatory authority concludes that the later drug is clinically superior, if it is shown to be safer, more effective or makes a major contribution to patient care.</w:t>
      </w:r>
    </w:p>
    <w:p>
      <w:pPr>
        <w:spacing w:after="0" w:line="65"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have also received orphan drug designation for CTI-1601 in the European Union. In the European Union, the European Medicines Agency, or EMA’s Committee for Orphan Medicinal Products grants orphan drug designation to promote the development of products that are intended for the diagnosis, prevention or treatment of life threatening or chronically debilitating conditions affecting not more than five in 10,000 persons in the European Union. Additionally, designation is granted for products intended for the diagnosis, prevention or treatment of a life 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also entitles a party to financial incentives such as reduction of fees or fee waivers and ten years of market exclusivity following drug approval. This period may be reduced to six years if the orphan drug designation criteria are no longer met, including where it is shown that the product is sufficiently profitable so that market exclusivity is no longer justified. Loss of orphan drug designation for CTI-1601 or the failure to obtain such designation in other countries or for any future product candidates could adversely affect our business, financial condition and results of operation.</w:t>
      </w:r>
    </w:p>
    <w:p>
      <w:pPr>
        <w:spacing w:after="0" w:line="83"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If another product has received approval in the indications for which we have received orphan drug designation, we may still receive approval in that indication if we can demonstrate that our product candidate is clinically superior to the existing orphan product. This demonstration of clinical superiority may be done at the time of initial approval or in post-approval studies, depending on the type of marketing authorization granted. Having to comply with these additional requirements to obtain orphan drug exclusivity could adversely affect our business, financial condition and results of operation.</w:t>
      </w:r>
    </w:p>
    <w:p>
      <w:pPr>
        <w:sectPr>
          <w:pgSz w:w="11880" w:h="15480" w:orient="portrait"/>
          <w:cols w:equalWidth="0" w:num="1">
            <w:col w:w="9360"/>
          </w:cols>
          <w:pgMar w:left="1260" w:top="1376"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360"/>
          </w:cols>
          <w:pgMar w:left="1260" w:top="1376" w:right="1260" w:bottom="0" w:gutter="0" w:footer="0" w:header="0"/>
          <w:type w:val="continuous"/>
        </w:sectPr>
      </w:pPr>
    </w:p>
    <w:bookmarkStart w:id="47" w:name="page48"/>
    <w:bookmarkEnd w:id="47"/>
    <w:p>
      <w:pPr>
        <w:jc w:val="both"/>
        <w:ind w:righ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Although we have obtained rare pediatric disease designation for CTI-1601, we may not be eligible to receive a priority review voucher in the event the FDA determines we no longer meet the criteria for designation, revokes the designation or that FDA approval does not occur prior to September 30, 2026.</w:t>
      </w:r>
    </w:p>
    <w:p>
      <w:pPr>
        <w:spacing w:after="0" w:line="64"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The sponsor of an application for a rare pediatric disease drug product may be eligible for a voucher that can be used or sold to obtain a priority review for a subsequent application submitted under section 505(b)(1) of the FDCA or section 351 of the PHS Act. The rare pediatric disease priority review voucher program was most recently reauthorized by Congress through September 30, 2024, with the potential for priority review vouchers to be granted through September 30, 2026. We received rare pediatric disease designation from the FDA for CTI-1601 in 2019. We may, in the future, apply for rare pediatric disease designation from the FDA for future product candidates that may qualify for designation. Vouchers for rare pediatric disease drugs are awarded for qualifying applications when the drug receives approval.</w:t>
      </w:r>
    </w:p>
    <w:p>
      <w:pPr>
        <w:spacing w:after="0" w:line="82"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Although CTI-1601 has received rare pediatric disease designation, CTI-1601 may not receive a priority review voucher for a number of reasons: CTI-1601 may not receive approval; CTI-1601 may receive approval in adults, but not pediatric patients; CTI-1601 may not meet the eligibility requirements for a priority voucher at the time we seek approval for CTI-1601; or we may not meet the current deadline for receiving a priority review voucher (September 30, 2026), in which case we would not be able to obtain a voucher unless Congress further reauthorizes the program. Finally, a rare pediatric disease designation does not necessarily lead to faster development or regulatory review of the product or increase the likelihood that it will receive marketing approval. If we apply for designation for future product candidates as drugs for rare pediatric diseases, the FDA may not grant the designation. The failure to maintain rare pediatric disease designation for CTI-1601 or if FDA approval does not occur prior to September 30, 2026 could result in the inability to receive a priority review voucher which could adversely affect our business, financial condition and results of operations.</w:t>
      </w:r>
    </w:p>
    <w:p>
      <w:pPr>
        <w:spacing w:after="0" w:line="9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maintain PRIME designation in the European Union for CTI-1601, our competitive position would be harmed.</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PRIME scheme is open to medicines under development and for which the applicant intends to apply for an initial MAA through the centralized procedure. Eligible products must target conditions for which where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If a medicine is selected for the PRIME scheme, the EMA:</w:t>
      </w:r>
    </w:p>
    <w:p>
      <w:pPr>
        <w:spacing w:after="0" w:line="134" w:lineRule="exact"/>
        <w:rPr>
          <w:sz w:val="20"/>
          <w:szCs w:val="20"/>
          <w:color w:val="auto"/>
        </w:rPr>
      </w:pPr>
    </w:p>
    <w:p>
      <w:pPr>
        <w:ind w:left="980" w:right="200" w:hanging="491"/>
        <w:spacing w:after="0" w:line="278"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appoints a rapporteur from the CHMP or from the CAT to provide continuous support and to build up knowledge of the medicine in advance of the filing of an MMA;</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issues guidance on the applicant’s overall development plan and regulatory strategy;</w:t>
      </w:r>
    </w:p>
    <w:p>
      <w:pPr>
        <w:spacing w:after="0" w:line="133" w:lineRule="exact"/>
        <w:rPr>
          <w:rFonts w:ascii="Arial" w:cs="Arial" w:eastAsia="Arial" w:hAnsi="Arial"/>
          <w:sz w:val="20"/>
          <w:szCs w:val="20"/>
          <w:color w:val="auto"/>
        </w:rPr>
      </w:pPr>
    </w:p>
    <w:p>
      <w:pPr>
        <w:ind w:left="980" w:right="560" w:hanging="491"/>
        <w:spacing w:after="0" w:line="278"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organizes a kick-off meeting with the rapporteur and experts from relevant EMA committees and working groups;</w:t>
      </w:r>
    </w:p>
    <w:p>
      <w:pPr>
        <w:spacing w:after="0" w:line="60" w:lineRule="exact"/>
        <w:rPr>
          <w:rFonts w:ascii="Arial" w:cs="Arial" w:eastAsia="Arial" w:hAnsi="Arial"/>
          <w:sz w:val="20"/>
          <w:szCs w:val="20"/>
          <w:color w:val="auto"/>
        </w:rPr>
      </w:pPr>
    </w:p>
    <w:p>
      <w:pPr>
        <w:ind w:left="980" w:hanging="491"/>
        <w:spacing w:after="0"/>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provides a dedicated EMA contact person; and</w:t>
      </w:r>
    </w:p>
    <w:p>
      <w:pPr>
        <w:spacing w:after="0" w:line="133" w:lineRule="exact"/>
        <w:rPr>
          <w:rFonts w:ascii="Arial" w:cs="Arial" w:eastAsia="Arial" w:hAnsi="Arial"/>
          <w:sz w:val="20"/>
          <w:szCs w:val="20"/>
          <w:color w:val="auto"/>
        </w:rPr>
      </w:pPr>
    </w:p>
    <w:p>
      <w:pPr>
        <w:ind w:left="980" w:right="320" w:hanging="491"/>
        <w:spacing w:after="0" w:line="278" w:lineRule="auto"/>
        <w:tabs>
          <w:tab w:leader="none" w:pos="980" w:val="left"/>
        </w:tabs>
        <w:numPr>
          <w:ilvl w:val="0"/>
          <w:numId w:val="29"/>
        </w:numPr>
        <w:rPr>
          <w:rFonts w:ascii="Arial" w:cs="Arial" w:eastAsia="Arial" w:hAnsi="Arial"/>
          <w:sz w:val="20"/>
          <w:szCs w:val="20"/>
          <w:color w:val="auto"/>
        </w:rPr>
      </w:pPr>
      <w:r>
        <w:rPr>
          <w:rFonts w:ascii="Times New Roman" w:cs="Times New Roman" w:eastAsia="Times New Roman" w:hAnsi="Times New Roman"/>
          <w:sz w:val="20"/>
          <w:szCs w:val="20"/>
          <w:color w:val="auto"/>
        </w:rPr>
        <w:t>provides scientific advice at key development milestones, involving additional stakeholders, such as health technology assessment bodies and patients, as needed.</w:t>
      </w:r>
    </w:p>
    <w:p>
      <w:pPr>
        <w:spacing w:after="0" w:line="46"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auto"/>
        </w:rPr>
        <w:t>For SMEs who enter the scheme based on data showing proof of principle, the appointment of the rapporteur occurs once they have generated data confirming eligibility at proof of concept stage. They are required to submit relevant data and justification as the product development reaches this stage.</w:t>
      </w:r>
    </w:p>
    <w:p>
      <w:pPr>
        <w:spacing w:after="0" w:line="65" w:lineRule="exact"/>
        <w:rPr>
          <w:sz w:val="20"/>
          <w:szCs w:val="20"/>
          <w:color w:val="auto"/>
        </w:rPr>
      </w:pPr>
    </w:p>
    <w:p>
      <w:pPr>
        <w:ind w:right="500" w:firstLine="490"/>
        <w:spacing w:after="0" w:line="279" w:lineRule="auto"/>
        <w:rPr>
          <w:sz w:val="20"/>
          <w:szCs w:val="20"/>
          <w:color w:val="auto"/>
        </w:rPr>
      </w:pPr>
      <w:r>
        <w:rPr>
          <w:rFonts w:ascii="Times New Roman" w:cs="Times New Roman" w:eastAsia="Times New Roman" w:hAnsi="Times New Roman"/>
          <w:sz w:val="20"/>
          <w:szCs w:val="20"/>
          <w:color w:val="auto"/>
        </w:rPr>
        <w:t>Medicines that are selected for the PRIME scheme are also expected to benefit from EMA’s accelerated assessment procedure at the time of application for marketing authorization. Where, during the course of</w:t>
      </w:r>
    </w:p>
    <w:p>
      <w:pPr>
        <w:sectPr>
          <w:pgSz w:w="11880" w:h="15480" w:orient="portrait"/>
          <w:cols w:equalWidth="0" w:num="1">
            <w:col w:w="9320"/>
          </w:cols>
          <w:pgMar w:left="1260" w:top="1240" w:right="1300" w:bottom="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320"/>
          </w:cols>
          <w:pgMar w:left="1260" w:top="1240" w:right="1300" w:bottom="0" w:gutter="0" w:footer="0" w:header="0"/>
          <w:type w:val="continuous"/>
        </w:sectPr>
      </w:pPr>
    </w:p>
    <w:bookmarkStart w:id="48" w:name="page49"/>
    <w:bookmarkEnd w:id="48"/>
    <w:p>
      <w:pPr>
        <w:ind w:right="20"/>
        <w:spacing w:after="0" w:line="247" w:lineRule="auto"/>
        <w:rPr>
          <w:sz w:val="20"/>
          <w:szCs w:val="20"/>
          <w:color w:val="auto"/>
        </w:rPr>
      </w:pPr>
      <w:r>
        <w:rPr>
          <w:rFonts w:ascii="Times New Roman" w:cs="Times New Roman" w:eastAsia="Times New Roman" w:hAnsi="Times New Roman"/>
          <w:sz w:val="20"/>
          <w:szCs w:val="20"/>
          <w:color w:val="auto"/>
        </w:rPr>
        <w:t>development, a medicine no longer meets the eligibility criteria, or if a medicine granted early access to the PRIME scheme cannot later demonstrate proof of concept, support under the PRIME scheme may be withdrawn. Approval of other therapies for the treatment Friedreich’s ataxia, including the recent approval of omaveloxolone could negatively impact our continued access to this and similar programs. Loss of PRIME designation for CTI-1601 or the failure to obtain such designation for any future product candidates could adversely affect our business, financial condition and results of operation.</w:t>
      </w:r>
    </w:p>
    <w:p>
      <w:pPr>
        <w:spacing w:after="0" w:line="8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Changes in regulatory requirements, FDA guidance, guidance from other regulatory authorities or unanticipated events during our non-clinical or clinical trials of CTI-1601 or future product candidates may result in changes to clinical trial protocols or additional non-clinical or clinical trial requirements, which could result in increased costs to us and could delay our development timeline.</w:t>
      </w:r>
    </w:p>
    <w:p>
      <w:pPr>
        <w:spacing w:after="0" w:line="7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Changes in regulatory requirements, FDA guidance or guidance from EMA or unanticipated events during our non-clinical or clinical trials may force us to terminate or adjust our clinical programs. The FDA, or other applicable regulatory authorities may impose additional clinical trial and/or non-clinical study requirements. Amendments to our clinical trial protocols would require resubmission to the FDA, or the applicable regulatory authorities as well as IRBs and ethics committees for review and approval, which may adversely impact the cost, timing or successful completion of a clinical trial. If we experience delays completing, or if we terminate, any of our clinical trials, or if we are required to conduct additional clinical trials, or non-clinical studies and/or post-market studies, the commercial prospects for CTI-1601 or any other potential product candidates may be harmed and our ability to generate product revenue will be delayed or eliminated, and it would materially adversely affect our business, financial condition and results of operations.</w:t>
      </w:r>
    </w:p>
    <w:p>
      <w:pPr>
        <w:spacing w:after="0" w:line="82"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In order to market any product outside of the United States, we must comply with numerous and varying regulatory requirements of other countries regarding drug development and commercialization. The approval processes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 Even if we receive marketing approval for CTI-1601 in the United States, we may never receive regulatory approval to market CTI-1601 outside of the United States.</w:t>
      </w:r>
    </w:p>
    <w:p>
      <w:pPr>
        <w:spacing w:after="0" w:line="83"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2" w:lineRule="exact"/>
        <w:rPr>
          <w:sz w:val="20"/>
          <w:szCs w:val="20"/>
          <w:color w:val="auto"/>
        </w:rPr>
      </w:pPr>
    </w:p>
    <w:p>
      <w:pPr>
        <w:ind w:right="40" w:firstLine="490"/>
        <w:spacing w:after="0" w:line="266" w:lineRule="auto"/>
        <w:rPr>
          <w:sz w:val="20"/>
          <w:szCs w:val="20"/>
          <w:color w:val="auto"/>
        </w:rPr>
      </w:pPr>
      <w:r>
        <w:rPr>
          <w:rFonts w:ascii="Times New Roman" w:cs="Times New Roman" w:eastAsia="Times New Roman" w:hAnsi="Times New Roman"/>
          <w:sz w:val="19"/>
          <w:szCs w:val="19"/>
          <w:color w:val="auto"/>
        </w:rPr>
        <w:t>The ability of the FDA to review and/or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In addition, government funding of other government agencies that fund research and development activities is subject to the political process, which is inherently fluid and unpredictable.</w:t>
      </w:r>
    </w:p>
    <w:p>
      <w:pPr>
        <w:spacing w:after="0" w:line="59"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auto"/>
        </w:rPr>
        <w:t>Disruptions at the FDA and other agencies may also slow the time necessary for new drugs to be reviewed and/or approved by necessary government agencies, which would adversely affect our business. For example, since March 2020 when foreign and domestic inspections of facilities were largely placed on hold,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both domestic and abroad and it is unclear when standard operational levels will resume. Regulatory authorities outside the United States may adopt similar restrictions or other policy measures in response to a resurgence of COVID-19, and/or other outbreaks of communicable diseases.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340"/>
          </w:cols>
          <w:pgMar w:left="1260" w:top="1238" w:right="1280" w:bottom="0" w:gutter="0" w:footer="0" w:header="0"/>
          <w:type w:val="continuous"/>
        </w:sectPr>
      </w:pPr>
    </w:p>
    <w:bookmarkStart w:id="49" w:name="page50"/>
    <w:bookmarkEnd w:id="49"/>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Regulatory requirements governing biologic products have changed frequently and may continue to change in the future. Such requirements may lengthen the regulatory review process, require us to perform additional non-clinical studies or clinical trials, and increase our costs, or may force us to delay, limit or terminate certain of our programs.</w:t>
      </w:r>
    </w:p>
    <w:p>
      <w:pPr>
        <w:spacing w:after="0" w:line="72"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Regulatory requirements governing biologic drug products are evolving and may continue to change in the future. As a result, it is difficult to determine how long it will take or how much it will cost to obtain regulatory approvals for CTI-1601 for the treatment of FA or any other future protein replacement therapy product candidates in any indication, if at all. Regulatory review agencies and the new requirements and guidelines they promulgate may lengthen the regulatory review process, require us to perform additional or larger studies, increase our development costs, lead to changes in regulatory positions and interpretations, delay or prevent approval and commercialization of our product candidates or lead to significant post-approval studies, limitations or restrictions. Delays, failure or unexpected costs in obtaining, the regulatory approval necessary to bring our product candidates to market could have a material adverse effect on our business, results of operations, financial condition and prospects.</w:t>
      </w:r>
    </w:p>
    <w:p>
      <w:pPr>
        <w:spacing w:after="0" w:line="8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ours can be more expensive and take longer than for other, better known or more extensively studied product candidates.</w:t>
      </w:r>
    </w:p>
    <w:p>
      <w:pPr>
        <w:spacing w:after="0" w:line="78"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The clinical trials of CTI-1601 and any future product candidates are, and the manufacturing and marketing of CTI-1601 and any future product candidates, will be subject to extensive and rigorous review and regulation by numerous government authorities in the United States and in other countries, such as within the European Union, where we intend to seek regulatory approval of, and market, any product candidates.</w:t>
      </w:r>
    </w:p>
    <w:p>
      <w:pPr>
        <w:spacing w:after="0" w:line="7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Before obtaining regulatory approvals for the commercial sale of any product candidate, we must demonstrate through non-clinical testing and clinical trials that the product candidate is safe and effective for use in each target indication. This process can take many years. In addition, approval policies, regulations, or the type and amount of clinical data necessary to gain approval may change during the course of a product candidate’s clinical development and may vary among jurisdictions, which may cause delays in the approval of or may result in the decision not to approve our product candidates. We have not obtained regulatory approval for CTI-1601, and it is possible that this product candidate or any product candidates we may seek to develop in the future will never obtain regulatory approval. If marketing approval is obtained, it will likely include post-marketing studies, and other post-marketing requirements, and surveillance such as REMS which will require the expenditure of substantial resources beyond the proceeds we currently have on hand.</w:t>
      </w:r>
    </w:p>
    <w:p>
      <w:pPr>
        <w:spacing w:after="0" w:line="82" w:lineRule="exact"/>
        <w:rPr>
          <w:sz w:val="20"/>
          <w:szCs w:val="20"/>
          <w:color w:val="auto"/>
        </w:rPr>
      </w:pPr>
    </w:p>
    <w:p>
      <w:pPr>
        <w:ind w:right="260" w:firstLine="490"/>
        <w:spacing w:after="0" w:line="266" w:lineRule="auto"/>
        <w:rPr>
          <w:sz w:val="20"/>
          <w:szCs w:val="20"/>
          <w:color w:val="auto"/>
        </w:rPr>
      </w:pPr>
      <w:r>
        <w:rPr>
          <w:rFonts w:ascii="Times New Roman" w:cs="Times New Roman" w:eastAsia="Times New Roman" w:hAnsi="Times New Roman"/>
          <w:sz w:val="19"/>
          <w:szCs w:val="19"/>
          <w:color w:val="auto"/>
        </w:rPr>
        <w:t>Furthermore, we are not permitted to market CTI-1601 in the United States or the European Union until we receive approval of a BLA from the FDA or a MAA from the EMA, or in any other foreign countries until we receive the requisite marketing approval from such countries. The development of drugs for FA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59" w:lineRule="exact"/>
        <w:rPr>
          <w:sz w:val="20"/>
          <w:szCs w:val="20"/>
          <w:color w:val="auto"/>
        </w:rPr>
      </w:pPr>
    </w:p>
    <w:p>
      <w:pPr>
        <w:ind w:right="360" w:firstLine="540"/>
        <w:spacing w:after="0" w:line="253" w:lineRule="auto"/>
        <w:rPr>
          <w:sz w:val="20"/>
          <w:szCs w:val="20"/>
          <w:color w:val="auto"/>
        </w:rPr>
      </w:pPr>
      <w:r>
        <w:rPr>
          <w:rFonts w:ascii="Times New Roman" w:cs="Times New Roman" w:eastAsia="Times New Roman" w:hAnsi="Times New Roman"/>
          <w:sz w:val="20"/>
          <w:szCs w:val="20"/>
          <w:color w:val="auto"/>
        </w:rPr>
        <w:t>CTI-1601 requires substantial further clinical development before we can submit a BLA to the FDA. Development and/or regulatory programs for CTI-1601 in any countries other than the United States (such as a MAA to the EMA) are only in very preliminary stages and may require substantial further development in those countries prior to regulatory submissions seeking regulatory approval for marketing.</w:t>
      </w:r>
    </w:p>
    <w:p>
      <w:pPr>
        <w:spacing w:after="0" w:line="70"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auto"/>
        </w:rPr>
        <w:t>Even after successful completion of clinical trials, there is a risk that the FDA or other regulatory agencies may request further information from us, disagree with our findings or otherwise undertake a lengthy review of our submission.</w:t>
      </w:r>
    </w:p>
    <w:p>
      <w:pPr>
        <w:spacing w:after="0" w:line="65" w:lineRule="exact"/>
        <w:rPr>
          <w:sz w:val="20"/>
          <w:szCs w:val="20"/>
          <w:color w:val="auto"/>
        </w:rPr>
      </w:pPr>
    </w:p>
    <w:p>
      <w:pPr>
        <w:ind w:right="360" w:firstLine="490"/>
        <w:spacing w:after="0" w:line="279" w:lineRule="auto"/>
        <w:rPr>
          <w:sz w:val="20"/>
          <w:szCs w:val="20"/>
          <w:color w:val="auto"/>
        </w:rPr>
      </w:pPr>
      <w:r>
        <w:rPr>
          <w:rFonts w:ascii="Times New Roman" w:cs="Times New Roman" w:eastAsia="Times New Roman" w:hAnsi="Times New Roman"/>
          <w:sz w:val="20"/>
          <w:szCs w:val="20"/>
          <w:color w:val="auto"/>
        </w:rPr>
        <w:t>The FDA and certain European regulatory authorities may delay, limit or deny testing or approval of CTI-1601 for many reasons, including, among others:</w:t>
      </w:r>
    </w:p>
    <w:p>
      <w:pPr>
        <w:spacing w:after="0" w:line="60" w:lineRule="exact"/>
        <w:rPr>
          <w:sz w:val="20"/>
          <w:szCs w:val="20"/>
          <w:color w:val="auto"/>
        </w:rPr>
      </w:pPr>
    </w:p>
    <w:p>
      <w:pPr>
        <w:ind w:left="720" w:right="60" w:hanging="360"/>
        <w:spacing w:after="0" w:line="278"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demonstrate that CTI-1601 is safe and effective to the satisfaction of the FDA or the EMA;</w:t>
      </w:r>
    </w:p>
    <w:p>
      <w:pPr>
        <w:spacing w:after="0" w:line="60" w:lineRule="exact"/>
        <w:rPr>
          <w:rFonts w:ascii="Arial" w:cs="Arial" w:eastAsia="Arial" w:hAnsi="Arial"/>
          <w:sz w:val="20"/>
          <w:szCs w:val="20"/>
          <w:color w:val="auto"/>
        </w:rPr>
      </w:pPr>
    </w:p>
    <w:p>
      <w:pPr>
        <w:ind w:left="720" w:right="160" w:hanging="360"/>
        <w:spacing w:after="0" w:line="278" w:lineRule="auto"/>
        <w:tabs>
          <w:tab w:leader="none" w:pos="720" w:val="left"/>
        </w:tabs>
        <w:numPr>
          <w:ilvl w:val="0"/>
          <w:numId w:val="30"/>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our clinical trials may not meet the level of statistical or clinical significance required by the FDA or the EMA for marketing approval;</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340"/>
          </w:cols>
          <w:pgMar w:left="1260" w:top="1240" w:right="1280" w:bottom="0" w:gutter="0" w:footer="0" w:header="0"/>
          <w:type w:val="continuous"/>
        </w:sectPr>
      </w:pPr>
    </w:p>
    <w:bookmarkStart w:id="50" w:name="page51"/>
    <w:bookmarkEnd w:id="50"/>
    <w:p>
      <w:pPr>
        <w:ind w:left="720" w:right="200" w:hanging="360"/>
        <w:spacing w:after="0" w:line="278"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disagree with the number, design, size, duration, conduct or implementation of our clinical trials;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require that we conduct additional non-clinical studies and/or clinical trials;</w:t>
      </w:r>
    </w:p>
    <w:p>
      <w:pPr>
        <w:spacing w:after="0" w:line="133" w:lineRule="exact"/>
        <w:rPr>
          <w:rFonts w:ascii="Arial" w:cs="Arial" w:eastAsia="Arial" w:hAnsi="Arial"/>
          <w:sz w:val="20"/>
          <w:szCs w:val="20"/>
          <w:color w:val="auto"/>
        </w:rPr>
      </w:pPr>
    </w:p>
    <w:p>
      <w:pPr>
        <w:ind w:left="720" w:right="220" w:hanging="360"/>
        <w:spacing w:after="0" w:line="278"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not approve the formulation, manufacturing, labeling or specifications of CTI-1601;</w:t>
      </w:r>
    </w:p>
    <w:p>
      <w:pPr>
        <w:spacing w:after="0" w:line="60" w:lineRule="exact"/>
        <w:rPr>
          <w:rFonts w:ascii="Arial" w:cs="Arial" w:eastAsia="Arial" w:hAnsi="Arial"/>
          <w:sz w:val="20"/>
          <w:szCs w:val="20"/>
          <w:color w:val="auto"/>
        </w:rPr>
      </w:pPr>
    </w:p>
    <w:p>
      <w:pPr>
        <w:ind w:left="720" w:right="560" w:hanging="360"/>
        <w:spacing w:after="0" w:line="278"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CROs that we retain to conduct and/our clinical trials may take actions outside of our control that materially adversely impact our clinical trials;</w:t>
      </w:r>
    </w:p>
    <w:p>
      <w:pPr>
        <w:spacing w:after="0" w:line="60" w:lineRule="exact"/>
        <w:rPr>
          <w:rFonts w:ascii="Arial" w:cs="Arial" w:eastAsia="Arial" w:hAnsi="Arial"/>
          <w:sz w:val="20"/>
          <w:szCs w:val="20"/>
          <w:color w:val="auto"/>
        </w:rPr>
      </w:pPr>
    </w:p>
    <w:p>
      <w:pPr>
        <w:ind w:left="720" w:right="860" w:hanging="360"/>
        <w:spacing w:after="0" w:line="278"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find the data from non-clinical studies and clinical trials insufficient to demonstrate that CTI-1601’s clinical and other benefits outweigh its safety risks;</w:t>
      </w:r>
    </w:p>
    <w:p>
      <w:pPr>
        <w:spacing w:after="0" w:line="60" w:lineRule="exact"/>
        <w:rPr>
          <w:rFonts w:ascii="Arial" w:cs="Arial" w:eastAsia="Arial" w:hAnsi="Arial"/>
          <w:sz w:val="20"/>
          <w:szCs w:val="20"/>
          <w:color w:val="auto"/>
        </w:rPr>
      </w:pPr>
    </w:p>
    <w:p>
      <w:pPr>
        <w:ind w:left="720" w:right="160" w:hanging="360"/>
        <w:spacing w:after="0" w:line="278"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disagree with our interpretation of data from our non-clinical studies or clinical trials;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not accept data generated at our clinical trial sites;</w:t>
      </w:r>
    </w:p>
    <w:p>
      <w:pPr>
        <w:spacing w:after="0" w:line="133" w:lineRule="exact"/>
        <w:rPr>
          <w:rFonts w:ascii="Arial" w:cs="Arial" w:eastAsia="Arial" w:hAnsi="Arial"/>
          <w:sz w:val="20"/>
          <w:szCs w:val="20"/>
          <w:color w:val="auto"/>
        </w:rPr>
      </w:pPr>
    </w:p>
    <w:p>
      <w:pPr>
        <w:jc w:val="both"/>
        <w:ind w:left="720" w:right="80" w:hanging="360"/>
        <w:spacing w:after="0" w:line="252"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if and when our BLA is submitted, the FDA could require an FDA advisory committee assessment, or the advisory committee may recommend against approval of our application or may recommend that the FDA require, as a condition of approval, additional non-clinical studies or clinical trials, limitations on approved labeling or distribution and use restrictions;</w:t>
      </w:r>
    </w:p>
    <w:p>
      <w:pPr>
        <w:spacing w:after="0" w:line="87" w:lineRule="exact"/>
        <w:rPr>
          <w:rFonts w:ascii="Arial" w:cs="Arial" w:eastAsia="Arial" w:hAnsi="Arial"/>
          <w:sz w:val="20"/>
          <w:szCs w:val="20"/>
          <w:color w:val="auto"/>
        </w:rPr>
      </w:pPr>
    </w:p>
    <w:p>
      <w:pPr>
        <w:ind w:left="720" w:right="40" w:hanging="360"/>
        <w:spacing w:after="0" w:line="259"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could require development of a REMS as a condition of approval or post-approval, or may not agree with our proposed REMS, or may impose additional requirements, including requirements that limit the promotion, advertising, distribution, or sales of CTI-1601;</w:t>
      </w:r>
    </w:p>
    <w:p>
      <w:pPr>
        <w:spacing w:after="0" w:line="78" w:lineRule="exact"/>
        <w:rPr>
          <w:rFonts w:ascii="Arial" w:cs="Arial" w:eastAsia="Arial" w:hAnsi="Arial"/>
          <w:sz w:val="20"/>
          <w:szCs w:val="20"/>
          <w:color w:val="auto"/>
        </w:rPr>
      </w:pPr>
    </w:p>
    <w:p>
      <w:pPr>
        <w:ind w:left="720" w:right="40" w:hanging="360"/>
        <w:spacing w:after="0" w:line="278"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find deficiencies with or not approve the manufacturing processes or facilities of third-party manufacturers with which we contract; or</w:t>
      </w:r>
    </w:p>
    <w:p>
      <w:pPr>
        <w:spacing w:after="0" w:line="60" w:lineRule="exact"/>
        <w:rPr>
          <w:rFonts w:ascii="Arial" w:cs="Arial" w:eastAsia="Arial" w:hAnsi="Arial"/>
          <w:sz w:val="20"/>
          <w:szCs w:val="20"/>
          <w:color w:val="auto"/>
        </w:rPr>
      </w:pPr>
    </w:p>
    <w:p>
      <w:pPr>
        <w:ind w:left="720" w:right="280" w:hanging="360"/>
        <w:spacing w:after="0" w:line="278" w:lineRule="auto"/>
        <w:tabs>
          <w:tab w:leader="none" w:pos="720" w:val="left"/>
        </w:tabs>
        <w:numPr>
          <w:ilvl w:val="0"/>
          <w:numId w:val="31"/>
        </w:numPr>
        <w:rPr>
          <w:rFonts w:ascii="Arial" w:cs="Arial" w:eastAsia="Arial" w:hAnsi="Arial"/>
          <w:sz w:val="20"/>
          <w:szCs w:val="20"/>
          <w:color w:val="auto"/>
        </w:rPr>
      </w:pPr>
      <w:r>
        <w:rPr>
          <w:rFonts w:ascii="Times New Roman" w:cs="Times New Roman" w:eastAsia="Times New Roman" w:hAnsi="Times New Roman"/>
          <w:sz w:val="20"/>
          <w:szCs w:val="20"/>
          <w:color w:val="auto"/>
        </w:rPr>
        <w:t>the FDA or the EMA may change their approval policies or adopt new regulations rendering our clinical data insufficient for approval.</w:t>
      </w:r>
    </w:p>
    <w:p>
      <w:pPr>
        <w:spacing w:after="0" w:line="46" w:lineRule="exact"/>
        <w:rPr>
          <w:sz w:val="20"/>
          <w:szCs w:val="20"/>
          <w:color w:val="auto"/>
        </w:rPr>
      </w:pPr>
    </w:p>
    <w:p>
      <w:pPr>
        <w:ind w:right="120" w:firstLine="490"/>
        <w:spacing w:after="0" w:line="258" w:lineRule="auto"/>
        <w:rPr>
          <w:sz w:val="20"/>
          <w:szCs w:val="20"/>
          <w:color w:val="auto"/>
        </w:rPr>
      </w:pPr>
      <w:r>
        <w:rPr>
          <w:rFonts w:ascii="Times New Roman" w:cs="Times New Roman" w:eastAsia="Times New Roman" w:hAnsi="Times New Roman"/>
          <w:sz w:val="19"/>
          <w:szCs w:val="19"/>
          <w:color w:val="auto"/>
        </w:rPr>
        <w:t>Any of these factors, many of which are beyond our control, could jeopardize our ability to obtain and/or maintain regulatory approval for and successfully market CTI-1601. Any delay or failure in obtaining required approvals could have a material adverse effect on our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we submit. It is possible that our product candidates may not obtain appropriate regulatory approvals necessary for us to commence clinical trials for our product candidates. Accordingly, even if we are able to obtain the requisite financing to continue to fund our development and clinical trials, we cannot ensure that CTI-1601, or any other of our potential product candidates will be successfully developed or commercialized.</w:t>
      </w:r>
    </w:p>
    <w:p>
      <w:pPr>
        <w:spacing w:after="0" w:line="73"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subject to healthcare laws and regulations, and health information privacy and security laws, which could expose us to criminal sanctions, civil penalties, contractual damages, reputational harm and diminished profits and future earnings.</w:t>
      </w:r>
    </w:p>
    <w:p>
      <w:pPr>
        <w:spacing w:after="0" w:line="64" w:lineRule="exact"/>
        <w:rPr>
          <w:sz w:val="20"/>
          <w:szCs w:val="20"/>
          <w:color w:val="auto"/>
        </w:rPr>
      </w:pPr>
    </w:p>
    <w:p>
      <w:pPr>
        <w:ind w:right="160" w:firstLine="490"/>
        <w:spacing w:after="0" w:line="246" w:lineRule="auto"/>
        <w:rPr>
          <w:sz w:val="20"/>
          <w:szCs w:val="20"/>
          <w:color w:val="auto"/>
        </w:rPr>
      </w:pPr>
      <w:r>
        <w:rPr>
          <w:rFonts w:ascii="Times New Roman" w:cs="Times New Roman" w:eastAsia="Times New Roman" w:hAnsi="Times New Roman"/>
          <w:sz w:val="20"/>
          <w:szCs w:val="20"/>
          <w:color w:val="auto"/>
        </w:rPr>
        <w:t>Healthcare providers, physicians and others will play a primary role in the recommendation and prescription of CTI-1601 or any potential product candidates, if approved. Our future arrangements with third-party payors will expose us broadly to applicable fraud and abuse and other healthcare laws and regulations that may constrain the business or financial arrangements and relationships through which we market, sell and distribute CTI-1601 or potential product candidates, if we obtain marketing approval. In addition, we may be subject to patient privacy regulation by both the federal government and the states or other countries in which we conduct our business. Restrictions under applicable federal and state healthcare laws and regulations include the following:</w:t>
      </w:r>
    </w:p>
    <w:p>
      <w:pPr>
        <w:spacing w:after="0" w:line="94" w:lineRule="exact"/>
        <w:rPr>
          <w:sz w:val="20"/>
          <w:szCs w:val="20"/>
          <w:color w:val="auto"/>
        </w:rPr>
      </w:pPr>
    </w:p>
    <w:p>
      <w:pPr>
        <w:ind w:left="720" w:right="100" w:hanging="360"/>
        <w:spacing w:after="0" w:line="259" w:lineRule="auto"/>
        <w:tabs>
          <w:tab w:leader="none" w:pos="720" w:val="left"/>
        </w:tabs>
        <w:numPr>
          <w:ilvl w:val="0"/>
          <w:numId w:val="32"/>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w:t>
      </w:r>
    </w:p>
    <w:p>
      <w:pPr>
        <w:sectPr>
          <w:pgSz w:w="11880" w:h="15480" w:orient="portrait"/>
          <w:cols w:equalWidth="0" w:num="1">
            <w:col w:w="9360"/>
          </w:cols>
          <w:pgMar w:left="1260" w:top="1253"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360"/>
          </w:cols>
          <w:pgMar w:left="1260" w:top="1253" w:right="1260" w:bottom="0" w:gutter="0" w:footer="0" w:header="0"/>
          <w:type w:val="continuous"/>
        </w:sectPr>
      </w:pPr>
    </w:p>
    <w:bookmarkStart w:id="51" w:name="page52"/>
    <w:bookmarkEnd w:id="51"/>
    <w:p>
      <w:pPr>
        <w:ind w:left="720" w:right="760"/>
        <w:spacing w:after="0" w:line="279" w:lineRule="auto"/>
        <w:rPr>
          <w:sz w:val="20"/>
          <w:szCs w:val="20"/>
          <w:color w:val="auto"/>
        </w:rPr>
      </w:pPr>
      <w:r>
        <w:rPr>
          <w:rFonts w:ascii="Times New Roman" w:cs="Times New Roman" w:eastAsia="Times New Roman" w:hAnsi="Times New Roman"/>
          <w:sz w:val="20"/>
          <w:szCs w:val="20"/>
          <w:color w:val="auto"/>
        </w:rPr>
        <w:t>service, for which payment may be made under federal healthcare programs such as Medicare and Medicaid;</w:t>
      </w:r>
    </w:p>
    <w:p>
      <w:pPr>
        <w:spacing w:after="0" w:line="60" w:lineRule="exact"/>
        <w:rPr>
          <w:sz w:val="20"/>
          <w:szCs w:val="20"/>
          <w:color w:val="auto"/>
        </w:rPr>
      </w:pPr>
    </w:p>
    <w:p>
      <w:pPr>
        <w:ind w:left="720" w:right="140" w:hanging="360"/>
        <w:spacing w:after="0" w:line="249"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0" w:lineRule="exact"/>
        <w:rPr>
          <w:rFonts w:ascii="Arial" w:cs="Arial" w:eastAsia="Arial" w:hAnsi="Arial"/>
          <w:sz w:val="20"/>
          <w:szCs w:val="20"/>
          <w:color w:val="auto"/>
        </w:rPr>
      </w:pPr>
    </w:p>
    <w:p>
      <w:pPr>
        <w:ind w:left="720" w:right="40" w:hanging="360"/>
        <w:spacing w:after="0" w:line="259"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HITECH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78" w:lineRule="exact"/>
        <w:rPr>
          <w:rFonts w:ascii="Arial" w:cs="Arial" w:eastAsia="Arial" w:hAnsi="Arial"/>
          <w:sz w:val="20"/>
          <w:szCs w:val="20"/>
          <w:color w:val="auto"/>
        </w:rPr>
      </w:pPr>
    </w:p>
    <w:p>
      <w:pPr>
        <w:ind w:left="720" w:hanging="360"/>
        <w:spacing w:after="0" w:line="259"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78" w:lineRule="exact"/>
        <w:rPr>
          <w:rFonts w:ascii="Arial" w:cs="Arial" w:eastAsia="Arial" w:hAnsi="Arial"/>
          <w:sz w:val="20"/>
          <w:szCs w:val="20"/>
          <w:color w:val="auto"/>
        </w:rPr>
      </w:pPr>
    </w:p>
    <w:p>
      <w:pPr>
        <w:ind w:left="720" w:right="180" w:hanging="360"/>
        <w:spacing w:after="0" w:line="263" w:lineRule="auto"/>
        <w:tabs>
          <w:tab w:leader="none" w:pos="720" w:val="left"/>
        </w:tabs>
        <w:numPr>
          <w:ilvl w:val="0"/>
          <w:numId w:val="33"/>
        </w:numPr>
        <w:rPr>
          <w:rFonts w:ascii="Arial" w:cs="Arial" w:eastAsia="Arial" w:hAnsi="Arial"/>
          <w:sz w:val="19"/>
          <w:szCs w:val="19"/>
          <w:color w:val="auto"/>
        </w:rPr>
      </w:pPr>
      <w:r>
        <w:rPr>
          <w:rFonts w:ascii="Times New Roman" w:cs="Times New Roman" w:eastAsia="Times New Roman" w:hAnsi="Times New Roman"/>
          <w:sz w:val="19"/>
          <w:szCs w:val="19"/>
          <w:color w:val="auto"/>
        </w:rPr>
        <w:t>the federal transparency requirements, sometimes referred to as the “Sunshine Act,” under the Affordable Care Act, require manufacturers of drugs, devices, biologics, and medical supplies to report to CMS information related to payments and other transfers of value provided to physicians (defined to include doctors, dentists, optometrists, podiatrists and chiropractors), physician assistants, nurse practitioners, clinical nurse specialists, certified nurse anesthetists, certified nurse-midwives and teaching hospitals, as well as ownership and investment interests held by physicians and their immediate family members;</w:t>
      </w:r>
    </w:p>
    <w:p>
      <w:pPr>
        <w:spacing w:after="0" w:line="76" w:lineRule="exact"/>
        <w:rPr>
          <w:rFonts w:ascii="Arial" w:cs="Arial" w:eastAsia="Arial" w:hAnsi="Arial"/>
          <w:sz w:val="19"/>
          <w:szCs w:val="19"/>
          <w:color w:val="auto"/>
        </w:rPr>
      </w:pPr>
    </w:p>
    <w:p>
      <w:pPr>
        <w:ind w:left="720" w:hanging="360"/>
        <w:spacing w:after="0" w:line="278"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federal consumer protection and unfair competition laws, which broadly regulate marketplace activities and activities that potentially harm consumers; and</w:t>
      </w:r>
    </w:p>
    <w:p>
      <w:pPr>
        <w:spacing w:after="0" w:line="60" w:lineRule="exact"/>
        <w:rPr>
          <w:rFonts w:ascii="Arial" w:cs="Arial" w:eastAsia="Arial" w:hAnsi="Arial"/>
          <w:sz w:val="20"/>
          <w:szCs w:val="20"/>
          <w:color w:val="auto"/>
        </w:rPr>
      </w:pPr>
    </w:p>
    <w:p>
      <w:pPr>
        <w:ind w:left="720" w:right="60" w:hanging="360"/>
        <w:spacing w:after="0" w:line="246" w:lineRule="auto"/>
        <w:tabs>
          <w:tab w:leader="none" w:pos="720" w:val="left"/>
        </w:tabs>
        <w:numPr>
          <w:ilvl w:val="0"/>
          <w:numId w:val="33"/>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79"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Ensuring that our future business arrangements with third parties comply with applicable healthcare laws and regulations could be costly.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found to be in violation of any of these laws or any other governmental regulations that may apply to us, we may be subject to significant civil, criminal and administrative penalties, damages, fines and exclusion from government funded healthcare programs, such as Medicare and Medicaid, any of which could substantially disrupt our operations and would materially adversely affect our business, financial condition and results of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which could have a material adverse effect on our business, results of operations, financial condition and prospects.</w:t>
      </w:r>
    </w:p>
    <w:p>
      <w:pPr>
        <w:spacing w:after="0" w:line="87"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Healthcare legislation, including potentially unfavorable pricing regulations or other healthcare reform initiatives may increase the difficulty and cost for us to obtain marketing approval of and commercialize our product candidates.</w:t>
      </w:r>
    </w:p>
    <w:p>
      <w:pPr>
        <w:spacing w:after="0" w:line="64" w:lineRule="exact"/>
        <w:rPr>
          <w:sz w:val="20"/>
          <w:szCs w:val="20"/>
          <w:color w:val="auto"/>
        </w:rPr>
      </w:pPr>
    </w:p>
    <w:p>
      <w:pPr>
        <w:ind w:right="40" w:firstLine="490"/>
        <w:spacing w:after="0" w:line="260" w:lineRule="auto"/>
        <w:rPr>
          <w:sz w:val="20"/>
          <w:szCs w:val="20"/>
          <w:color w:val="auto"/>
        </w:rPr>
      </w:pPr>
      <w:r>
        <w:rPr>
          <w:rFonts w:ascii="Times New Roman" w:cs="Times New Roman" w:eastAsia="Times New Roman" w:hAnsi="Times New Roman"/>
          <w:sz w:val="19"/>
          <w:szCs w:val="19"/>
          <w:color w:val="auto"/>
        </w:rPr>
        <w:t>The commercial potential for our approved products, if any, could be affected by changes in healthcare spending and policy in the United States and abroad. We operate in a highly regulated industry.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The United States and many foreign jurisdictions have enacted or proposed legislative and regulatory changes affecting the healthcare system that may affect our ability to profitably sell our product and product candidates, if approved. The United States government, state legislatures and foreign governments also have shown significant interest in implementing cost-containment programs to limit the</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340"/>
          </w:cols>
          <w:pgMar w:left="1260" w:top="1238" w:right="1280" w:bottom="0" w:gutter="0" w:footer="0" w:header="0"/>
          <w:type w:val="continuous"/>
        </w:sectPr>
      </w:pPr>
    </w:p>
    <w:bookmarkStart w:id="52" w:name="page53"/>
    <w:bookmarkEnd w:id="52"/>
    <w:p>
      <w:pPr>
        <w:ind w:right="1000"/>
        <w:spacing w:after="0" w:line="279" w:lineRule="auto"/>
        <w:rPr>
          <w:sz w:val="20"/>
          <w:szCs w:val="20"/>
          <w:color w:val="auto"/>
        </w:rPr>
      </w:pPr>
      <w:r>
        <w:rPr>
          <w:rFonts w:ascii="Times New Roman" w:cs="Times New Roman" w:eastAsia="Times New Roman" w:hAnsi="Times New Roman"/>
          <w:sz w:val="20"/>
          <w:szCs w:val="20"/>
          <w:color w:val="auto"/>
        </w:rPr>
        <w:t>growth of government-paid healthcare costs, including price controls, restrictions on reimbursement and requirements for substitution of generic products for branded prescription drugs.</w:t>
      </w:r>
    </w:p>
    <w:p>
      <w:pPr>
        <w:spacing w:after="0" w:line="45"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Affordable Care Act was intended to broaden access to health insurance, reduce or constrain the growth of healthcare spending, enhance remedies against fraud and abuse, add transparency requirements for the healthcare and health insurance industries, impose new taxes and fees on the health industry and impose additional health policy reforms. There have been significant ongoing administrative, executive and legislative efforts to modify or eliminate the Affordable Care Act. For example, the Tax Act enacted on December 22, 2017, repealed the shared responsibility payment for individuals who fail to maintain minimum essential coverage under section 5000A of the Internal Revenue Code, commonly referred to as the individual mandate. Other legislative changes have been proposed and adopted since the passage of the Affordable Care Act. The Budget Control Act of 2011,and subsequent legislation triggered reductions to Medicare payments to healthcare providers of up to 2.0% per fiscal year, which will remain in effect through 2031 unless additional Congressional action is taken. The American Taxpayer Relief Act was signed into law in 2013, which, among other things,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83" w:lineRule="exact"/>
        <w:rPr>
          <w:sz w:val="20"/>
          <w:szCs w:val="20"/>
          <w:color w:val="auto"/>
        </w:rPr>
      </w:pPr>
    </w:p>
    <w:p>
      <w:pPr>
        <w:ind w:right="60" w:firstLine="490"/>
        <w:spacing w:after="0" w:line="263" w:lineRule="auto"/>
        <w:rPr>
          <w:sz w:val="20"/>
          <w:szCs w:val="20"/>
          <w:color w:val="auto"/>
        </w:rPr>
      </w:pPr>
      <w:r>
        <w:rPr>
          <w:rFonts w:ascii="Times New Roman" w:cs="Times New Roman" w:eastAsia="Times New Roman" w:hAnsi="Times New Roman"/>
          <w:sz w:val="19"/>
          <w:szCs w:val="19"/>
          <w:color w:val="auto"/>
        </w:rPr>
        <w:t>Most recently, the IRA includes several provisions that will impact our business to varying degrees, including provisions that reduce the out-of-pocket cap for Medicare Part D beneficiaries to $2,000 starting in 2025; impose new manufacturer financial liability on certain drugs in Medicare Part D, allow the U.S. government to negotiate Medicare Part B and Part D price caps for certain high-cost drugs and biologics without generic or biosimilar competition, require companies to pay rebates to Medicare B and Part D for certain drug prices that increase faster than inflation, and delay the rebate rule that would limit the fees that pharmacy benefit managers can charge.</w:t>
      </w:r>
    </w:p>
    <w:p>
      <w:pPr>
        <w:spacing w:after="0" w:line="63"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expect that changes to the Affordable Care Act, the Medicare and Medicaid programs,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healthcare industry.</w:t>
      </w:r>
    </w:p>
    <w:p>
      <w:pPr>
        <w:spacing w:after="0" w:line="70"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70"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We expect that additional federal, state and foreign healthcare reform measures will be adopted in the future, any of which could limit the amounts that federal and state governments will pay for healthcare products and services, which could result in limited coverage and reimbursement and reduced demand for our products, once approved, or additional pricing pressures.</w:t>
      </w:r>
    </w:p>
    <w:p>
      <w:pPr>
        <w:spacing w:after="0" w:line="5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Even if approved, reimbursement policies could limit our ability to sell product candidates that we elect to sell on our own.</w:t>
      </w:r>
    </w:p>
    <w:p>
      <w:pPr>
        <w:spacing w:after="0" w:line="6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If approved by regulatory authorities, market acceptance and sales of product candidates that we elect to sell on our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We cannot be sure that reimbursement will be available for CTI-1601, if approved, or future product candidates that we elect to sell on our own and, if reimbursement is available, the level of such reimbursement. Reimbursement may impact the demand for, or the price of, product candidates that we elect to. If reimbursement is not available or is available only at limited levels, we may not be able to successfully commercialize product candidates that we elect to sell.</w:t>
      </w:r>
    </w:p>
    <w:p>
      <w:pPr>
        <w:spacing w:after="0" w:line="88" w:lineRule="exact"/>
        <w:rPr>
          <w:sz w:val="20"/>
          <w:szCs w:val="20"/>
          <w:color w:val="auto"/>
        </w:rPr>
      </w:pPr>
    </w:p>
    <w:p>
      <w:pPr>
        <w:ind w:right="40" w:firstLine="490"/>
        <w:spacing w:after="0" w:line="247" w:lineRule="auto"/>
        <w:rPr>
          <w:sz w:val="20"/>
          <w:szCs w:val="20"/>
          <w:color w:val="auto"/>
        </w:rPr>
      </w:pPr>
      <w:r>
        <w:rPr>
          <w:rFonts w:ascii="Times New Roman" w:cs="Times New Roman" w:eastAsia="Times New Roman" w:hAnsi="Times New Roman"/>
          <w:sz w:val="20"/>
          <w:szCs w:val="20"/>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we may be required to conduct a clinical trial that compares the cost-effectiveness of product candidates that we elect to sell on our own with other available therapies. If reimbursement for product candidates that we elect to sell on our own is</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340"/>
          </w:cols>
          <w:pgMar w:left="1260" w:top="1238" w:right="1280" w:bottom="0" w:gutter="0" w:footer="0" w:header="0"/>
          <w:type w:val="continuous"/>
        </w:sectPr>
      </w:pPr>
    </w:p>
    <w:bookmarkStart w:id="53" w:name="page54"/>
    <w:bookmarkEnd w:id="53"/>
    <w:p>
      <w:pPr>
        <w:jc w:val="both"/>
        <w:ind w:right="200"/>
        <w:spacing w:after="0" w:line="259" w:lineRule="auto"/>
        <w:rPr>
          <w:sz w:val="20"/>
          <w:szCs w:val="20"/>
          <w:color w:val="auto"/>
        </w:rPr>
      </w:pPr>
      <w:r>
        <w:rPr>
          <w:rFonts w:ascii="Times New Roman" w:cs="Times New Roman" w:eastAsia="Times New Roman" w:hAnsi="Times New Roman"/>
          <w:sz w:val="20"/>
          <w:szCs w:val="20"/>
          <w:color w:val="auto"/>
        </w:rPr>
        <w:t>unavailable in any country in which we seek reimbursement, if it is limited in scope or amount, if it is conditioned upon our completion of additional clinical trials, or if pricing is set at unsatisfactory levels, our business, financial conditions and results of operations could be materially adversely affected.</w:t>
      </w:r>
    </w:p>
    <w:p>
      <w:pPr>
        <w:spacing w:after="0" w:line="67"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Even if we obtain regulatory and marketing approval for a product candidate, our product candidates will remain subject to regulatory oversight.</w:t>
      </w:r>
    </w:p>
    <w:p>
      <w:pPr>
        <w:spacing w:after="0" w:line="4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Even if we receive marketing and regulatory approval for CTI-1601 or a future product candidate, regulatory authorities may still impose significant restrictions on the indicated uses or marketing or impose ongoing requirements for potentially costly post-approval studies. CTI-1601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 unsuccessful post-marketing study or failure to complete such a study could result in the withdrawal of marketing approval. Any regulatory approvals that we receive for CTI-1601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87"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we, or a regulatory authority, discover(s) previously unknown problems with a product, such as adverse events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requiring recall or withdrawal of the product from the market or suspension of manufacturing.</w:t>
      </w:r>
    </w:p>
    <w:p>
      <w:pPr>
        <w:spacing w:after="0" w:line="82" w:lineRule="exact"/>
        <w:rPr>
          <w:sz w:val="20"/>
          <w:szCs w:val="20"/>
          <w:color w:val="auto"/>
        </w:rPr>
      </w:pPr>
    </w:p>
    <w:p>
      <w:pPr>
        <w:ind w:right="320" w:firstLine="490"/>
        <w:spacing w:after="0" w:line="279" w:lineRule="auto"/>
        <w:rPr>
          <w:sz w:val="20"/>
          <w:szCs w:val="20"/>
          <w:color w:val="auto"/>
        </w:rPr>
      </w:pPr>
      <w:r>
        <w:rPr>
          <w:rFonts w:ascii="Times New Roman" w:cs="Times New Roman" w:eastAsia="Times New Roman" w:hAnsi="Times New Roman"/>
          <w:sz w:val="20"/>
          <w:szCs w:val="20"/>
          <w:color w:val="auto"/>
        </w:rPr>
        <w:t>If we or our contractors fail to comply with applicable regulatory requirements following approval of CTI-1601, a regulatory authority may:</w:t>
      </w:r>
    </w:p>
    <w:p>
      <w:pPr>
        <w:spacing w:after="0" w:line="60" w:lineRule="exact"/>
        <w:rPr>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issue a warning letter, or untitled letter asserting that we are in violation of the law;</w:t>
      </w:r>
    </w:p>
    <w:p>
      <w:pPr>
        <w:spacing w:after="0" w:line="133" w:lineRule="exact"/>
        <w:rPr>
          <w:rFonts w:ascii="Arial" w:cs="Arial" w:eastAsia="Arial" w:hAnsi="Arial"/>
          <w:sz w:val="20"/>
          <w:szCs w:val="20"/>
          <w:color w:val="auto"/>
        </w:rPr>
      </w:pPr>
    </w:p>
    <w:p>
      <w:pPr>
        <w:ind w:left="720" w:right="20" w:hanging="360"/>
        <w:spacing w:after="0" w:line="278" w:lineRule="auto"/>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require us to enter into a consent decree, which can include imposition of various fines, reimbursements for inspection costs, required due dates for specific actions and penalties for non-compliance;</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request voluntary product recalls;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seek an injunction or impose administrative, civil or criminal penalties or monetary fines;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suspend or withdraw regulatory approval;</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suspend any ongoing clinical trials;</w:t>
      </w:r>
    </w:p>
    <w:p>
      <w:pPr>
        <w:spacing w:after="0" w:line="133" w:lineRule="exact"/>
        <w:rPr>
          <w:rFonts w:ascii="Arial" w:cs="Arial" w:eastAsia="Arial" w:hAnsi="Arial"/>
          <w:sz w:val="20"/>
          <w:szCs w:val="20"/>
          <w:color w:val="auto"/>
        </w:rPr>
      </w:pPr>
    </w:p>
    <w:p>
      <w:pPr>
        <w:ind w:left="720" w:right="1000" w:hanging="360"/>
        <w:spacing w:after="0" w:line="278" w:lineRule="auto"/>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refuse to approve a pending BLA or NDA or comparable foreign marketing application (or any supplements thereto) submitted by us;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restrict the marketing or manufacturing of the product;</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seize or detain the product or otherwise require the withdrawal of the product from the market;</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refuse to permit the import or export of product candidates; or</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4"/>
        </w:numPr>
        <w:rPr>
          <w:rFonts w:ascii="Arial" w:cs="Arial" w:eastAsia="Arial" w:hAnsi="Arial"/>
          <w:sz w:val="20"/>
          <w:szCs w:val="20"/>
          <w:color w:val="auto"/>
        </w:rPr>
      </w:pPr>
      <w:r>
        <w:rPr>
          <w:rFonts w:ascii="Times New Roman" w:cs="Times New Roman" w:eastAsia="Times New Roman" w:hAnsi="Times New Roman"/>
          <w:sz w:val="20"/>
          <w:szCs w:val="20"/>
          <w:color w:val="auto"/>
        </w:rPr>
        <w:t>refuse to allow us to enter into supply contracts, including government contracts.</w:t>
      </w:r>
    </w:p>
    <w:p>
      <w:pPr>
        <w:spacing w:after="0" w:line="119"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Any government investigation of alleged violations of law could require us to expend significant time and resources in response and could generate negative publicity. The occurrence of any event or penalty described above</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340"/>
          </w:cols>
          <w:pgMar w:left="1260" w:top="1238" w:right="1280" w:bottom="0" w:gutter="0" w:footer="0" w:header="0"/>
          <w:type w:val="continuous"/>
        </w:sectPr>
      </w:pPr>
    </w:p>
    <w:bookmarkStart w:id="54" w:name="page55"/>
    <w:bookmarkEnd w:id="54"/>
    <w:p>
      <w:pPr>
        <w:ind w:right="660"/>
        <w:spacing w:after="0" w:line="279" w:lineRule="auto"/>
        <w:rPr>
          <w:sz w:val="20"/>
          <w:szCs w:val="20"/>
          <w:color w:val="auto"/>
        </w:rPr>
      </w:pPr>
      <w:r>
        <w:rPr>
          <w:rFonts w:ascii="Times New Roman" w:cs="Times New Roman" w:eastAsia="Times New Roman" w:hAnsi="Times New Roman"/>
          <w:sz w:val="20"/>
          <w:szCs w:val="20"/>
          <w:color w:val="auto"/>
        </w:rPr>
        <w:t>may inhibit our ability to commercialize CTI-1601, if approved, and adversely affect our business, financial condition, results of operations and prospects.</w:t>
      </w:r>
    </w:p>
    <w:p>
      <w:pPr>
        <w:spacing w:after="0" w:line="45"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In addition, the FDA’s policies, and those of equivalent foreign regulatory agencies, may change and additional government regulations may be enacted that could prevent, limit or delay regulatory approval of CTI-1601.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materially and adversely affect our business, financial condition, results of operations and prospects.</w:t>
      </w:r>
    </w:p>
    <w:p>
      <w:pPr>
        <w:spacing w:after="0" w:line="83"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marketing approval for CTI-1601 in the United States, we may never receive regulatory approval to market CTI-1601 outside of the United States.</w:t>
      </w:r>
    </w:p>
    <w:p>
      <w:pPr>
        <w:spacing w:after="0" w:line="4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may pursue marketing approval for CTI-1601 in the United States, the European Union and in other jurisdictions worldwide. In order to market any product outside of the United States, we must establish and comply with the numerous and varying safety, efficacy and other regulatory requirements of other jurisdictions, including potential additional clinical trials and/or non-clinical studies. Approval procedures vary among jurisdictions and can involve additional testing and additional administrative review periods. The time required to obtain approvals in other jurisdictions might differ from that required to obtain FDA approval. The marketing approval processes in other jurisdictions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jurisdiction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our ability to market a product candidate in such foreign markets. Any such impairment would reduce the size of our potential market, which could have a material adverse impact on our business, financial condition, results of operations and prospects.</w:t>
      </w:r>
    </w:p>
    <w:p>
      <w:pPr>
        <w:spacing w:after="0" w:line="91"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future growth depends, in part, on our ability to penetrate foreign markets, where we would be subject to additional regulatory burdens and other risks and uncertainties.</w:t>
      </w:r>
    </w:p>
    <w:p>
      <w:pPr>
        <w:spacing w:after="0" w:line="46" w:lineRule="exact"/>
        <w:rPr>
          <w:sz w:val="20"/>
          <w:szCs w:val="20"/>
          <w:color w:val="auto"/>
        </w:rPr>
      </w:pPr>
    </w:p>
    <w:p>
      <w:pPr>
        <w:ind w:right="20" w:firstLine="490"/>
        <w:spacing w:after="0" w:line="249" w:lineRule="auto"/>
        <w:rPr>
          <w:sz w:val="20"/>
          <w:szCs w:val="20"/>
          <w:color w:val="auto"/>
        </w:rPr>
      </w:pPr>
      <w:r>
        <w:rPr>
          <w:rFonts w:ascii="Times New Roman" w:cs="Times New Roman" w:eastAsia="Times New Roman" w:hAnsi="Times New Roman"/>
          <w:sz w:val="20"/>
          <w:szCs w:val="20"/>
          <w:color w:val="auto"/>
        </w:rPr>
        <w:t>The prevalence of FA is estimated to be approximately three times greater in the European Union than in the United States, and, therefore, represents our largest potential market for CTI-1601. Our future profitability will depend, in part, on our ability to commercialize CTI-1601 and future product candidates in the European Union and other foreign markets for which we may rely on collaborations with third parties. If we commercialize a product candidate in foreign markets, we would be subject to additional risks and uncertainties, including:</w:t>
      </w:r>
    </w:p>
    <w:p>
      <w:pPr>
        <w:spacing w:after="0" w:line="91" w:lineRule="exact"/>
        <w:rPr>
          <w:sz w:val="20"/>
          <w:szCs w:val="20"/>
          <w:color w:val="auto"/>
        </w:rPr>
      </w:pPr>
    </w:p>
    <w:p>
      <w:pPr>
        <w:ind w:left="720" w:hanging="360"/>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customers’ ability to obtain reimbursement for a product candidate in foreign markets;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compliance with the FCPA;</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directly control commercial activities because we may need to rely on third parties;</w:t>
      </w:r>
    </w:p>
    <w:p>
      <w:pPr>
        <w:spacing w:after="0" w:line="133" w:lineRule="exact"/>
        <w:rPr>
          <w:rFonts w:ascii="Arial" w:cs="Arial" w:eastAsia="Arial" w:hAnsi="Arial"/>
          <w:sz w:val="20"/>
          <w:szCs w:val="20"/>
          <w:color w:val="auto"/>
        </w:rPr>
      </w:pPr>
    </w:p>
    <w:p>
      <w:pPr>
        <w:ind w:left="720" w:right="740" w:hanging="360"/>
        <w:spacing w:after="0" w:line="278" w:lineRule="auto"/>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the burden of complying with complex and changing foreign regulatory, tax, accounting and legal requirements;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different medical practices and customs in foreign countries affecting acceptance in the marketplace;</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import or export licensing requirements;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longer accounts receivable collection times;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longer lead times for shipping;</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language barriers for technical training;</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reduced protection of intellectual property rights in some foreign countries;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5"/>
        </w:numPr>
        <w:rPr>
          <w:rFonts w:ascii="Arial" w:cs="Arial" w:eastAsia="Arial" w:hAnsi="Arial"/>
          <w:sz w:val="20"/>
          <w:szCs w:val="20"/>
          <w:color w:val="auto"/>
        </w:rPr>
      </w:pPr>
      <w:r>
        <w:rPr>
          <w:rFonts w:ascii="Times New Roman" w:cs="Times New Roman" w:eastAsia="Times New Roman" w:hAnsi="Times New Roman"/>
          <w:sz w:val="20"/>
          <w:szCs w:val="20"/>
          <w:color w:val="auto"/>
        </w:rPr>
        <w:t>foreign currency exchange rate fluctuations; and</w:t>
      </w:r>
    </w:p>
    <w:p>
      <w:pPr>
        <w:sectPr>
          <w:pgSz w:w="11880" w:h="15480" w:orient="portrait"/>
          <w:cols w:equalWidth="0" w:num="1">
            <w:col w:w="9300"/>
          </w:cols>
          <w:pgMar w:left="1260" w:top="1238" w:right="1320" w:bottom="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300"/>
          </w:cols>
          <w:pgMar w:left="1260" w:top="1238" w:right="1320" w:bottom="0" w:gutter="0" w:footer="0" w:header="0"/>
          <w:type w:val="continuous"/>
        </w:sectPr>
      </w:pPr>
    </w:p>
    <w:bookmarkStart w:id="55" w:name="page56"/>
    <w:bookmarkEnd w:id="55"/>
    <w:p>
      <w:pPr>
        <w:ind w:left="720" w:hanging="360"/>
        <w:spacing w:after="0"/>
        <w:tabs>
          <w:tab w:leader="none" w:pos="720" w:val="left"/>
        </w:tabs>
        <w:numPr>
          <w:ilvl w:val="0"/>
          <w:numId w:val="36"/>
        </w:numPr>
        <w:rPr>
          <w:rFonts w:ascii="Arial" w:cs="Arial" w:eastAsia="Arial" w:hAnsi="Arial"/>
          <w:sz w:val="20"/>
          <w:szCs w:val="20"/>
          <w:color w:val="auto"/>
        </w:rPr>
      </w:pPr>
      <w:r>
        <w:rPr>
          <w:rFonts w:ascii="Times New Roman" w:cs="Times New Roman" w:eastAsia="Times New Roman" w:hAnsi="Times New Roman"/>
          <w:sz w:val="20"/>
          <w:szCs w:val="20"/>
          <w:color w:val="auto"/>
        </w:rPr>
        <w:t>the interpretation of contractual provisions governed by foreign laws in the event of a contract dispute.</w:t>
      </w:r>
    </w:p>
    <w:p>
      <w:pPr>
        <w:spacing w:after="0" w:line="119"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Sales in the European Union and other foreign markets of a product candidate could also be adversely affected by the imposition of governmental controls, political and economic instability, trade restrictions and changes in tariffs.</w:t>
      </w:r>
    </w:p>
    <w:p>
      <w:pPr>
        <w:spacing w:after="0" w:line="67"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establish sales and marketing capabilities or enter into agreements with third parties to market and sell CTI-1601, if approved, we may not be able to generate any revenue.</w:t>
      </w:r>
    </w:p>
    <w:p>
      <w:pPr>
        <w:spacing w:after="0" w:line="4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do not currently have an established infrastructure for the sales, marketing and distribution of biologic or drug products in the United States or foreign countries. In order to market a product candidate, if approved by the FDA or any other regulatory authority, we must build our sales, marketing, managerial and other non-technical capabilities or make arrangements with third parties to perform these services. If we are unable to establish adequate sales, marketing and distribution capabilities, whether independently or with third parties, or if we are unable to do so on commercially reasonable terms, our business, results of operations, financial condition and prospects will be materially adversely affected.</w:t>
      </w:r>
    </w:p>
    <w:p>
      <w:pPr>
        <w:spacing w:after="0" w:line="81"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Even if we receive marketing approval for CTI-1601, we may not achieve broad market acceptance, which would limit the revenue that we generate from our sales.</w:t>
      </w:r>
    </w:p>
    <w:p>
      <w:pPr>
        <w:spacing w:after="0" w:line="46"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The commercial success of CTI-1601, if developed and approved for marketing by the FDA or EMA or other applicable regulatory authorities, will depend upon the market size for, and the awareness and acceptance of CTI-1601 among the medical community, including physicians, patients, advocacy groups and healthcare payors. Market acceptance of CTI-1601, if approved, will depend on a number of factors, including, among others:</w:t>
      </w:r>
    </w:p>
    <w:p>
      <w:pPr>
        <w:spacing w:after="0" w:line="85" w:lineRule="exact"/>
        <w:rPr>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if the actual number of patients with FA is lower than we believe;</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relative convenience and ease of subcutaneous injections as the necessary method of administration;</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prevalence and severity of any adverse side effects associated with CTI-1601;</w:t>
      </w:r>
    </w:p>
    <w:p>
      <w:pPr>
        <w:spacing w:after="0" w:line="133" w:lineRule="exact"/>
        <w:rPr>
          <w:rFonts w:ascii="Arial" w:cs="Arial" w:eastAsia="Arial" w:hAnsi="Arial"/>
          <w:sz w:val="20"/>
          <w:szCs w:val="20"/>
          <w:color w:val="auto"/>
        </w:rPr>
      </w:pPr>
    </w:p>
    <w:p>
      <w:pPr>
        <w:ind w:left="720" w:right="140" w:hanging="360"/>
        <w:spacing w:after="0" w:line="259"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limitations or warnings contained in the labeling approved for CTI-1601 by the FDA, EMA, or other regulatory authorities, such as a “boxed” warning or if any approval that we obtain is based on a narrower definition of possible patient populations;</w:t>
      </w:r>
    </w:p>
    <w:p>
      <w:pPr>
        <w:spacing w:after="0" w:line="78" w:lineRule="exact"/>
        <w:rPr>
          <w:rFonts w:ascii="Arial" w:cs="Arial" w:eastAsia="Arial" w:hAnsi="Arial"/>
          <w:sz w:val="20"/>
          <w:szCs w:val="20"/>
          <w:color w:val="auto"/>
        </w:rPr>
      </w:pPr>
    </w:p>
    <w:p>
      <w:pPr>
        <w:ind w:left="720" w:right="160" w:hanging="360"/>
        <w:spacing w:after="0" w:line="306" w:lineRule="auto"/>
        <w:tabs>
          <w:tab w:leader="none" w:pos="720" w:val="left"/>
        </w:tabs>
        <w:numPr>
          <w:ilvl w:val="0"/>
          <w:numId w:val="37"/>
        </w:numPr>
        <w:rPr>
          <w:rFonts w:ascii="Arial" w:cs="Arial" w:eastAsia="Arial" w:hAnsi="Arial"/>
          <w:sz w:val="19"/>
          <w:szCs w:val="19"/>
          <w:color w:val="auto"/>
        </w:rPr>
      </w:pPr>
      <w:r>
        <w:rPr>
          <w:rFonts w:ascii="Times New Roman" w:cs="Times New Roman" w:eastAsia="Times New Roman" w:hAnsi="Times New Roman"/>
          <w:sz w:val="19"/>
          <w:szCs w:val="19"/>
          <w:color w:val="auto"/>
        </w:rPr>
        <w:t>availability of alternative treatments, including any competitive FA therapies approved or in development that have been or could be approved or commercially launched prior to approval of CTI-1601;</w:t>
      </w:r>
    </w:p>
    <w:p>
      <w:pPr>
        <w:spacing w:after="0" w:line="36" w:lineRule="exact"/>
        <w:rPr>
          <w:rFonts w:ascii="Arial" w:cs="Arial" w:eastAsia="Arial" w:hAnsi="Arial"/>
          <w:sz w:val="19"/>
          <w:szCs w:val="19"/>
          <w:color w:val="auto"/>
        </w:rPr>
      </w:pPr>
    </w:p>
    <w:p>
      <w:pPr>
        <w:ind w:left="720" w:right="360" w:hanging="360"/>
        <w:spacing w:after="0" w:line="278"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of the target patient population to try new therapies and of physicians to prescribe these therapies;</w:t>
      </w:r>
    </w:p>
    <w:p>
      <w:pPr>
        <w:spacing w:after="0" w:line="60" w:lineRule="exact"/>
        <w:rPr>
          <w:rFonts w:ascii="Arial" w:cs="Arial" w:eastAsia="Arial" w:hAnsi="Arial"/>
          <w:sz w:val="20"/>
          <w:szCs w:val="20"/>
          <w:color w:val="auto"/>
        </w:rPr>
      </w:pPr>
    </w:p>
    <w:p>
      <w:pPr>
        <w:ind w:left="720" w:right="680" w:hanging="360"/>
        <w:spacing w:after="0" w:line="278"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strength of marketing and distribution support and timing of market introduction of competitive products;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publicity concerning our products or competing products and treatments;</w:t>
      </w:r>
    </w:p>
    <w:p>
      <w:pPr>
        <w:spacing w:after="0" w:line="114" w:lineRule="exact"/>
        <w:rPr>
          <w:rFonts w:ascii="Arial" w:cs="Arial" w:eastAsia="Arial" w:hAnsi="Arial"/>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pricing;</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patient acceptance of the cost and inconvenience associated with refrigerated storage for CTI-1601;</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payor acceptance;</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political pressure on pharmaceutical pricing;</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pressure on orphan drug pricing for affected patient groups;</w:t>
      </w:r>
    </w:p>
    <w:p>
      <w:pPr>
        <w:spacing w:after="0" w:line="110" w:lineRule="exact"/>
        <w:rPr>
          <w:rFonts w:ascii="Arial" w:cs="Arial" w:eastAsia="Arial" w:hAnsi="Arial"/>
          <w:sz w:val="20"/>
          <w:szCs w:val="20"/>
          <w:color w:val="auto"/>
        </w:rPr>
      </w:pPr>
    </w:p>
    <w:p>
      <w:pPr>
        <w:ind w:left="720" w:right="20" w:hanging="360"/>
        <w:spacing w:after="0" w:line="254" w:lineRule="auto"/>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impact of any future changes in U.S. healthcare, including medical financial assistance or a transition to a single-payor system;</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the effectiveness of our sales and marketing strategies;</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increase awareness of CTI-1601 through marketing efforts;</w:t>
      </w:r>
    </w:p>
    <w:p>
      <w:pPr>
        <w:sectPr>
          <w:pgSz w:w="11880" w:h="15480" w:orient="portrait"/>
          <w:cols w:equalWidth="0" w:num="1">
            <w:col w:w="9340"/>
          </w:cols>
          <w:pgMar w:left="1260" w:top="12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340"/>
          </w:cols>
          <w:pgMar w:left="1260" w:top="1253" w:right="1280" w:bottom="0" w:gutter="0" w:footer="0" w:header="0"/>
          <w:type w:val="continuous"/>
        </w:sectPr>
      </w:pPr>
    </w:p>
    <w:bookmarkStart w:id="56" w:name="page57"/>
    <w:bookmarkEnd w:id="56"/>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sufficient third-party coverage or reimbursement;</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willingness or ability of patients to pay out-of-pocket in the absence of third-party coverage; and</w:t>
      </w:r>
    </w:p>
    <w:p>
      <w:pPr>
        <w:spacing w:after="0" w:line="110" w:lineRule="exact"/>
        <w:rPr>
          <w:rFonts w:ascii="Arial" w:cs="Arial" w:eastAsia="Arial" w:hAnsi="Arial"/>
          <w:sz w:val="20"/>
          <w:szCs w:val="20"/>
          <w:color w:val="auto"/>
        </w:rPr>
      </w:pPr>
    </w:p>
    <w:p>
      <w:pPr>
        <w:ind w:left="720" w:right="180" w:hanging="360"/>
        <w:spacing w:after="0" w:line="236" w:lineRule="auto"/>
        <w:tabs>
          <w:tab w:leader="none" w:pos="720" w:val="left"/>
        </w:tabs>
        <w:numPr>
          <w:ilvl w:val="0"/>
          <w:numId w:val="38"/>
        </w:numPr>
        <w:rPr>
          <w:rFonts w:ascii="Arial" w:cs="Arial" w:eastAsia="Arial" w:hAnsi="Arial"/>
          <w:sz w:val="20"/>
          <w:szCs w:val="20"/>
          <w:color w:val="auto"/>
        </w:rPr>
      </w:pPr>
      <w:r>
        <w:rPr>
          <w:rFonts w:ascii="Times New Roman" w:cs="Times New Roman" w:eastAsia="Times New Roman" w:hAnsi="Times New Roman"/>
          <w:sz w:val="20"/>
          <w:szCs w:val="20"/>
          <w:color w:val="auto"/>
        </w:rPr>
        <w:t>the likelihood that the FDA may require development of a REMS, as a condition of approval or post-approval or may not agree with our proposed REMS or may impose additional requirements that limit the promotion, advertising, distribution or sales of our product candidates.</w:t>
      </w:r>
    </w:p>
    <w:p>
      <w:pPr>
        <w:spacing w:after="0" w:line="80"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If CTI-1601 is approved but does not achieve an adequate level of acceptance by patients, advocacy groups, physicians and payors, we may not generate sufficient revenue from CTI-1601 to become or remain profitable and our business, financial condition and results of operations could be materially adversely affected. Our efforts to educate the medical community and third-party payors about the benefits of CTI-1601 may require significant resources and may never be successful.</w:t>
      </w:r>
    </w:p>
    <w:p>
      <w:pPr>
        <w:spacing w:after="0" w:line="60" w:lineRule="exact"/>
        <w:rPr>
          <w:sz w:val="20"/>
          <w:szCs w:val="20"/>
          <w:color w:val="auto"/>
        </w:rPr>
      </w:pPr>
    </w:p>
    <w:p>
      <w:pPr>
        <w:jc w:val="both"/>
        <w:ind w:right="160"/>
        <w:spacing w:after="0" w:line="236" w:lineRule="auto"/>
        <w:rPr>
          <w:sz w:val="20"/>
          <w:szCs w:val="20"/>
          <w:color w:val="auto"/>
        </w:rPr>
      </w:pPr>
      <w:r>
        <w:rPr>
          <w:rFonts w:ascii="Times New Roman" w:cs="Times New Roman" w:eastAsia="Times New Roman" w:hAnsi="Times New Roman"/>
          <w:sz w:val="20"/>
          <w:szCs w:val="20"/>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8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 FDA and other regulatory agencies strictly regulate the promotional claims that may be made about prescription products, such as CTI-1601 or any potential product candidates, if approved. If we receive marketing approval for CTI-1601, or any potential product candidates, physicians may prescribe our product candidates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we cannot successfully manage the promotion of CTI-1601 or any potential product candidates, if approved, we could become subject to significant liability, which would materially adversely affect our business, financial condition and results of operations.</w:t>
      </w:r>
    </w:p>
    <w:p>
      <w:pPr>
        <w:spacing w:after="0" w:line="6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Additional competing technologies could emerge, adversely affecting our opportunity to generate revenue from the sale of CTI-1601, if approved.</w:t>
      </w:r>
    </w:p>
    <w:p>
      <w:pPr>
        <w:spacing w:after="0" w:line="64" w:lineRule="exact"/>
        <w:rPr>
          <w:sz w:val="20"/>
          <w:szCs w:val="20"/>
          <w:color w:val="auto"/>
        </w:rPr>
      </w:pPr>
    </w:p>
    <w:p>
      <w:pPr>
        <w:ind w:firstLine="490"/>
        <w:spacing w:after="0" w:line="241" w:lineRule="auto"/>
        <w:rPr>
          <w:sz w:val="20"/>
          <w:szCs w:val="20"/>
          <w:color w:val="auto"/>
        </w:rPr>
      </w:pPr>
      <w:r>
        <w:rPr>
          <w:rFonts w:ascii="Times New Roman" w:cs="Times New Roman" w:eastAsia="Times New Roman" w:hAnsi="Times New Roman"/>
          <w:sz w:val="20"/>
          <w:szCs w:val="20"/>
          <w:color w:val="auto"/>
        </w:rPr>
        <w:t>The biotechnology and pharmaceutical industries are intensely competitive and subject to rapid and significant technological change. For example, the FDA recently approved omaveloxolone for the treatment of FA in adults and adolescents aged 16 and older. CTI-1601 will compete with omaveloxolone and other new, future approved products and may need to demonstrate compelling advantages in efficacy, convenience, tolerability and safety to be commercially successful. Other competitive factors, including biosimilar and gene therapy competition, could force us to lower prices or could result in reduced sales. Many of our current or potential competitors, either alone or with strategic partners, have significantly greater financial resources and expertise in research and development, manufacturing, non-clinical testing, conducting clinical trials, obtaining regulatory approvals, and marketing approved products than we do. New products developed by others could emerge as competitors to CTI-1601 or any other potential product candidates, resulting in CTI-1601 or other product candidates being obsolete before we are able to recover expenses incurred in connection with their development or realize revenues from any commercialized product. The pricing of our current product candidate, if and when approved for marketing, will depend, in part, on the pricing strategies adopted by our competitors. If these or other companies enact pricing strategies that impact the price we can charge for our product candidate, if approved, we may reduce our prices and our revenue and results of operations could be affected. Any new product could also affect our ability to recruit and retain clinical trial patients, to obtain and maintain designations or eligibility for expedited regulatory pathways, and to commercialize current and future product candidates. Given that we are still in a relatively early phase of development for CTI-1601, the recent approval and commercialization of omaveloxolone and the approval of any future competing technologies could provide competitors with a significant competitive advantage and may create an additional barrier to market acceptance of CTI-1601. If we are not able to compete effectively against our current and future competitors, our business will not grow and our financial condition and results of operations will be adversely affected.</w:t>
      </w:r>
    </w:p>
    <w:p>
      <w:pPr>
        <w:spacing w:after="0" w:line="99" w:lineRule="exact"/>
        <w:rPr>
          <w:sz w:val="20"/>
          <w:szCs w:val="20"/>
          <w:color w:val="auto"/>
        </w:rPr>
      </w:pPr>
    </w:p>
    <w:p>
      <w:pPr>
        <w:ind w:right="160" w:firstLine="490"/>
        <w:spacing w:after="0" w:line="279" w:lineRule="auto"/>
        <w:rPr>
          <w:sz w:val="20"/>
          <w:szCs w:val="20"/>
          <w:color w:val="auto"/>
        </w:rPr>
      </w:pPr>
      <w:r>
        <w:rPr>
          <w:rFonts w:ascii="Times New Roman" w:cs="Times New Roman" w:eastAsia="Times New Roman" w:hAnsi="Times New Roman"/>
          <w:sz w:val="19"/>
          <w:szCs w:val="19"/>
          <w:color w:val="auto"/>
        </w:rPr>
        <w:t>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w:t>
      </w:r>
    </w:p>
    <w:p>
      <w:pPr>
        <w:sectPr>
          <w:pgSz w:w="11880" w:h="15480" w:orient="portrait"/>
          <w:cols w:equalWidth="0" w:num="1">
            <w:col w:w="9360"/>
          </w:cols>
          <w:pgMar w:left="1260" w:top="1234"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360"/>
          </w:cols>
          <w:pgMar w:left="1260" w:top="1234" w:right="1260" w:bottom="0" w:gutter="0" w:footer="0" w:header="0"/>
          <w:type w:val="continuous"/>
        </w:sectPr>
      </w:pPr>
    </w:p>
    <w:bookmarkStart w:id="57" w:name="page58"/>
    <w:bookmarkEnd w:id="57"/>
    <w:p>
      <w:pPr>
        <w:ind w:right="120"/>
        <w:spacing w:after="0" w:line="243" w:lineRule="auto"/>
        <w:rPr>
          <w:sz w:val="20"/>
          <w:szCs w:val="20"/>
          <w:color w:val="auto"/>
        </w:rPr>
      </w:pPr>
      <w:r>
        <w:rPr>
          <w:rFonts w:ascii="Times New Roman" w:cs="Times New Roman" w:eastAsia="Times New Roman" w:hAnsi="Times New Roman"/>
          <w:sz w:val="20"/>
          <w:szCs w:val="20"/>
          <w:color w:val="auto"/>
        </w:rPr>
        <w:t>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EMA or other regulatory approval for their products more rapidly than we may obtain approval for ours and may obtain orphan product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face competition from biosimilars and may face increasing competition over time.</w:t>
      </w:r>
    </w:p>
    <w:p>
      <w:pPr>
        <w:spacing w:after="0" w:line="11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We may face competition from biosimilars in both the United States and Europe, and over time we may face increasing biosimilar competition. To the extent that governments adopt more permissive approval frameworks and competitors are able to obtain broader or expedited marketing approval for biosimilars, the rate of increased competition for our biologic drug products could accelerate. Expiration or successful challenge of applicable patent rights could trigger such competition, and we could face more litigation regarding the validity and/or scope of our patents. Our products may also experience greater competition from lower cost biosimilars or generics that come to market when branded products that compete with our products lose their own patent protection.</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 the European Union, the European Commission has granted marketing authorizations for biosimilars pursuant to a set of general and product class-specific guidelines for biosimilar approvals issued in 2005. In addition, in an effort to spur biosimilar utilization and/or increase potential healthcare savings, some countries in the European Union have adopted biosimilar uptake measures such as requiring physician prescribing quotas or promoting switching or pharmacy substitution of biosimilars for the corresponding reference products, and other countries may adopt similar measures. Some countries in the European Union may impose automatic price reductions upon market entry of the second or third biosimilar competitor.</w:t>
      </w:r>
    </w:p>
    <w:p>
      <w:pPr>
        <w:spacing w:after="0" w:line="80" w:lineRule="exact"/>
        <w:rPr>
          <w:sz w:val="20"/>
          <w:szCs w:val="20"/>
          <w:color w:val="auto"/>
        </w:rPr>
      </w:pPr>
    </w:p>
    <w:p>
      <w:pPr>
        <w:ind w:right="40" w:firstLine="490"/>
        <w:spacing w:after="0" w:line="256" w:lineRule="auto"/>
        <w:rPr>
          <w:sz w:val="20"/>
          <w:szCs w:val="20"/>
          <w:color w:val="auto"/>
        </w:rPr>
      </w:pPr>
      <w:r>
        <w:rPr>
          <w:rFonts w:ascii="Times New Roman" w:cs="Times New Roman" w:eastAsia="Times New Roman" w:hAnsi="Times New Roman"/>
          <w:sz w:val="19"/>
          <w:szCs w:val="19"/>
          <w:color w:val="auto"/>
        </w:rPr>
        <w:t>In the United States, the Affordable Care Act authorized the FDA to approve biosimilars via a separate, abbreviated pathway. A growing number of companies have announced that they are in varying stages of development of biosimilar versions of existing biotechnology products. Some companies pursuing development of biosimilars may challenge our patents well in advance of the expiration of our material patents. The U.S. pathway includes the option for biosimilar products meeting certain criteria to be approved as interchangeable with their reference products. Some companies developing biosimilars may seek to register their products as interchangeable biologics, which could make it easier for prescribers or pharmacists to substitute those biosimilars for our products. In addition, critics of the 12-year exclusivity period in the biosimilar pathway law will likely continue to seek to shorten the data exclusivity period and/or to encourage the FDA to interpret narrowly the law’s provisions regarding which new products receive data exclusivity. While we are unable to predict the precise impact of biosimilars, we expect in the future for there to be greater competition in the United States as a result of biosimilars and downward pressure on product prices and sales. These biosimilars or generics may affect the tier designation by third party payors and may require prior authorization for use of CTI-1601, thereby adding barriers to access. This additional competition could have a material adverse effect on our business, financial condition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125"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manage expected growth in the scale and complexity of our operations, including attracting and hiring additional qualified management, our performance may suffer.</w:t>
      </w:r>
    </w:p>
    <w:p>
      <w:pPr>
        <w:spacing w:after="0" w:line="46"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We are an early-stage clinical biotechnology company with a small number of employees, and our management systems currently in place are not likely to be adequate to support our future growth plans. As a result, we are highly dependent on our management and scientific personnel. The loss of the services of any of our executive officers, other key employees or consultants and other scientific advisors in the foreseeable future, might impede the achievement of our research, development and commercialization objectives. Competition for qualified personnel in the biopharmaceutical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360"/>
          </w:cols>
          <w:pgMar w:left="1260" w:top="1238" w:right="1260" w:bottom="0" w:gutter="0" w:footer="0" w:header="0"/>
          <w:type w:val="continuous"/>
        </w:sectPr>
      </w:pPr>
    </w:p>
    <w:bookmarkStart w:id="58" w:name="page59"/>
    <w:bookmarkEnd w:id="58"/>
    <w:p>
      <w:pPr>
        <w:ind w:right="460"/>
        <w:spacing w:after="0" w:line="279" w:lineRule="auto"/>
        <w:rPr>
          <w:sz w:val="20"/>
          <w:szCs w:val="20"/>
          <w:color w:val="auto"/>
        </w:rPr>
      </w:pPr>
      <w:r>
        <w:rPr>
          <w:rFonts w:ascii="Times New Roman" w:cs="Times New Roman" w:eastAsia="Times New Roman" w:hAnsi="Times New Roman"/>
          <w:sz w:val="20"/>
          <w:szCs w:val="20"/>
          <w:color w:val="auto"/>
        </w:rPr>
        <w:t>allegations that they have been improperly solicited or that they have divulged proprietary or other confidential information, or that their former employers own their research output.</w:t>
      </w:r>
    </w:p>
    <w:p>
      <w:pPr>
        <w:spacing w:after="0" w:line="45"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We rely on consultants and advisors, including scientific, non-clinical, manufacturing and clinical advisors, to assist us in formulating our development and commercialization strategy. These consultants and advisors may be employed by other employers and may have commitments under consulting or advisory contracts with other entities that may limit their availability to us.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competition for talent, particularly with the limited number of individuals in our industry with the breadth of skills and experience required to successfully develop, gain regulatory approval of and commercialize products. In addition, a possible resurgence of vaccine resistant or more highly contagious or deadly variants of COVID-19 or other health epidemics may pose a risk to our ability to retain and rely on our executive officers and key employees, including the potential that one or more of such employees or members of their families may contract the virus, which could impact the ability of such employees to perform as expected, which in turn would adversely impact our current and planned operations.</w:t>
      </w:r>
    </w:p>
    <w:p>
      <w:pPr>
        <w:spacing w:after="0" w:line="83"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Recruiting and retaining qualified scientific, medical clinical, manufacturing, quality assurance, regulatory, legal, public company financial, business, sales, marketing and commercial personnel and implementing and improving our operational, financial and management systems will be critical to our ability to grow and succeed. These demands also will require the hiring of additional executive or management-level personnel or the development of additional expertise by our senior management personnel. Hiring a significant number of additional employees, particularly those at the executive or management level, would increase our expenses significantly. In addition, we may not be able to attract and retain these personnel on acceptable terms given the competition among numerous pharmaceutical companies for similar personnel. A possible resurgence of vaccine resistant, more contagious or more highly contagious variants of COVID-19 or other health epidemics may pose may also affect our ability to attract and successfully recruit these personnel, for one or more reasons. We also experience competition for the hiring of scientific personnel from universities and research institutions. Moreover, delays or failures in clinical trials may also make it more challenging to recruit and retain qualified scientific personnel. If we are unable to continue to attract and retain high quality personnel, our ability to pursue our business strategy will be limited and our business, financial condition and results of operations would be adversely affected.</w:t>
      </w:r>
    </w:p>
    <w:p>
      <w:pPr>
        <w:spacing w:after="0" w:line="80" w:lineRule="exact"/>
        <w:rPr>
          <w:sz w:val="20"/>
          <w:szCs w:val="20"/>
          <w:color w:val="auto"/>
        </w:rPr>
      </w:pPr>
    </w:p>
    <w:p>
      <w:pPr>
        <w:ind w:right="220" w:firstLine="490"/>
        <w:spacing w:after="0" w:line="253" w:lineRule="auto"/>
        <w:rPr>
          <w:sz w:val="20"/>
          <w:szCs w:val="20"/>
          <w:color w:val="auto"/>
        </w:rPr>
      </w:pPr>
      <w:r>
        <w:rPr>
          <w:rFonts w:ascii="Times New Roman" w:cs="Times New Roman" w:eastAsia="Times New Roman" w:hAnsi="Times New Roman"/>
          <w:sz w:val="20"/>
          <w:szCs w:val="20"/>
          <w:color w:val="auto"/>
        </w:rPr>
        <w:t>Further, if we fail to expand and enhance our operational, financial and management systems in conjunction with potential future growth, such failure could have a material adverse effect on our business, financial condition and results of operations. We may be unable to successfully implement these tasks on a larger scale and, accordingly, may not achieve our research, development, business and growth goals.</w:t>
      </w:r>
    </w:p>
    <w:p>
      <w:pPr>
        <w:spacing w:after="0" w:line="72"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internal computer systems, or those of any vendors, contractors or consultants, may fail or suffer security breaches, which could result in a material disruption of our product development programs.</w:t>
      </w:r>
    </w:p>
    <w:p>
      <w:pPr>
        <w:spacing w:after="0" w:line="4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The prevalent use of mobile devices that access confidential information also increases the risk of lost or stolen devices, security incidents and data security breaches, which could lead to the loss of confidential information or other intellectual property. Any system failure, accident or security breach that causes interruptions in our operations could result in a material disruption of our product development programs and business operations, in addition to possibly requiring substantial expenditures of resources to remedy. For example, the loss of clinical trial data from completed clinical trials could result in delays in our regulatory approval efforts and significantly increase our costs to recover or reproduce the data. To the extent that any disruption or security breach results in a loss or damage to our data or applications, or inappropriate disclosure of confidential or proprietary information, we may incur liabilities and the further development of our product candidates may be delayed. In addition, we may not have adequate insurance coverage to provide compensation for any losses associated with such events.</w:t>
      </w:r>
    </w:p>
    <w:p>
      <w:pPr>
        <w:spacing w:after="0" w:line="83" w:lineRule="exact"/>
        <w:rPr>
          <w:sz w:val="20"/>
          <w:szCs w:val="20"/>
          <w:color w:val="auto"/>
        </w:rPr>
      </w:pPr>
    </w:p>
    <w:p>
      <w:pPr>
        <w:ind w:right="180" w:firstLine="490"/>
        <w:spacing w:after="0" w:line="266" w:lineRule="auto"/>
        <w:rPr>
          <w:sz w:val="20"/>
          <w:szCs w:val="20"/>
          <w:color w:val="auto"/>
        </w:rPr>
      </w:pPr>
      <w:r>
        <w:rPr>
          <w:rFonts w:ascii="Times New Roman" w:cs="Times New Roman" w:eastAsia="Times New Roman" w:hAnsi="Times New Roman"/>
          <w:sz w:val="19"/>
          <w:szCs w:val="19"/>
          <w:color w:val="auto"/>
        </w:rPr>
        <w:t>We could be subject to risks caused by misappropriation, misuse, leakage, falsification or intentional or accidental release or loss of information maintained in the information systems and networks of our company, including personal information of our employees. In addition, outside parties may attempt to penetrate our systems or those of our vendors or fraudulently induce our employees or employees of our vendors to disclose sensitive information in order to gain access to our data. Like other companies, we may experience threats to our data and</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360"/>
          </w:cols>
          <w:pgMar w:left="1260" w:top="1238" w:right="1260" w:bottom="0" w:gutter="0" w:footer="0" w:header="0"/>
          <w:type w:val="continuous"/>
        </w:sectPr>
      </w:pPr>
    </w:p>
    <w:bookmarkStart w:id="59" w:name="page60"/>
    <w:bookmarkEnd w:id="59"/>
    <w:p>
      <w:pPr>
        <w:ind w:right="40"/>
        <w:spacing w:after="0" w:line="244" w:lineRule="auto"/>
        <w:rPr>
          <w:sz w:val="20"/>
          <w:szCs w:val="20"/>
          <w:color w:val="auto"/>
        </w:rPr>
      </w:pPr>
      <w:r>
        <w:rPr>
          <w:rFonts w:ascii="Times New Roman" w:cs="Times New Roman" w:eastAsia="Times New Roman" w:hAnsi="Times New Roman"/>
          <w:sz w:val="20"/>
          <w:szCs w:val="20"/>
          <w:color w:val="auto"/>
        </w:rPr>
        <w:t>systems, including malicious codes and viruses, and other cyber-attacks. The number and complexity of these threats continue to increase over time. If a material breach of our security or that of one or more of our vendors, contractors or consultants occurs, the market perception of the effectiveness of our security measures could be harmed, we could lose business and our reputation and credibility could be damaged, all of which would materially adversely affect our business, financial condition and results of operations. We could be required to expend significant amounts of money and other resources to repair or replace information systems or networks. Although we develop and maintain systems and controls designed to prevent these events from occurring, the development and maintenance of these systems, controls and processes is costly and requires ongoing monitoring and updating as technologies change and efforts to overcome security measures become more sophisticated. Moreover, despite our efforts, the possibility of these events occurring cannot be eliminated entirely.</w:t>
      </w:r>
    </w:p>
    <w:p>
      <w:pPr>
        <w:spacing w:after="0" w:line="83"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acquire businesses or products, or form strategic alliances, in the future, and we may not realize the benefits of such acquisitions or alliances.</w:t>
      </w:r>
    </w:p>
    <w:p>
      <w:pPr>
        <w:spacing w:after="0" w:line="46"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such transactions if we are unable to successfully integrate such businesses with our existing operations and company culture.</w:t>
      </w:r>
    </w:p>
    <w:p>
      <w:pPr>
        <w:spacing w:after="0" w:line="70" w:lineRule="exact"/>
        <w:rPr>
          <w:sz w:val="20"/>
          <w:szCs w:val="20"/>
          <w:color w:val="auto"/>
        </w:rPr>
      </w:pPr>
    </w:p>
    <w:p>
      <w:pPr>
        <w:ind w:right="160" w:firstLine="490"/>
        <w:spacing w:after="0" w:line="249" w:lineRule="auto"/>
        <w:rPr>
          <w:sz w:val="20"/>
          <w:szCs w:val="20"/>
          <w:color w:val="auto"/>
        </w:rPr>
      </w:pPr>
      <w:r>
        <w:rPr>
          <w:rFonts w:ascii="Times New Roman" w:cs="Times New Roman" w:eastAsia="Times New Roman" w:hAnsi="Times New Roman"/>
          <w:sz w:val="20"/>
          <w:szCs w:val="20"/>
          <w:color w:val="auto"/>
        </w:rPr>
        <w:t>We may encounter numerous difficulties in developing, manufacturing and marketing any new products resulting from a strategic alliance or acquisition that delays or prevents us from realizing their expected benefits or enhancing our business. We cannot be certain that, following any such transaction, we will achieve the expected synergies to justify the transaction and it could adversely affect our business, financial condition and results of operations.</w:t>
      </w:r>
    </w:p>
    <w:p>
      <w:pPr>
        <w:spacing w:after="0" w:line="78" w:lineRule="exact"/>
        <w:rPr>
          <w:sz w:val="20"/>
          <w:szCs w:val="20"/>
          <w:color w:val="auto"/>
        </w:rPr>
      </w:pPr>
    </w:p>
    <w:p>
      <w:pPr>
        <w:jc w:val="both"/>
        <w:ind w:right="3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seek to establish collaborations and, if we are not able to establish them on commercially reasonable terms, we may have to alter our development and commercialization plans or expand our internal efforts and growth.</w:t>
      </w:r>
    </w:p>
    <w:p>
      <w:pPr>
        <w:spacing w:after="0" w:line="64" w:lineRule="exact"/>
        <w:rPr>
          <w:sz w:val="20"/>
          <w:szCs w:val="20"/>
          <w:color w:val="auto"/>
        </w:rPr>
      </w:pPr>
    </w:p>
    <w:p>
      <w:pPr>
        <w:ind w:right="300" w:firstLine="490"/>
        <w:spacing w:after="0" w:line="253" w:lineRule="auto"/>
        <w:rPr>
          <w:sz w:val="20"/>
          <w:szCs w:val="20"/>
          <w:color w:val="auto"/>
        </w:rPr>
      </w:pPr>
      <w:r>
        <w:rPr>
          <w:rFonts w:ascii="Times New Roman" w:cs="Times New Roman" w:eastAsia="Times New Roman" w:hAnsi="Times New Roman"/>
          <w:sz w:val="20"/>
          <w:szCs w:val="20"/>
          <w:color w:val="auto"/>
        </w:rPr>
        <w:t>Our development programs and the potential commercialization of our product candidates will require substantial additional cash to fund expenses. For CTI-1601, and any future product candidates, we may decide to collaborate with pharmaceutical and/or biotechnology companies for the development and potential commercialization of those product candidates in some or all markets.</w:t>
      </w:r>
    </w:p>
    <w:p>
      <w:pPr>
        <w:spacing w:after="0" w:line="70"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face significant competition in seeking appropriate collaborators. Whether we reach a definitive agreement for a collaboration for CTI-1601 or other potential product candidates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us for our product candidate. The terms of any collaboration or other arrangement that we may establish may not be favorable to us.</w:t>
      </w:r>
    </w:p>
    <w:p>
      <w:pPr>
        <w:spacing w:after="0" w:line="86"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auto"/>
        </w:rPr>
        <w:t>We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0"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We may not be able to negotiate collaborations on a timely basis, on acceptable terms, or at all. If we are unable or unwilling to do so, we may have to curtail the development potential product candidates for which we are seeking to collaborate, reduce or delay our development program or one or more of our other development programs, delay potential commercialization in some or all markets or reduce the scope of any sales or marketing activities, or increase our expenditures and undertake development or commercialization activities at our own expense, including potentially increasing our infrastructure and investment outside the United States. If we elect to increase our expenditures to fund development or commercialization activities on our own, we will need to obtain additional capital, which may not be available to us on acceptable terms if at all. If we do not have sufficient funds,</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340"/>
          </w:cols>
          <w:pgMar w:left="1260" w:top="1238" w:right="1280" w:bottom="0" w:gutter="0" w:footer="0" w:header="0"/>
          <w:type w:val="continuous"/>
        </w:sectPr>
      </w:pPr>
    </w:p>
    <w:bookmarkStart w:id="60" w:name="page61"/>
    <w:bookmarkEnd w:id="60"/>
    <w:p>
      <w:pPr>
        <w:ind w:right="20"/>
        <w:spacing w:after="0" w:line="259" w:lineRule="auto"/>
        <w:rPr>
          <w:sz w:val="20"/>
          <w:szCs w:val="20"/>
          <w:color w:val="auto"/>
        </w:rPr>
      </w:pPr>
      <w:r>
        <w:rPr>
          <w:rFonts w:ascii="Times New Roman" w:cs="Times New Roman" w:eastAsia="Times New Roman" w:hAnsi="Times New Roman"/>
          <w:sz w:val="20"/>
          <w:szCs w:val="20"/>
          <w:color w:val="auto"/>
        </w:rPr>
        <w:t>we may not be able to further develop our product candidates or bring them to market and generate product revenue. In addition, such efforts may require diversion of a disproportionate amount of our attention away from other day-to-day activities and require devotion of a substantial amount of our time to managing these activities.</w:t>
      </w:r>
    </w:p>
    <w:p>
      <w:pPr>
        <w:spacing w:after="0" w:line="65"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our business, financial condition, results of operations and could harm our business reputation.</w:t>
      </w:r>
    </w:p>
    <w:p>
      <w:pPr>
        <w:spacing w:after="0" w:line="69" w:lineRule="exact"/>
        <w:rPr>
          <w:sz w:val="20"/>
          <w:szCs w:val="20"/>
          <w:color w:val="auto"/>
        </w:rPr>
      </w:pPr>
    </w:p>
    <w:p>
      <w:pPr>
        <w:ind w:right="700"/>
        <w:spacing w:after="0"/>
        <w:rPr>
          <w:sz w:val="20"/>
          <w:szCs w:val="20"/>
          <w:color w:val="auto"/>
        </w:rPr>
      </w:pPr>
      <w:r>
        <w:rPr>
          <w:rFonts w:ascii="Times New Roman" w:cs="Times New Roman" w:eastAsia="Times New Roman" w:hAnsi="Times New Roman"/>
          <w:sz w:val="20"/>
          <w:szCs w:val="20"/>
          <w:b w:val="1"/>
          <w:bCs w:val="1"/>
          <w:i w:val="1"/>
          <w:iCs w:val="1"/>
          <w:color w:val="auto"/>
        </w:rPr>
        <w:t>We face risks related to health epidemics, and/or other outbreaks of communicable diseases, which could significantly disrupt our operations and may materially and adversely affect our business and financial conditions.</w:t>
      </w:r>
    </w:p>
    <w:p>
      <w:pPr>
        <w:spacing w:after="0" w:line="7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business could be adversely impacted by the effects of a global health epidemics, such as, for example, a possible resurgence of vaccine resistant or more highly contagious or deadly variants of COVID-19 and the efforts to mitigate such outbreaks. Such global outbreaks of communicable diseases globally could materially and adversely impact our operations, including without limitation, our manufacturing and supply chain for CTI-1601 and our planned clinical trials, which have faced, and could continue to face, enrollment difficulties as hospitals or clinical trials sites experience closures. Because FA is a rare disease, there are a limited number of patients in close proximity to clinical trial sites and clinical trial patients travel from throughout the United States to clinical trial sites to participate. Any travel advisories or infection risks could present increased risks to patients traveling to a clinical trial site for dosing if clinical trials are allowed to continue. These events could delay our clinical trials, increase the cost of completing our clinical trials and negatively impact the integrity, reliability or robustness of the data from our clinical trials. In addition, employee health and availability could be impacted, which may have a material and adverse effect on our business, financial condition and results of operations. Future pandemics could adversely affect global economies and financial markets resulting in an economic downturn that could have a material adverse effect on our business and prospects.</w:t>
      </w:r>
    </w:p>
    <w:p>
      <w:pPr>
        <w:spacing w:after="0" w:line="67" w:lineRule="exact"/>
        <w:rPr>
          <w:sz w:val="20"/>
          <w:szCs w:val="20"/>
          <w:color w:val="auto"/>
        </w:rPr>
      </w:pPr>
    </w:p>
    <w:p>
      <w:pPr>
        <w:ind w:right="180"/>
        <w:spacing w:after="0" w:line="235" w:lineRule="auto"/>
        <w:rPr>
          <w:sz w:val="20"/>
          <w:szCs w:val="20"/>
          <w:color w:val="auto"/>
        </w:rPr>
      </w:pPr>
      <w:r>
        <w:rPr>
          <w:rFonts w:ascii="Times New Roman" w:cs="Times New Roman" w:eastAsia="Times New Roman" w:hAnsi="Times New Roman"/>
          <w:sz w:val="20"/>
          <w:szCs w:val="20"/>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80"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The regulatory framework for the collection, use, safeguarding, sharing, transfer and other processing of information worldwide is rapidly evolving and is likely to remain uncertain for the foreseeable future. Globally, virtually every jurisdiction in which we may operate has established its own data security and privacy frameworks with which we must comply. For example, the European Union’s General Data Protection Regulation 2016/679 ("EU GDPR"), the UK General Data Protection Regulation (“UK GDPR”, together with the EU GDPR, the “GDPR”) and UK Data Protection Act 2018, which impose strict obligations on the processing of personal data, including personal health data, and the free movement of such data. The GDPR applies to any company established in the European Economic Area/ United Kingdom ("EEA/UK") as well as any company outside the EEA/UK Union that processes personal data in connection with the offering of goods or services to individuals in the EEA/UK or the monitoring of their behavior.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strict rules and restrictions on the international transfers of personal data.</w:t>
      </w:r>
    </w:p>
    <w:p>
      <w:pPr>
        <w:spacing w:after="0" w:line="91" w:lineRule="exact"/>
        <w:rPr>
          <w:sz w:val="20"/>
          <w:szCs w:val="20"/>
          <w:color w:val="auto"/>
        </w:rPr>
      </w:pPr>
    </w:p>
    <w:p>
      <w:pPr>
        <w:ind w:right="20" w:firstLine="490"/>
        <w:spacing w:after="0" w:line="270" w:lineRule="auto"/>
        <w:rPr>
          <w:sz w:val="20"/>
          <w:szCs w:val="20"/>
          <w:color w:val="auto"/>
        </w:rPr>
      </w:pPr>
      <w:r>
        <w:rPr>
          <w:rFonts w:ascii="Times New Roman" w:cs="Times New Roman" w:eastAsia="Times New Roman" w:hAnsi="Times New Roman"/>
          <w:sz w:val="19"/>
          <w:szCs w:val="19"/>
          <w:color w:val="auto"/>
        </w:rPr>
        <w:t>The GDPR prohibits the transfer of personal data to countries outside the EEA/UK, which are not considered by the European Commission and UK government as providing an “adequate” protection of personal data, including the United States, unless a valid GDPR transfer mechanism (for example, the European Commission approved Standard Contractual Clauses (“SCCs”) and the UK International Data Transfer Agreement/Addendum (“UK</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340"/>
          </w:cols>
          <w:pgMar w:left="1260" w:top="1238" w:right="1280" w:bottom="0" w:gutter="0" w:footer="0" w:header="0"/>
          <w:type w:val="continuous"/>
        </w:sectPr>
      </w:pPr>
    </w:p>
    <w:bookmarkStart w:id="61" w:name="page62"/>
    <w:bookmarkEnd w:id="61"/>
    <w:p>
      <w:pPr>
        <w:ind w:right="40"/>
        <w:spacing w:after="0" w:line="242" w:lineRule="auto"/>
        <w:rPr>
          <w:sz w:val="20"/>
          <w:szCs w:val="20"/>
          <w:color w:val="auto"/>
        </w:rPr>
      </w:pPr>
      <w:r>
        <w:rPr>
          <w:rFonts w:ascii="Times New Roman" w:cs="Times New Roman" w:eastAsia="Times New Roman" w:hAnsi="Times New Roman"/>
          <w:sz w:val="20"/>
          <w:szCs w:val="20"/>
          <w:color w:val="auto"/>
        </w:rPr>
        <w:t>IDTA”)) has been put in place. Where relying on the SCCs /UK IDTA for data transfers, we may also be required to carry out transfer impact assessments to assess whether the recipient is subject to local laws which allow public authority access to personal data. The international transfer obligations under the EEA/UK data protection regimes will require significant effort and cost and may result in us needing to make strategic considerations around where EEA/UK personal data is transferred and which service providers we can utilize for the processing of EEA/UK personal data. Although the UK is regarded as a third country under the EU GDPR, the European Commission has issued a decision recognizing the UK as providing adequate protection under the EU GDPR (“Adequacy Decision”) and, therefore, transfers of personal data originating in the EEA to the UK remain unrestricted. The UK government has confirmed that personal data transfers from the UK to the EEA remain free flowing. The UK Government has also introduced a Data Protection and Digital Information Bill (“UK Bill”) into the UK legislative process. The aim of the UK Bill is to reform the UK’s data protection regime following Brexit. If passed, the final version of the UK Bill may have the effect of further altering the similarities between the UK and EEA data protection regime and threaten the UK Adequacy Decision from the EU Commission. This may lead to additional compliance costs and could increase our overall risk. The respective provisions and enforcement of the EU GDPR and UK GDPR may further diverge in the future and create additional regulatory challenges and uncertainties.</w:t>
      </w:r>
    </w:p>
    <w:p>
      <w:pPr>
        <w:spacing w:after="0" w:line="91"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The GDPR imposes additional obligations and risks upon our business and substantially increases the penalties to which we could be subject in the event of any non-compliance, including fines of up to €20 million or 4% of total worldwide annual revenue, whichever is higher. The GDPR also confers a private right of action on data subjects and consumer associations to lodge complaints with supervisory authorities, seek judicial remedies and obtain compensation for damages. Given the breadth and depth of changes in data protection obligations, if we are required to comply with the GDPR’s requirements, we will be required to spend significant time and resources to review our technologies, systems and practices, as well as those of any third-party service providers, contractors or consultants that process or transfer personal data collected in the EEA/UK. The GDPR and other changes in laws or regulations associated with the enhanced protection of certain types of sensitive data, such as healthcare data or other personal information from our clinical trials, could require us to change our business practices or lead to government enforcement actions, private litigation or significant fines and penalties against us, reputational harm and could have a material adverse effect on our business, financial condition or results of operations.</w:t>
      </w:r>
    </w:p>
    <w:p>
      <w:pPr>
        <w:spacing w:after="0" w:line="87"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20"/>
          <w:szCs w:val="20"/>
          <w:b w:val="1"/>
          <w:bCs w:val="1"/>
          <w:i w:val="1"/>
          <w:iCs w:val="1"/>
          <w:color w:val="auto"/>
        </w:rPr>
        <w:t>Our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75" w:lineRule="exact"/>
        <w:rPr>
          <w:sz w:val="20"/>
          <w:szCs w:val="20"/>
          <w:color w:val="auto"/>
        </w:rPr>
      </w:pPr>
    </w:p>
    <w:p>
      <w:pPr>
        <w:ind w:firstLine="490"/>
        <w:spacing w:after="0" w:line="255" w:lineRule="auto"/>
        <w:rPr>
          <w:sz w:val="20"/>
          <w:szCs w:val="20"/>
          <w:color w:val="auto"/>
        </w:rPr>
      </w:pPr>
      <w:r>
        <w:rPr>
          <w:rFonts w:ascii="Times New Roman" w:cs="Times New Roman" w:eastAsia="Times New Roman" w:hAnsi="Times New Roman"/>
          <w:sz w:val="19"/>
          <w:szCs w:val="19"/>
          <w:color w:val="auto"/>
        </w:rPr>
        <w:t>Despite the implementation of security measures in an effort to protect systems that store our information, given their size and complexity and the increasing amounts of information maintained on 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supply chain cyber-attacks or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Companies have, in general, experienced an increase in phishing and social engineering attacks from third parties, and the increase in remote working further increases security threats. To the extent that any disruption or security incident were to result in any loss, destruction, unavailability, alteration, disclosure, or dissemination of, or damage or unauthorized access to, our applications, any other data processed or maintained on our behalf or other assets, or for it to be believed or reported that any of these occurred, we could incur liability, financial harm and reputational damage and the development and commercialization of our product candidates could be delayed. We cannot ensure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360"/>
          </w:cols>
          <w:pgMar w:left="1260" w:top="1238" w:right="1260" w:bottom="0" w:gutter="0" w:footer="0" w:header="0"/>
          <w:type w:val="continuous"/>
        </w:sectPr>
      </w:pPr>
    </w:p>
    <w:bookmarkStart w:id="62" w:name="page63"/>
    <w:bookmarkEnd w:id="62"/>
    <w:p>
      <w:pPr>
        <w:ind w:right="20"/>
        <w:spacing w:after="0" w:line="243" w:lineRule="auto"/>
        <w:rPr>
          <w:sz w:val="20"/>
          <w:szCs w:val="20"/>
          <w:color w:val="auto"/>
        </w:rPr>
      </w:pPr>
      <w:r>
        <w:rPr>
          <w:rFonts w:ascii="Times New Roman" w:cs="Times New Roman" w:eastAsia="Times New Roman" w:hAnsi="Times New Roman"/>
          <w:sz w:val="20"/>
          <w:szCs w:val="20"/>
          <w:color w:val="auto"/>
        </w:rPr>
        <w:t>or unauthorized access to, our data and other data processed or maintained on our behalf or other assets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 any such event that leads to loss, damage, or unauthorized access to, or use, alteration, or disclosure or dissemination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86"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incident. We also rely on third parties to manufacture our product candidates, and similar events relating to their computer systems could also have a material adverse effect on our business. To the extent that any disruption or security incident were to result in any loss, destruction, or alteration of, or damage or unauthorized access to, our data or other information that is processed or maintained on our behalf, or inappropriate disclosure of or dissemination of any such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83"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Our insurance policies may not be adequate to compensate us for the potential losses arising from any such disruption in or, failure or security breach of our systems or third-party systems where 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81"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face potential product liability exposure, and, if claims are brought against us, we may incur substantial liability.</w:t>
      </w:r>
    </w:p>
    <w:p>
      <w:pPr>
        <w:spacing w:after="0" w:line="46"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The use of CTI-1601 and other potential product candidates in clinical trials, if any, and the sale of CTI-1601 and other potential product candidates, if developed and approved, exposes us to the risk of product liability claims. Product liability claims might be brought against us by patients, healthcare providers or others selling or otherwise coming into contact with CTI-1601 or other potential product candidates. For example, we may be sued if any product we develop allegedly causes injury or death or is found to be otherwise unsuitable during product testing, manufacturing, marketing or sale. Physicians and patients may not comply with any warnings that identify known potential adverse effects and patients who should not use our products. If we cannot successfully defend ourselves against product liability claims, we may incur substantial liabilities or be required to stop development or, if approved, limit commercialization of our product candidates.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consumer protection acts in other jurisdictions. If we become subject to product liability claims and cannot successfully defend ourselves against them, we could incur substantial liabilities. In addition, regardless of merit or eventual outcome, product liability claims may result in, among other things:</w:t>
      </w:r>
    </w:p>
    <w:p>
      <w:pPr>
        <w:spacing w:after="0" w:line="106" w:lineRule="exact"/>
        <w:rPr>
          <w:sz w:val="20"/>
          <w:szCs w:val="20"/>
          <w:color w:val="auto"/>
        </w:rPr>
      </w:pPr>
    </w:p>
    <w:p>
      <w:pPr>
        <w:ind w:left="720" w:hanging="360"/>
        <w:spacing w:after="0"/>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withdrawal of patients or clinical investigators from our clinical trials;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delay or termination of clinical trials;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20"/>
          <w:szCs w:val="20"/>
          <w:color w:val="auto"/>
        </w:rPr>
        <w:t>substantial monetary awards to patients or other claimants;</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340"/>
          </w:cols>
          <w:pgMar w:left="1260" w:top="1238" w:right="1280" w:bottom="0" w:gutter="0" w:footer="0" w:header="0"/>
          <w:type w:val="continuous"/>
        </w:sectPr>
      </w:pPr>
    </w:p>
    <w:bookmarkStart w:id="63" w:name="page64"/>
    <w:bookmarkEnd w:id="63"/>
    <w:p>
      <w:pPr>
        <w:ind w:left="720" w:right="60" w:hanging="360"/>
        <w:spacing w:after="0" w:line="278" w:lineRule="auto"/>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decreased demand for CTI-1601 or our other potential product candidates following marketing approval, if obtained;</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damage to our reputation and exposure to adverse publicity;</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FDA warnings on product labels;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initiation of investigations by regulators or ethics committees;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product recalls, withdrawals, or labeling, marketing or promotional restrictions;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litigation costs;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distraction of management’s attention from our primary business;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product liability costs;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loss of revenue; and</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0"/>
        </w:numPr>
        <w:rPr>
          <w:rFonts w:ascii="Arial" w:cs="Arial" w:eastAsia="Arial" w:hAnsi="Arial"/>
          <w:sz w:val="20"/>
          <w:szCs w:val="20"/>
          <w:color w:val="auto"/>
        </w:rPr>
      </w:pPr>
      <w:r>
        <w:rPr>
          <w:rFonts w:ascii="Times New Roman" w:cs="Times New Roman" w:eastAsia="Times New Roman" w:hAnsi="Times New Roman"/>
          <w:sz w:val="20"/>
          <w:szCs w:val="20"/>
          <w:color w:val="auto"/>
        </w:rPr>
        <w:t>the inability to successfully commercialize CTI-1601 or other potential product candidates, if approved.</w:t>
      </w:r>
    </w:p>
    <w:p>
      <w:pPr>
        <w:spacing w:after="0" w:line="119" w:lineRule="exact"/>
        <w:rPr>
          <w:sz w:val="20"/>
          <w:szCs w:val="20"/>
          <w:color w:val="auto"/>
        </w:rPr>
      </w:pPr>
    </w:p>
    <w:p>
      <w:pPr>
        <w:ind w:firstLine="490"/>
        <w:spacing w:after="0" w:line="257" w:lineRule="auto"/>
        <w:rPr>
          <w:sz w:val="20"/>
          <w:szCs w:val="20"/>
          <w:color w:val="auto"/>
        </w:rPr>
      </w:pPr>
      <w:r>
        <w:rPr>
          <w:rFonts w:ascii="Times New Roman" w:cs="Times New Roman" w:eastAsia="Times New Roman" w:hAnsi="Times New Roman"/>
          <w:sz w:val="19"/>
          <w:szCs w:val="19"/>
          <w:color w:val="auto"/>
        </w:rPr>
        <w:t>We maintain product liability insurance coverage for our clinical trials with a $5 million aggregate coverage limit. Nevertheless, our insurance coverage may be insufficient to reimburse us for any expenses or losses we may suffer. Moreover, in the future, we may not be able to maintain insurance coverage at a reasonable cost or in sufficient amounts to protect us against losses, including if insurance coverage becomes increasingly expensive. If we obtain marketing approval for CTI-1601 or other potential product candidates, we intend to expand our insurance coverage to include the sale of commercial products; however, we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our favor, could be substantial, particularly in light of the size of our business and financial resources. A product liability claim or series of claims brought against us could cause our stock price to decline and, if we are unsuccessful in defending such a claim or claims and the resulting judgments exceed our insurance coverage, our financial condition, business, results of operations and prospects could be materially adversely affected.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12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have limited experience in conducting or supervising clinical trials and must outsource all clinical trials. As a result, many important aspects of our drug development programs are outside of our direct control.</w:t>
      </w:r>
    </w:p>
    <w:p>
      <w:pPr>
        <w:spacing w:after="0" w:line="46"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have limited experience in conducting or supervising clinical trials that must be performed to obtain data to submit in concert with applications for approval by the FDA, the EMA or other comparable foreign regulatory authorities. As a result, we expect to continue to rely on CROs, clinical data management organizations and consultants to design, conduct, supervise and monitor our non-clinical studies and clinical trials. We and our CROs are required to comply with various regulations, including the FDA’s regulations regarding current Good Clinical Practices ("cGCPs")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 clinical trial sites. Our expected reliance on third parties that we do not control does not relieve us of these responsibilities and requirements. If we or any of our CROs fail to comply with applicable requirements, the clinical data generated in our clinical trials may be deemed unreliable and the FDA, EMA or other comparable foreign regulatory authorities may require us to perform additional clinical trials before approving our marketing applications. We cannot ensure that upon inspection by a given regulatory authority, such regulatory authority will determine that any of our clinical trials comply with such requirements. In addition, our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us to repeat non-clinical studies and/or clinical trials, which would delay the regulatory approval process, and could also subject us to enforcement action, up to and including, civil and criminal penalties, which would materially adversely affect our business, financial condition and results of operations.</w:t>
      </w:r>
    </w:p>
    <w:p>
      <w:pPr>
        <w:spacing w:after="0" w:line="82" w:lineRule="exact"/>
        <w:rPr>
          <w:sz w:val="20"/>
          <w:szCs w:val="20"/>
          <w:color w:val="auto"/>
        </w:rPr>
      </w:pPr>
    </w:p>
    <w:p>
      <w:pPr>
        <w:ind w:right="140" w:firstLine="490"/>
        <w:spacing w:after="0" w:line="279" w:lineRule="auto"/>
        <w:rPr>
          <w:sz w:val="20"/>
          <w:szCs w:val="20"/>
          <w:color w:val="auto"/>
        </w:rPr>
      </w:pPr>
      <w:r>
        <w:rPr>
          <w:rFonts w:ascii="Times New Roman" w:cs="Times New Roman" w:eastAsia="Times New Roman" w:hAnsi="Times New Roman"/>
          <w:sz w:val="20"/>
          <w:szCs w:val="20"/>
          <w:color w:val="auto"/>
        </w:rPr>
        <w:t>Our CROs are not our employees, and except for remedies available to us under our agreements with such CROs, we cannot control whether or not they devote sufficient time and resources to our ongoing clinical and non-</w:t>
      </w:r>
    </w:p>
    <w:p>
      <w:pPr>
        <w:sectPr>
          <w:pgSz w:w="11880" w:h="15480" w:orient="portrait"/>
          <w:cols w:equalWidth="0" w:num="1">
            <w:col w:w="9340"/>
          </w:cols>
          <w:pgMar w:left="1260" w:top="1253" w:right="1280" w:bottom="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340"/>
          </w:cols>
          <w:pgMar w:left="1260" w:top="1253" w:right="1280" w:bottom="0" w:gutter="0" w:footer="0" w:header="0"/>
          <w:type w:val="continuous"/>
        </w:sectPr>
      </w:pPr>
    </w:p>
    <w:bookmarkStart w:id="64" w:name="page65"/>
    <w:bookmarkEnd w:id="64"/>
    <w:p>
      <w:pPr>
        <w:spacing w:after="0" w:line="243" w:lineRule="auto"/>
        <w:rPr>
          <w:sz w:val="20"/>
          <w:szCs w:val="20"/>
          <w:color w:val="auto"/>
        </w:rPr>
      </w:pPr>
      <w:r>
        <w:rPr>
          <w:rFonts w:ascii="Times New Roman" w:cs="Times New Roman" w:eastAsia="Times New Roman" w:hAnsi="Times New Roman"/>
          <w:sz w:val="20"/>
          <w:szCs w:val="20"/>
          <w:color w:val="auto"/>
        </w:rPr>
        <w:t>clinical programs. 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operations and the commercial prospects for our product candidates would be harmed, our costs could increase and our ability to generate revenue could be delayed or reduced. In addition, operations of our CROs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our research and development programs may be harmed or delayed, and our operations and financial condition could suffer.</w:t>
      </w:r>
    </w:p>
    <w:p>
      <w:pPr>
        <w:spacing w:after="0" w:line="88"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We have less direct control over the conduct, timing and completion of these clinical trials and the management of data developed through the clinical trials than would be the case if we were relying entirely upon our own staff. Communicating with outside parties can also be challenging, potentially leading to mistakes as well as difficulties in coordinating activities. These factors may materially adversely affect the willingness or ability of third parties to conduct our clinical trials and may subject us to unexpected cost increases that are beyond our control. Nevertheless, we are responsible for ensuring that each of our clinical trials is conducted in accordance with the applicable protocol, legal and regulatory requirements and scientific standards, and our reliance on CROs does not relieve us of our regulatory responsibilities.</w:t>
      </w:r>
    </w:p>
    <w:p>
      <w:pPr>
        <w:spacing w:after="0" w:line="82"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In addition, we must, at times, share confidential information with third parties.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intellectual property, data from clinical studies and future development plans. Despite the contractual provisions employed when working with third parties, the need to share confidential information increases the risk that such confidential information become known by our competitors, are inadvertently incorporated into the technology of others, or are disclosed or used in violation of these agreements. Given that our proprietary position is based, in part, on our confidential information, a competitor’s discovery of our confidential information or other unauthorized use or disclosure would impair our competitive position and may have an adverse effect on our business.</w:t>
      </w:r>
    </w:p>
    <w:p>
      <w:pPr>
        <w:spacing w:after="0" w:line="86" w:lineRule="exact"/>
        <w:rPr>
          <w:sz w:val="20"/>
          <w:szCs w:val="20"/>
          <w:color w:val="auto"/>
        </w:rPr>
      </w:pPr>
    </w:p>
    <w:p>
      <w:pPr>
        <w:ind w:right="120" w:firstLine="490"/>
        <w:spacing w:after="0" w:line="244" w:lineRule="auto"/>
        <w:rPr>
          <w:sz w:val="20"/>
          <w:szCs w:val="20"/>
          <w:color w:val="auto"/>
        </w:rPr>
      </w:pPr>
      <w:r>
        <w:rPr>
          <w:rFonts w:ascii="Times New Roman" w:cs="Times New Roman" w:eastAsia="Times New Roman" w:hAnsi="Times New Roman"/>
          <w:sz w:val="20"/>
          <w:szCs w:val="20"/>
          <w:color w:val="auto"/>
        </w:rPr>
        <w:t>Moreover, because we have relied on third parties, our internal capacity to perform these functions is limited. Outsourcing these functions involves risk that third parties may not perform to our standards, may not produce results in a timely manner or may fail to perform at all. We currently have a small number of employees, which limits the internal resources we have available to engage new third-party providers, if necessary, and monitor existing third-party providers. To the extent we are unable to engage new third-party providers, if necessary, and successfully manage the performance of third-party service providers in the future, our business may be adversely affected. Though we carefully manage our relationships with CROs, there can be no assurance that we will not encounter similar challenges or delays in the future or that these delays or challenges will not have a material adverse impact on our business, financial condition, results of operation and prospects.</w:t>
      </w:r>
    </w:p>
    <w:p>
      <w:pPr>
        <w:spacing w:after="0" w:line="87" w:lineRule="exact"/>
        <w:rPr>
          <w:sz w:val="20"/>
          <w:szCs w:val="20"/>
          <w:color w:val="auto"/>
        </w:rPr>
      </w:pPr>
    </w:p>
    <w:p>
      <w:pPr>
        <w:jc w:val="both"/>
        <w:ind w:right="2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rely on third-party supply and manufacturing partners for drug supplies for our research and development, non-clinical activities, and clinical activities, and may do the same for any commercial supplies of our product candidates.</w:t>
      </w:r>
    </w:p>
    <w:p>
      <w:pPr>
        <w:spacing w:after="0" w:line="64"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We rely on third-party supply and manufacturing partners to supply the materials and components for, and manufacture, our research and development, non-clinical and clinical study drug substance and drug product. We have not yet manufactured or formulated any product candidate on a commercial scale and may not be able to do so for any of our product candidates. We will work to develop and optimize our manufacturing process; however, we cannot be sure that the process will result in therapies that are safe, potent or effective.</w:t>
      </w:r>
    </w:p>
    <w:p>
      <w:pPr>
        <w:spacing w:after="0" w:line="77"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We do not own manufacturing facilities or supply sources for such components, non-clinical and clinical study drug substance, product and materials, including devices that may be required for administration, but may develop these capabilities in the future. There can be no assurance that our supply of research and development, non-clinical and clinical development of drugs and other materials will not be limited, interrupted, restricted in certain geographic regions or will be of satisfactory quality or continue to be available at acceptable prices. In particular,</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360"/>
          </w:cols>
          <w:pgMar w:left="1260" w:top="1238" w:right="1260" w:bottom="0" w:gutter="0" w:footer="0" w:header="0"/>
          <w:type w:val="continuous"/>
        </w:sectPr>
      </w:pPr>
    </w:p>
    <w:bookmarkStart w:id="65" w:name="page66"/>
    <w:bookmarkEnd w:id="65"/>
    <w:p>
      <w:pPr>
        <w:spacing w:after="0" w:line="243" w:lineRule="auto"/>
        <w:rPr>
          <w:sz w:val="20"/>
          <w:szCs w:val="20"/>
          <w:color w:val="auto"/>
        </w:rPr>
      </w:pPr>
      <w:r>
        <w:rPr>
          <w:rFonts w:ascii="Times New Roman" w:cs="Times New Roman" w:eastAsia="Times New Roman" w:hAnsi="Times New Roman"/>
          <w:sz w:val="20"/>
          <w:szCs w:val="20"/>
          <w:color w:val="auto"/>
        </w:rPr>
        <w:t>replacement of any product formulation manufacturer we may engage could require significant effort and expertise because there may be a limited number of qualified replacements. For example, we rely and expect to continue to rely on a small number of manufacturers to supply us with our requirements for drug substance and formulated drug product related to our CTI-1601 clinical program. The drug substance which is in frozen liquid form for CTI-1601 is currently manufactured for us by a third-party manufacturer, and the frozen liquid form of drug product is made at another manufacturer. We are undertaking a program with a third party manufacturer to begin to produce a lyophilized version of the drug product from the same drug substance, that, once available, we intend to use in certain of our future planned clinical trials. Our research and development programs could be adversely affected by a significant interruption in these manufacturing services or in the supply of drug substance and formulated drugs. In addition, because we rely on multiple manufacturers for our CTI-1601 clinical program, termination of our agreements with any of these manufacturers could significantly adversely impact our current and planned operations.</w:t>
      </w:r>
    </w:p>
    <w:p>
      <w:pPr>
        <w:spacing w:after="0" w:line="86" w:lineRule="exact"/>
        <w:rPr>
          <w:sz w:val="20"/>
          <w:szCs w:val="20"/>
          <w:color w:val="auto"/>
        </w:rPr>
      </w:pPr>
    </w:p>
    <w:p>
      <w:pPr>
        <w:ind w:right="120" w:firstLine="490"/>
        <w:spacing w:after="0" w:line="243" w:lineRule="auto"/>
        <w:rPr>
          <w:sz w:val="20"/>
          <w:szCs w:val="20"/>
          <w:color w:val="auto"/>
        </w:rPr>
      </w:pPr>
      <w:r>
        <w:rPr>
          <w:rFonts w:ascii="Times New Roman" w:cs="Times New Roman" w:eastAsia="Times New Roman" w:hAnsi="Times New Roman"/>
          <w:sz w:val="20"/>
          <w:szCs w:val="20"/>
          <w:color w:val="auto"/>
        </w:rPr>
        <w:t>In the event that any of our suppliers or manufacturers fails to perform their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83"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We also rely on third parties to store master and working cell banks. We currently have one master cell bank and one working cell bank for CTI-1601 and believe we would have adequate backup should any cell bank be lost in a catastrophic event. However, it is possible that we could lose multiple cell banks and have our manufacturing severely impacted by the need to replace the cell banks, which could materially and adversely affect our business, financial condition and results of operations.</w:t>
      </w:r>
    </w:p>
    <w:p>
      <w:pPr>
        <w:spacing w:after="0" w:line="77"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We may rely on third 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 party manufacturing for product candidates, or to do so on commercially reasonable terms, we may not be able to develop and commercialize our product candidates successfully. Our or a third party’s failure to execute on our manufacturing requirements could adversely affect our business, financial condition and results of operations in a number of ways, including:</w:t>
      </w:r>
    </w:p>
    <w:p>
      <w:pPr>
        <w:spacing w:after="0" w:line="96" w:lineRule="exact"/>
        <w:rPr>
          <w:sz w:val="20"/>
          <w:szCs w:val="20"/>
          <w:color w:val="auto"/>
        </w:rPr>
      </w:pPr>
    </w:p>
    <w:p>
      <w:pPr>
        <w:ind w:left="720" w:hanging="360"/>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an inability to initiate or continue clinical trials of product candidates under development;</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delay in submitting regulatory applications, or receiving regulatory approvals, for product candidates;</w:t>
      </w:r>
    </w:p>
    <w:p>
      <w:pPr>
        <w:spacing w:after="0" w:line="133" w:lineRule="exact"/>
        <w:rPr>
          <w:rFonts w:ascii="Arial" w:cs="Arial" w:eastAsia="Arial" w:hAnsi="Arial"/>
          <w:sz w:val="20"/>
          <w:szCs w:val="20"/>
          <w:color w:val="auto"/>
        </w:rPr>
      </w:pPr>
    </w:p>
    <w:p>
      <w:pPr>
        <w:ind w:left="720" w:right="280" w:hanging="360"/>
        <w:spacing w:after="0" w:line="278" w:lineRule="auto"/>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loss of the cooperation of a collaborator, including termination or nonrenewal of the agreement at a time that is costly or inconvenient for us;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subjecting our product candidates to additional inspections by regulatory authorities;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requirements to cease distribution or to recall batches of our product candidates; and</w:t>
      </w:r>
    </w:p>
    <w:p>
      <w:pPr>
        <w:spacing w:after="0" w:line="133" w:lineRule="exact"/>
        <w:rPr>
          <w:rFonts w:ascii="Arial" w:cs="Arial" w:eastAsia="Arial" w:hAnsi="Arial"/>
          <w:sz w:val="20"/>
          <w:szCs w:val="20"/>
          <w:color w:val="auto"/>
        </w:rPr>
      </w:pPr>
    </w:p>
    <w:p>
      <w:pPr>
        <w:ind w:left="720" w:right="80" w:hanging="360"/>
        <w:spacing w:after="0" w:line="278" w:lineRule="auto"/>
        <w:tabs>
          <w:tab w:leader="none" w:pos="720" w:val="left"/>
        </w:tabs>
        <w:numPr>
          <w:ilvl w:val="0"/>
          <w:numId w:val="41"/>
        </w:numPr>
        <w:rPr>
          <w:rFonts w:ascii="Arial" w:cs="Arial" w:eastAsia="Arial" w:hAnsi="Arial"/>
          <w:sz w:val="20"/>
          <w:szCs w:val="20"/>
          <w:color w:val="auto"/>
        </w:rPr>
      </w:pPr>
      <w:r>
        <w:rPr>
          <w:rFonts w:ascii="Times New Roman" w:cs="Times New Roman" w:eastAsia="Times New Roman" w:hAnsi="Times New Roman"/>
          <w:sz w:val="20"/>
          <w:szCs w:val="20"/>
          <w:color w:val="auto"/>
        </w:rPr>
        <w:t>in the event of approval to market and commercialize a product candidate, an inability to meet commercial demands for our products.</w:t>
      </w:r>
    </w:p>
    <w:p>
      <w:pPr>
        <w:spacing w:after="0" w:line="4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and our contract manufacturers are subject to significant regulation with respect to manufacturing our products. The manufacturing facilities on which we rely may not continue to meet regulatory requirements and have limited capacity.</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340"/>
          </w:cols>
          <w:pgMar w:left="1260" w:top="1238" w:right="1280" w:bottom="0" w:gutter="0" w:footer="0" w:header="0"/>
          <w:type w:val="continuous"/>
        </w:sectPr>
      </w:pPr>
    </w:p>
    <w:bookmarkStart w:id="66" w:name="page67"/>
    <w:bookmarkEnd w:id="66"/>
    <w:p>
      <w:pPr>
        <w:ind w:right="20" w:firstLine="490"/>
        <w:spacing w:after="0" w:line="256" w:lineRule="auto"/>
        <w:rPr>
          <w:sz w:val="20"/>
          <w:szCs w:val="20"/>
          <w:color w:val="auto"/>
        </w:rPr>
      </w:pPr>
      <w:r>
        <w:rPr>
          <w:rFonts w:ascii="Times New Roman" w:cs="Times New Roman" w:eastAsia="Times New Roman" w:hAnsi="Times New Roman"/>
          <w:sz w:val="19"/>
          <w:szCs w:val="19"/>
          <w:color w:val="auto"/>
        </w:rPr>
        <w:t>All entities involved in the preparation of therapeutics for clinical trials or commercial sale, including our existing contract manufacturers for CTI-1601,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BLA or NDA on a timely basis and where required, must adhere to the FDA’s or other regulator’s GLPs and cGMP regulations enforced by the FDA or other regulator through facilities inspection programs. The facilities and quality systems of some or all of our third party contractors must pass a pre-approval inspection for compliance with the applicable regulations as a condition of regulatory approval of CTI-1601 or any of our other potential products. In addition, the regulatory authorities may, at any time, audit or inspect a manufacturing facility involved with the preparation of CTI-1601 or our other potential products or the associated quality systems for compliance with the regulations applicable to the activities being conducted. If these facilities do not pass a pre-approval plant inspection, the FDA or other regulatory approval of the products will not be granted.</w:t>
      </w:r>
    </w:p>
    <w:p>
      <w:pPr>
        <w:spacing w:after="0" w:line="71"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The regulatory authorities also may, at any time following approval of a product for sale, audit the manufacturing facilities of our third 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materially harm our business.</w:t>
      </w:r>
    </w:p>
    <w:p>
      <w:pPr>
        <w:spacing w:after="0" w:line="82"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auto"/>
        </w:rPr>
        <w:t>If we or any of our third party manufacturers fail to maintain regulatory compliance, the FDA or other regulators can impose regulatory sanctions including, among other things, refusal to approve a pending application for a biologic product, or revocation of a pre-existing approval. As a result, our business, financial condition and results of operations may be materially harmed.</w:t>
      </w:r>
    </w:p>
    <w:p>
      <w:pPr>
        <w:spacing w:after="0" w:line="70"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our ability to develop product candidates in a timely manner or within budget.</w:t>
      </w:r>
    </w:p>
    <w:p>
      <w:pPr>
        <w:spacing w:after="0" w:line="80"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auto"/>
        </w:rPr>
        <w:t>These factors could also cause the delay of manufacturing development, clinical trials, regulatory submissions, required approvals or commercialization of CTI-1601 or any other product candidates, cause us to incur higher costs and prevent us from commercializing our products successfully. Furthermore, if our suppliers fail to meet contractual requirements, and we are unable to secure one or more replacement suppliers capable of production at a substantially equivalent cost, our clinical trials may be delayed, or we could lose potential revenues. Any of the above would materially adversely affect our business, financial condition and results of operations.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methods of product candidate manufacturing may result in additional costs and/or delays.</w:t>
      </w:r>
    </w:p>
    <w:p>
      <w:pPr>
        <w:spacing w:after="0" w:line="118"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As product candidates progress through clinical to late-stage clinical trials to marketing approval and commercialization, it is common that various aspects of the development program, such as manufacturing methods, are altered along the way in an effort to optimize yield, manufacturing batch size, change drug product dosage form,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360"/>
          </w:cols>
          <w:pgMar w:left="1260" w:top="1238" w:right="1260" w:bottom="0" w:gutter="0" w:footer="0" w:header="0"/>
          <w:type w:val="continuous"/>
        </w:sectPr>
      </w:pPr>
    </w:p>
    <w:bookmarkStart w:id="67" w:name="page68"/>
    <w:bookmarkEnd w:id="67"/>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enter into various contracts in the normal course of our business in which we indemnify the other party to the contract. In the event we have to perform under these indemnification provisions, it could materially increase our costs and potential liability.</w:t>
      </w:r>
    </w:p>
    <w:p>
      <w:pPr>
        <w:spacing w:after="0" w:line="64"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In the normal course of business, we periodically enter into academic, commercial, service, collaboration, licensing, consulting and other agreements that contain indemnification provisions. With respect to our academic and other research agreements, we 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and contract service agreements, we indemnify our collaborators from any third party product liability claims that could result from the production, use or consumption of the product, as well as for alleged infringements of any patent or other intellectual property right by a third party. With respect to consulting agreements, we indemnify consultants from claims arising from the good faith performance of their consulting services.</w:t>
      </w:r>
    </w:p>
    <w:p>
      <w:pPr>
        <w:spacing w:after="0" w:line="82"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their applicable insurance coverage, and if the collaborator does not have other assets available to indemnify us, our business, financial condition and results of operations could be adversely affected.</w:t>
      </w:r>
    </w:p>
    <w:p>
      <w:pPr>
        <w:spacing w:after="0" w:line="81"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To the extent we are able to enter into collaborative arrangements or strategic alliances, we may be exposed to risks related to those collaborations and alliances.</w:t>
      </w:r>
    </w:p>
    <w:p>
      <w:pPr>
        <w:spacing w:after="0" w:line="4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Biotechnology companies sometimes become dependent upon collaborative arrangements or strategic alliances to complete the development and commercialization of product candidates. In seeking collaborative arrangements and strategic partners, we face significant competition from other companies as well as public and private research institutions. There can be no assurance that we will be able to enter into or maintain strategic alliances on terms favorable to us, or at all. If we elect to enter into collaborative arrangements or strategic alliances, these arrangements may place the development of our product candidates outside our control, may require us to relinquish important rights or may otherwise be on terms unfavorable to us, which could adversely affect our business, financial condition and results of operations.</w:t>
      </w:r>
    </w:p>
    <w:p>
      <w:pPr>
        <w:spacing w:after="0" w:line="82" w:lineRule="exact"/>
        <w:rPr>
          <w:sz w:val="20"/>
          <w:szCs w:val="20"/>
          <w:color w:val="auto"/>
        </w:rPr>
      </w:pPr>
    </w:p>
    <w:p>
      <w:pPr>
        <w:ind w:right="600" w:firstLine="490"/>
        <w:spacing w:after="0" w:line="279" w:lineRule="auto"/>
        <w:rPr>
          <w:sz w:val="20"/>
          <w:szCs w:val="20"/>
          <w:color w:val="auto"/>
        </w:rPr>
      </w:pPr>
      <w:r>
        <w:rPr>
          <w:rFonts w:ascii="Times New Roman" w:cs="Times New Roman" w:eastAsia="Times New Roman" w:hAnsi="Times New Roman"/>
          <w:sz w:val="20"/>
          <w:szCs w:val="20"/>
          <w:color w:val="auto"/>
        </w:rPr>
        <w:t>Dependence on collaborative arrangements or strategic alliances would subject us to a number of risks, including the risk that:</w:t>
      </w:r>
    </w:p>
    <w:p>
      <w:pPr>
        <w:spacing w:after="0" w:line="60" w:lineRule="exact"/>
        <w:rPr>
          <w:sz w:val="20"/>
          <w:szCs w:val="20"/>
          <w:color w:val="auto"/>
        </w:rPr>
      </w:pPr>
    </w:p>
    <w:p>
      <w:pPr>
        <w:ind w:left="720" w:right="120" w:hanging="360"/>
        <w:spacing w:after="0" w:line="278"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control the amount and timing of resources that our collaborators may devote to the relevant product candidates;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our collaborators may experience financial difficulties;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required to relinquish important rights, such as marketing and distribution rights;</w:t>
      </w:r>
    </w:p>
    <w:p>
      <w:pPr>
        <w:spacing w:after="0" w:line="133" w:lineRule="exact"/>
        <w:rPr>
          <w:rFonts w:ascii="Arial" w:cs="Arial" w:eastAsia="Arial" w:hAnsi="Arial"/>
          <w:sz w:val="20"/>
          <w:szCs w:val="20"/>
          <w:color w:val="auto"/>
        </w:rPr>
      </w:pPr>
    </w:p>
    <w:p>
      <w:pPr>
        <w:ind w:left="720" w:hanging="360"/>
        <w:spacing w:after="0" w:line="278"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business combinations or significant changes in a collaborator’s business strategy may also adversely affect a collaborator’s willingness or ability to complete its obligations under any arrangement;</w:t>
      </w:r>
    </w:p>
    <w:p>
      <w:pPr>
        <w:spacing w:after="0" w:line="60" w:lineRule="exact"/>
        <w:rPr>
          <w:rFonts w:ascii="Arial" w:cs="Arial" w:eastAsia="Arial" w:hAnsi="Arial"/>
          <w:sz w:val="20"/>
          <w:szCs w:val="20"/>
          <w:color w:val="auto"/>
        </w:rPr>
      </w:pPr>
    </w:p>
    <w:p>
      <w:pPr>
        <w:ind w:left="720" w:right="620" w:hanging="360"/>
        <w:spacing w:after="0" w:line="278"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a collaborator could independently move forward with a competing drug candidate developed either independently or in collaboration with others, including our competitors; and</w:t>
      </w:r>
    </w:p>
    <w:p>
      <w:pPr>
        <w:spacing w:after="0" w:line="60" w:lineRule="exact"/>
        <w:rPr>
          <w:rFonts w:ascii="Arial" w:cs="Arial" w:eastAsia="Arial" w:hAnsi="Arial"/>
          <w:sz w:val="20"/>
          <w:szCs w:val="20"/>
          <w:color w:val="auto"/>
        </w:rPr>
      </w:pPr>
    </w:p>
    <w:p>
      <w:pPr>
        <w:ind w:left="720" w:right="140" w:hanging="360"/>
        <w:spacing w:after="0" w:line="278" w:lineRule="auto"/>
        <w:tabs>
          <w:tab w:leader="none" w:pos="720" w:val="left"/>
        </w:tabs>
        <w:numPr>
          <w:ilvl w:val="0"/>
          <w:numId w:val="42"/>
        </w:numPr>
        <w:rPr>
          <w:rFonts w:ascii="Arial" w:cs="Arial" w:eastAsia="Arial" w:hAnsi="Arial"/>
          <w:sz w:val="20"/>
          <w:szCs w:val="20"/>
          <w:color w:val="auto"/>
        </w:rPr>
      </w:pPr>
      <w:r>
        <w:rPr>
          <w:rFonts w:ascii="Times New Roman" w:cs="Times New Roman" w:eastAsia="Times New Roman" w:hAnsi="Times New Roman"/>
          <w:sz w:val="20"/>
          <w:szCs w:val="20"/>
          <w:color w:val="auto"/>
        </w:rPr>
        <w:t>collaborative arrangements are often terminated or allowed to expire, which would delay the development and may increase the cost of developing our drug candidates.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Intellectual Property Rights</w:t>
      </w:r>
    </w:p>
    <w:p>
      <w:pPr>
        <w:spacing w:after="0" w:line="125" w:lineRule="exact"/>
        <w:rPr>
          <w:sz w:val="20"/>
          <w:szCs w:val="20"/>
          <w:color w:val="auto"/>
        </w:rPr>
      </w:pPr>
    </w:p>
    <w:p>
      <w:pPr>
        <w:ind w:right="1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If, in the United States and other countries, we are unable to adequately protect our proprietary technology or maintain issued patents which are sufficient to protect CTI-1601 or potential product candidates, third parties could compete against us more directly, which would have a material adverse impact on our business, results of operations, financial condition and prospects.</w:t>
      </w:r>
    </w:p>
    <w:p>
      <w:pPr>
        <w:spacing w:after="0" w:line="72" w:lineRule="exact"/>
        <w:rPr>
          <w:sz w:val="20"/>
          <w:szCs w:val="20"/>
          <w:color w:val="auto"/>
        </w:rPr>
      </w:pPr>
    </w:p>
    <w:p>
      <w:pPr>
        <w:ind w:right="40" w:firstLine="490"/>
        <w:spacing w:after="0" w:line="307" w:lineRule="auto"/>
        <w:rPr>
          <w:sz w:val="20"/>
          <w:szCs w:val="20"/>
          <w:color w:val="auto"/>
        </w:rPr>
      </w:pPr>
      <w:r>
        <w:rPr>
          <w:rFonts w:ascii="Times New Roman" w:cs="Times New Roman" w:eastAsia="Times New Roman" w:hAnsi="Times New Roman"/>
          <w:sz w:val="19"/>
          <w:szCs w:val="19"/>
          <w:color w:val="auto"/>
        </w:rPr>
        <w:t>Our commercial success will depend in part on our success in obtaining and maintaining issued patents and other intellectual property rights in the United States and elsewhere and protecting our proprietary technology. If we</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340"/>
          </w:cols>
          <w:pgMar w:left="1260" w:top="1240" w:right="1280" w:bottom="0" w:gutter="0" w:footer="0" w:header="0"/>
          <w:type w:val="continuous"/>
        </w:sectPr>
      </w:pPr>
    </w:p>
    <w:bookmarkStart w:id="68" w:name="page69"/>
    <w:bookmarkEnd w:id="68"/>
    <w:p>
      <w:pPr>
        <w:ind w:right="240"/>
        <w:spacing w:after="0" w:line="259" w:lineRule="auto"/>
        <w:rPr>
          <w:sz w:val="20"/>
          <w:szCs w:val="20"/>
          <w:color w:val="auto"/>
        </w:rPr>
      </w:pPr>
      <w:r>
        <w:rPr>
          <w:rFonts w:ascii="Times New Roman" w:cs="Times New Roman" w:eastAsia="Times New Roman" w:hAnsi="Times New Roman"/>
          <w:sz w:val="20"/>
          <w:szCs w:val="20"/>
          <w:color w:val="auto"/>
        </w:rPr>
        <w:t>do not adequately protect our intellectual property and proprietary technology, competitors may be able to use our technologies and erode or negate any competitive advantage we may have, which could harm our business and ability to achieve profitability.</w:t>
      </w:r>
    </w:p>
    <w:p>
      <w:pPr>
        <w:spacing w:after="0" w:line="65" w:lineRule="exact"/>
        <w:rPr>
          <w:sz w:val="20"/>
          <w:szCs w:val="20"/>
          <w:color w:val="auto"/>
        </w:rPr>
      </w:pPr>
    </w:p>
    <w:p>
      <w:pPr>
        <w:ind w:right="40" w:firstLine="490"/>
        <w:spacing w:after="0" w:line="263" w:lineRule="auto"/>
        <w:rPr>
          <w:sz w:val="20"/>
          <w:szCs w:val="20"/>
          <w:color w:val="auto"/>
        </w:rPr>
      </w:pPr>
      <w:r>
        <w:rPr>
          <w:rFonts w:ascii="Times New Roman" w:cs="Times New Roman" w:eastAsia="Times New Roman" w:hAnsi="Times New Roman"/>
          <w:sz w:val="19"/>
          <w:szCs w:val="19"/>
          <w:color w:val="auto"/>
        </w:rPr>
        <w:t>With respect to our patent portfolio, we in-license from WFUHS certain issued U.S. patents that relate to CTI-1601 and its use for treating FA. We also in-license from IU a United States patent and pending non-provisional applications in the United States and certain foreign countries that relate to the composition of CTI-1601 and methods of use, and certain U.S. patents relating to materials and methods of use relating to the development of CTI-1601. We also own or co-own pending international and United States non-provisional applications and United States provisional applications relating to methods of use of CTI-1601, biomarkers and to our platform technology.</w:t>
      </w:r>
    </w:p>
    <w:p>
      <w:pPr>
        <w:spacing w:after="0" w:line="63"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In some cases, we have only filed provisional patent applications on certain aspects of our technologies and each of these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w:t>
      </w:r>
    </w:p>
    <w:p>
      <w:pPr>
        <w:spacing w:after="0" w:line="77" w:lineRule="exact"/>
        <w:rPr>
          <w:sz w:val="20"/>
          <w:szCs w:val="20"/>
          <w:color w:val="auto"/>
        </w:rPr>
      </w:pPr>
    </w:p>
    <w:p>
      <w:pPr>
        <w:ind w:firstLine="490"/>
        <w:spacing w:after="0" w:line="259" w:lineRule="auto"/>
        <w:rPr>
          <w:sz w:val="20"/>
          <w:szCs w:val="20"/>
          <w:color w:val="auto"/>
        </w:rPr>
      </w:pPr>
      <w:r>
        <w:rPr>
          <w:rFonts w:ascii="Times New Roman" w:cs="Times New Roman" w:eastAsia="Times New Roman" w:hAnsi="Times New Roman"/>
          <w:sz w:val="20"/>
          <w:szCs w:val="20"/>
          <w:color w:val="auto"/>
        </w:rPr>
        <w:t>With respect to both in-licensed and owned intellectual property,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65" w:lineRule="exact"/>
        <w:rPr>
          <w:sz w:val="20"/>
          <w:szCs w:val="20"/>
          <w:color w:val="auto"/>
        </w:rPr>
      </w:pPr>
    </w:p>
    <w:p>
      <w:pPr>
        <w:ind w:right="40" w:firstLine="490"/>
        <w:spacing w:after="0" w:line="256" w:lineRule="auto"/>
        <w:rPr>
          <w:sz w:val="20"/>
          <w:szCs w:val="20"/>
          <w:color w:val="auto"/>
        </w:rPr>
      </w:pPr>
      <w:r>
        <w:rPr>
          <w:rFonts w:ascii="Times New Roman" w:cs="Times New Roman" w:eastAsia="Times New Roman" w:hAnsi="Times New Roman"/>
          <w:sz w:val="19"/>
          <w:szCs w:val="19"/>
          <w:color w:val="auto"/>
        </w:rPr>
        <w:t>We cannot provide any assurances that any of our pending patent applications that mature into issued patents will include claims with a scope sufficient to protect CTI-1601, or other potential product candidates. Other parties have developed technologies that may be related or competitive to our approach and may have filed or may file patent applications and may have received or may receive patents that may overlap or conflict with our patent applications, either by claiming the same methods or formulations or by claiming subject matter that could dominate our patent position. The patent positions of biotechnology and pharmaceutical companies, including our patent position, involve complex legal and factual questions, and, therefore, the issuance, scope, validity and enforceability of any patent claims that we may obtain cannot be predicted with certainty. Patents, if issued, may be challenged, deemed unenforceable, invalidated, or circumvented. U.S. patents and patent applications may also be subject to interference proceedings, ex parte reexamination, or inter partes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we may own or exclusively license may not provide any protection against competitors. Furthermore, an adverse decision in an interference proceeding can result in a third party receiving the patent right sought by us, which in turn could affect our ability to develop, market or otherwise commercialize CTI-1601, and other potential product candidates.</w:t>
      </w:r>
    </w:p>
    <w:p>
      <w:pPr>
        <w:spacing w:after="0" w:line="68"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Furthermore, though an issued patent is presumed valid and enforceable, its issuance is not conclusive as to its validity or its enforceability and it may not provide us with adequate proprietary protection or competitive advantages against competitors with similar products. Competitors may also be able to design around our patents. Other parties may develop and obtain patent protection for more effective technologies, designs or methods. The laws of some foreign countries do not protect our proprietary rights to the same extent as the laws of the United States, and we may encounter significant problems in protecting our proprietary rights in these countries. If these developments were to occur, they could have a material adverse effect on our potential future sales.</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Our ability to enforce our patent rights depends on our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our patent rights, even if we were to prevail, could be costly and time-consuming and would divert the attention of our management and key personnel from our business operations. We may not prevail in any lawsuits that we initiate, and the damages or other remedies awarded if we were to prevail may not be commercially meaningful.</w:t>
      </w:r>
    </w:p>
    <w:p>
      <w:pPr>
        <w:spacing w:after="0" w:line="80" w:lineRule="exact"/>
        <w:rPr>
          <w:sz w:val="20"/>
          <w:szCs w:val="20"/>
          <w:color w:val="auto"/>
        </w:rPr>
      </w:pPr>
    </w:p>
    <w:p>
      <w:pPr>
        <w:ind w:right="360" w:firstLine="490"/>
        <w:spacing w:after="0" w:line="270" w:lineRule="auto"/>
        <w:rPr>
          <w:sz w:val="20"/>
          <w:szCs w:val="20"/>
          <w:color w:val="auto"/>
        </w:rPr>
      </w:pPr>
      <w:r>
        <w:rPr>
          <w:rFonts w:ascii="Times New Roman" w:cs="Times New Roman" w:eastAsia="Times New Roman" w:hAnsi="Times New Roman"/>
          <w:sz w:val="19"/>
          <w:szCs w:val="19"/>
          <w:color w:val="auto"/>
        </w:rPr>
        <w:t>In addition, proceedings to enforce or defend our patents could put our patents at risk of being invalidated, held unenforceable, or interpreted narrowly. Such proceedings could also provoke third parties to assert claims against us, including that some or all of the claims in one or more of our patents are invalid or otherwise unenforceable. If any of our patents covering CTI-1601 are invalidated or found unenforceable, our financial</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360"/>
          </w:cols>
          <w:pgMar w:left="1260" w:top="1238" w:right="1260" w:bottom="0" w:gutter="0" w:footer="0" w:header="0"/>
          <w:type w:val="continuous"/>
        </w:sectPr>
      </w:pPr>
    </w:p>
    <w:bookmarkStart w:id="69" w:name="page70"/>
    <w:bookmarkEnd w:id="69"/>
    <w:p>
      <w:pPr>
        <w:ind w:right="300"/>
        <w:spacing w:after="0" w:line="259" w:lineRule="auto"/>
        <w:rPr>
          <w:sz w:val="20"/>
          <w:szCs w:val="20"/>
          <w:color w:val="auto"/>
        </w:rPr>
      </w:pPr>
      <w:r>
        <w:rPr>
          <w:rFonts w:ascii="Times New Roman" w:cs="Times New Roman" w:eastAsia="Times New Roman" w:hAnsi="Times New Roman"/>
          <w:sz w:val="20"/>
          <w:szCs w:val="20"/>
          <w:color w:val="auto"/>
        </w:rPr>
        <w:t>position and results of operations would be materially and adversely impacted. In addition, if a court found that valid, enforceable patents held by third parties covered CTI-1601, our financial position and results of operations would also be materially and adversely impacted.</w:t>
      </w:r>
    </w:p>
    <w:p>
      <w:pPr>
        <w:spacing w:after="0" w:line="6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degree of future protection for our proprietary rights is uncertain, and we cannot ensure that:</w:t>
      </w:r>
    </w:p>
    <w:p>
      <w:pPr>
        <w:spacing w:after="0" w:line="134" w:lineRule="exact"/>
        <w:rPr>
          <w:sz w:val="20"/>
          <w:szCs w:val="20"/>
          <w:color w:val="auto"/>
        </w:rPr>
      </w:pPr>
    </w:p>
    <w:p>
      <w:pPr>
        <w:ind w:left="720" w:right="160" w:hanging="360"/>
        <w:spacing w:after="0" w:line="278"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any of our patents, or any of our pending patent applications, if issued, will include claims having a scope sufficient to protect CTI-1601 or any other products or product candidates;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any of our pending patent applications will issue as patents;</w:t>
      </w:r>
    </w:p>
    <w:p>
      <w:pPr>
        <w:spacing w:after="0" w:line="133" w:lineRule="exact"/>
        <w:rPr>
          <w:rFonts w:ascii="Arial" w:cs="Arial" w:eastAsia="Arial" w:hAnsi="Arial"/>
          <w:sz w:val="20"/>
          <w:szCs w:val="20"/>
          <w:color w:val="auto"/>
        </w:rPr>
      </w:pPr>
    </w:p>
    <w:p>
      <w:pPr>
        <w:ind w:left="720" w:right="440" w:hanging="360"/>
        <w:spacing w:after="0" w:line="278"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we will be able to successfully develop and, if approved, commercialize CTI-1601 before our relevant patents expire;</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we were the first to make the inventions covered by each of our patents and pending patent applications;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we were the first to file patent applications for these inventions;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others will not develop similar or alternative technologies that do not infringe our patents;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any of our patents will be found to ultimately be valid and enforceable;</w:t>
      </w:r>
    </w:p>
    <w:p>
      <w:pPr>
        <w:spacing w:after="0" w:line="133" w:lineRule="exact"/>
        <w:rPr>
          <w:rFonts w:ascii="Arial" w:cs="Arial" w:eastAsia="Arial" w:hAnsi="Arial"/>
          <w:sz w:val="20"/>
          <w:szCs w:val="20"/>
          <w:color w:val="auto"/>
        </w:rPr>
      </w:pPr>
    </w:p>
    <w:p>
      <w:pPr>
        <w:ind w:left="720" w:right="120" w:hanging="360"/>
        <w:spacing w:after="0" w:line="278" w:lineRule="auto"/>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any patents issued to us will provide a basis for an exclusive market for our commercially viable products, will provide us with any competitive advantages or will not be challenged by third parties;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we will develop additional proprietary technologies or product candidates that are separately patentable; or</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3"/>
        </w:numPr>
        <w:rPr>
          <w:rFonts w:ascii="Arial" w:cs="Arial" w:eastAsia="Arial" w:hAnsi="Arial"/>
          <w:sz w:val="20"/>
          <w:szCs w:val="20"/>
          <w:color w:val="auto"/>
        </w:rPr>
      </w:pPr>
      <w:r>
        <w:rPr>
          <w:rFonts w:ascii="Times New Roman" w:cs="Times New Roman" w:eastAsia="Times New Roman" w:hAnsi="Times New Roman"/>
          <w:sz w:val="20"/>
          <w:szCs w:val="20"/>
          <w:color w:val="auto"/>
        </w:rPr>
        <w:t>that our commercial activities or products will not infringe upon the patents of others.</w:t>
      </w:r>
    </w:p>
    <w:p>
      <w:pPr>
        <w:spacing w:after="0" w:line="119"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rely upon unpatented trade secrets, unpatented know-how and continuing technological innovation to develop and maintain our competitive position, which we seek to protect, in part, by confidentiality agreements with our employees and consultants. We also have agreements with our employees and selected consultants that obligate them to assign their inventions to us and have non-compete agreements with some, but not all, of our consultants. It is possible that technology relevant to our business will be independently developed by a person that is not a party to such an agreement. Furthermore, if the employees and consultants who are parties to these agreements breach or violate the terms of these agreements, we may not have adequate remedies for any such breach or violation, and we could lose our trade secrets through such breaches or violations. Further, our trade secrets could otherwise become known or be independently discovered by our competitors. If we are unable to adequately protect our proprietary technology or maintain issued patents which are sufficient to protect CTI-1601 or potential future product candidates, third parties could compete against us more directly, which would have a material adverse impact on our business, results of operations, financial condition and prospects.</w:t>
      </w:r>
    </w:p>
    <w:p>
      <w:pPr>
        <w:spacing w:after="0" w:line="87"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key patent, which we license relates to CTI-1601 will expire in 2040 and we will lose our ability to rely upon this patent to prevent competing products from entering the market, which may impair our ability to generate revenue.</w:t>
      </w:r>
    </w:p>
    <w:p>
      <w:pPr>
        <w:spacing w:after="0" w:line="64"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have in-licensed certain patents relating to CTI-1601 from WFUHS. The U.S. patents relating to CTI-1601 and its use for the treatment of FA expire in 2024 and 2025, respectively. When these patents expire, we will be unable to use these patents to try to block others from marketing CTI-1601 in the United States We have also in-licensed an issued United State patent and pending non-provisional United States patent applications in the United States and certain foreign countries relating to the composition of CTI-1601 and methods of use from IU. This United States patent will expire in 2040 at the earliest. Pending applications if issued as patents, would also expire in 2040 at the earliest. We cannot predict whether these patent applications we and our licensors are currently pursuing will issue as patents in any particular jurisdiction or whether the claims of any issued patents will provide sufficient protection from competitors or other third parties. When these various patents, if issued, expire, we will be unable to use the patents to try to block others from marketing CTI-1601 in the United States.</w:t>
      </w:r>
    </w:p>
    <w:p>
      <w:pPr>
        <w:spacing w:after="0" w:line="82" w:lineRule="exact"/>
        <w:rPr>
          <w:sz w:val="20"/>
          <w:szCs w:val="20"/>
          <w:color w:val="auto"/>
        </w:rPr>
      </w:pPr>
    </w:p>
    <w:p>
      <w:pPr>
        <w:ind w:right="100" w:firstLine="490"/>
        <w:spacing w:after="0" w:line="266" w:lineRule="auto"/>
        <w:rPr>
          <w:sz w:val="20"/>
          <w:szCs w:val="20"/>
          <w:color w:val="auto"/>
        </w:rPr>
      </w:pPr>
      <w:r>
        <w:rPr>
          <w:rFonts w:ascii="Times New Roman" w:cs="Times New Roman" w:eastAsia="Times New Roman" w:hAnsi="Times New Roman"/>
          <w:sz w:val="19"/>
          <w:szCs w:val="19"/>
          <w:color w:val="auto"/>
        </w:rPr>
        <w:t>We own a certain United States provisional application and certain United States and foreign non-provisional applications relating to our platform technology which, if issued as patents, would be expected to expire in 2041-2043. The provisional application may not be timely converted into a non-provisional application, and we cannot predict whether these provisional applications and non-provisional patent applications will issue as patents in any particular jurisdiction, or whether the claims of any issued patents will provide sufficient protection from</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340"/>
          </w:cols>
          <w:pgMar w:left="1260" w:top="1238" w:right="1280" w:bottom="0" w:gutter="0" w:footer="0" w:header="0"/>
          <w:type w:val="continuous"/>
        </w:sectPr>
      </w:pPr>
    </w:p>
    <w:bookmarkStart w:id="70" w:name="page71"/>
    <w:bookmarkEnd w:id="70"/>
    <w:p>
      <w:pPr>
        <w:spacing w:after="0" w:line="279" w:lineRule="auto"/>
        <w:rPr>
          <w:sz w:val="20"/>
          <w:szCs w:val="20"/>
          <w:color w:val="auto"/>
        </w:rPr>
      </w:pPr>
      <w:r>
        <w:rPr>
          <w:rFonts w:ascii="Times New Roman" w:cs="Times New Roman" w:eastAsia="Times New Roman" w:hAnsi="Times New Roman"/>
          <w:sz w:val="20"/>
          <w:szCs w:val="20"/>
          <w:color w:val="auto"/>
        </w:rPr>
        <w:t>competitors or third parties for potential product candidates. When these various patents expire, we will be unable to use the patents to try to block others from marketing products pertaining to our platform technology.</w:t>
      </w:r>
    </w:p>
    <w:p>
      <w:pPr>
        <w:spacing w:after="0" w:line="45" w:lineRule="exact"/>
        <w:rPr>
          <w:sz w:val="20"/>
          <w:szCs w:val="20"/>
          <w:color w:val="auto"/>
        </w:rPr>
      </w:pPr>
    </w:p>
    <w:p>
      <w:pPr>
        <w:jc w:val="both"/>
        <w:ind w:right="360" w:firstLine="490"/>
        <w:spacing w:after="0" w:line="253" w:lineRule="auto"/>
        <w:rPr>
          <w:sz w:val="20"/>
          <w:szCs w:val="20"/>
          <w:color w:val="auto"/>
        </w:rPr>
      </w:pPr>
      <w:r>
        <w:rPr>
          <w:rFonts w:ascii="Times New Roman" w:cs="Times New Roman" w:eastAsia="Times New Roman" w:hAnsi="Times New Roman"/>
          <w:sz w:val="20"/>
          <w:szCs w:val="20"/>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w:t>
      </w:r>
    </w:p>
    <w:p>
      <w:pPr>
        <w:spacing w:after="0" w:line="70" w:lineRule="exact"/>
        <w:rPr>
          <w:sz w:val="20"/>
          <w:szCs w:val="20"/>
          <w:color w:val="auto"/>
        </w:rPr>
      </w:pPr>
    </w:p>
    <w:p>
      <w:pPr>
        <w:ind w:right="520" w:firstLine="490"/>
        <w:spacing w:after="0" w:line="259" w:lineRule="auto"/>
        <w:rPr>
          <w:sz w:val="20"/>
          <w:szCs w:val="20"/>
          <w:color w:val="auto"/>
        </w:rPr>
      </w:pPr>
      <w:r>
        <w:rPr>
          <w:rFonts w:ascii="Times New Roman" w:cs="Times New Roman" w:eastAsia="Times New Roman" w:hAnsi="Times New Roman"/>
          <w:sz w:val="20"/>
          <w:szCs w:val="20"/>
          <w:color w:val="auto"/>
        </w:rPr>
        <w:t>Once our patents expire, we will be subject to competition from third parties who will be able to use the intellectual property covered by these patents, which could impair our ability to generate revenue and could adversely affect our business, financial condition and results of operations.</w:t>
      </w:r>
    </w:p>
    <w:p>
      <w:pPr>
        <w:spacing w:after="0" w:line="67"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may infringe the intellectual property rights of others, which may prevent or delay our product development efforts and stop us from commercializing or may increase the costs of commercializing CTI-1601 or other potential product candidates, if approved.</w:t>
      </w:r>
    </w:p>
    <w:p>
      <w:pPr>
        <w:spacing w:after="0" w:line="64" w:lineRule="exact"/>
        <w:rPr>
          <w:sz w:val="20"/>
          <w:szCs w:val="20"/>
          <w:color w:val="auto"/>
        </w:rPr>
      </w:pPr>
    </w:p>
    <w:p>
      <w:pPr>
        <w:jc w:val="both"/>
        <w:ind w:right="480" w:firstLine="490"/>
        <w:spacing w:after="0" w:line="259" w:lineRule="auto"/>
        <w:rPr>
          <w:sz w:val="20"/>
          <w:szCs w:val="20"/>
          <w:color w:val="auto"/>
        </w:rPr>
      </w:pPr>
      <w:r>
        <w:rPr>
          <w:rFonts w:ascii="Times New Roman" w:cs="Times New Roman" w:eastAsia="Times New Roman" w:hAnsi="Times New Roman"/>
          <w:sz w:val="20"/>
          <w:szCs w:val="20"/>
          <w:color w:val="auto"/>
        </w:rPr>
        <w:t>Our success will depend in part on our ability to operate without infringing the intellectual property and proprietary rights of third parties. We cannot ensure that our business, products and methods do not or will not infringe the patents or other intellectual property rights of third parties.</w:t>
      </w:r>
    </w:p>
    <w:p>
      <w:pPr>
        <w:spacing w:after="0" w:line="65"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pharmaceutical industry is characterized by extensive litigation regarding patents and other intellectual property rights. Third parties may allege that CTI-1601 or our other potential product candidates or the use of our technologies infringes patent claims or other intellectual property rights held by them or that we are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us may require us to pay substantial damages, including treble damages and attorneys’ fees if we are found to be willfully infringing another party’s patents, for past use of the asserted intellectual property and royalties and other consideration going forward if we are forced to take a license. In addition, we may also be required to indemnify certain of our licensors, vendors or suppliers from any damages they incur related to any infringement of any third party intellectual property by our product candidates.</w:t>
      </w:r>
    </w:p>
    <w:p>
      <w:pPr>
        <w:spacing w:after="0" w:line="82" w:lineRule="exact"/>
        <w:rPr>
          <w:sz w:val="20"/>
          <w:szCs w:val="20"/>
          <w:color w:val="auto"/>
        </w:rPr>
      </w:pPr>
    </w:p>
    <w:p>
      <w:pPr>
        <w:ind w:right="20" w:firstLine="490"/>
        <w:spacing w:after="0" w:line="279" w:lineRule="auto"/>
        <w:rPr>
          <w:sz w:val="20"/>
          <w:szCs w:val="20"/>
          <w:color w:val="auto"/>
        </w:rPr>
      </w:pPr>
      <w:r>
        <w:rPr>
          <w:rFonts w:ascii="Times New Roman" w:cs="Times New Roman" w:eastAsia="Times New Roman" w:hAnsi="Times New Roman"/>
          <w:sz w:val="20"/>
          <w:szCs w:val="20"/>
          <w:color w:val="auto"/>
        </w:rPr>
        <w:t>In addition, if any such claim were successfully asserted against us and we could not obtain such a license, we may be forced to stop or delay developing, manufacturing, selling or otherwise commercializing CTI-1601.</w:t>
      </w:r>
    </w:p>
    <w:p>
      <w:pPr>
        <w:spacing w:after="0" w:line="45" w:lineRule="exact"/>
        <w:rPr>
          <w:sz w:val="20"/>
          <w:szCs w:val="20"/>
          <w:color w:val="auto"/>
        </w:rPr>
      </w:pPr>
    </w:p>
    <w:p>
      <w:pPr>
        <w:ind w:right="180" w:firstLine="490"/>
        <w:spacing w:after="0" w:line="247" w:lineRule="auto"/>
        <w:rPr>
          <w:sz w:val="20"/>
          <w:szCs w:val="20"/>
          <w:color w:val="auto"/>
        </w:rPr>
      </w:pPr>
      <w:r>
        <w:rPr>
          <w:rFonts w:ascii="Times New Roman" w:cs="Times New Roman" w:eastAsia="Times New Roman" w:hAnsi="Times New Roman"/>
          <w:sz w:val="20"/>
          <w:szCs w:val="20"/>
          <w:color w:val="auto"/>
        </w:rPr>
        <w:t>Even if we are successful in these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products. Patent litigation is costly and time consuming. We may not have sufficient resources to bring these actions to a successful conclusion. In addition, intellectual property litigation or claims could force us to do one or more of the following:</w:t>
      </w:r>
    </w:p>
    <w:p>
      <w:pPr>
        <w:spacing w:after="0" w:line="94" w:lineRule="exact"/>
        <w:rPr>
          <w:sz w:val="20"/>
          <w:szCs w:val="20"/>
          <w:color w:val="auto"/>
        </w:rPr>
      </w:pPr>
    </w:p>
    <w:p>
      <w:pPr>
        <w:ind w:left="720" w:hanging="360"/>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cease developing, selling or otherwise commercializing CTI-1601;</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cease preparations or development of our other potential product candidates;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pay substantial damages for past use of the asserted intellectual property;</w:t>
      </w:r>
    </w:p>
    <w:p>
      <w:pPr>
        <w:spacing w:after="0" w:line="133" w:lineRule="exact"/>
        <w:rPr>
          <w:rFonts w:ascii="Arial" w:cs="Arial" w:eastAsia="Arial" w:hAnsi="Arial"/>
          <w:sz w:val="20"/>
          <w:szCs w:val="20"/>
          <w:color w:val="auto"/>
        </w:rPr>
      </w:pPr>
    </w:p>
    <w:p>
      <w:pPr>
        <w:ind w:left="720" w:right="40" w:hanging="360"/>
        <w:spacing w:after="0" w:line="278"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obtain a license from the holder of the asserted intellectual property, which license may not be available on reasonable terms, if at all; and</w:t>
      </w:r>
    </w:p>
    <w:p>
      <w:pPr>
        <w:spacing w:after="0" w:line="60" w:lineRule="exact"/>
        <w:rPr>
          <w:rFonts w:ascii="Arial" w:cs="Arial" w:eastAsia="Arial" w:hAnsi="Arial"/>
          <w:sz w:val="20"/>
          <w:szCs w:val="20"/>
          <w:color w:val="auto"/>
        </w:rPr>
      </w:pPr>
    </w:p>
    <w:p>
      <w:pPr>
        <w:ind w:left="720" w:right="280" w:hanging="360"/>
        <w:spacing w:after="0" w:line="259" w:lineRule="auto"/>
        <w:tabs>
          <w:tab w:leader="none" w:pos="720" w:val="left"/>
        </w:tabs>
        <w:numPr>
          <w:ilvl w:val="0"/>
          <w:numId w:val="44"/>
        </w:numPr>
        <w:rPr>
          <w:rFonts w:ascii="Arial" w:cs="Arial" w:eastAsia="Arial" w:hAnsi="Arial"/>
          <w:sz w:val="20"/>
          <w:szCs w:val="20"/>
          <w:color w:val="auto"/>
        </w:rPr>
      </w:pPr>
      <w:r>
        <w:rPr>
          <w:rFonts w:ascii="Times New Roman" w:cs="Times New Roman" w:eastAsia="Times New Roman" w:hAnsi="Times New Roman"/>
          <w:sz w:val="20"/>
          <w:szCs w:val="20"/>
          <w:color w:val="auto"/>
        </w:rPr>
        <w:t>in the case of trademark claims, redesign or rename the trademarks or trade names of our product candidates to avoid infringing the intellectual property rights of third parties, which may not be possible and, even if possible, could be costly and time-consuming.</w:t>
      </w:r>
    </w:p>
    <w:p>
      <w:pPr>
        <w:spacing w:after="0" w:line="64" w:lineRule="exact"/>
        <w:rPr>
          <w:sz w:val="20"/>
          <w:szCs w:val="20"/>
          <w:color w:val="auto"/>
        </w:rPr>
      </w:pPr>
    </w:p>
    <w:p>
      <w:pPr>
        <w:ind w:right="800" w:firstLine="490"/>
        <w:spacing w:after="0" w:line="279" w:lineRule="auto"/>
        <w:rPr>
          <w:sz w:val="20"/>
          <w:szCs w:val="20"/>
          <w:color w:val="auto"/>
        </w:rPr>
      </w:pPr>
      <w:r>
        <w:rPr>
          <w:rFonts w:ascii="Times New Roman" w:cs="Times New Roman" w:eastAsia="Times New Roman" w:hAnsi="Times New Roman"/>
          <w:sz w:val="20"/>
          <w:szCs w:val="20"/>
          <w:color w:val="auto"/>
        </w:rPr>
        <w:t>Any of these risks coming to fruition could have a material adverse effect on our business, results of operations, financial condition and prospects.</w:t>
      </w:r>
    </w:p>
    <w:p>
      <w:pPr>
        <w:spacing w:after="0" w:line="47"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claims challenging the inventorship or ownership of our patents and other intellectual property.</w:t>
      </w:r>
    </w:p>
    <w:p>
      <w:pPr>
        <w:spacing w:after="0" w:line="46" w:lineRule="exact"/>
        <w:rPr>
          <w:sz w:val="20"/>
          <w:szCs w:val="20"/>
          <w:color w:val="auto"/>
        </w:rPr>
      </w:pPr>
    </w:p>
    <w:p>
      <w:pPr>
        <w:ind w:right="220" w:firstLine="490"/>
        <w:spacing w:after="0" w:line="259" w:lineRule="auto"/>
        <w:rPr>
          <w:sz w:val="20"/>
          <w:szCs w:val="20"/>
          <w:color w:val="auto"/>
        </w:rPr>
      </w:pPr>
      <w:r>
        <w:rPr>
          <w:rFonts w:ascii="Times New Roman" w:cs="Times New Roman" w:eastAsia="Times New Roman" w:hAnsi="Times New Roman"/>
          <w:sz w:val="20"/>
          <w:szCs w:val="20"/>
          <w:color w:val="auto"/>
        </w:rPr>
        <w:t>We may also be subject to claims that former employees or other third parties have an ownership interest in our patents or other intellectual property. Litigation may be necessary to defend against these and other claims challenging inventorship or ownership. If we fail in defending any such claims, in addition to paying monetary</w:t>
      </w:r>
    </w:p>
    <w:p>
      <w:pPr>
        <w:sectPr>
          <w:pgSz w:w="11880" w:h="15480" w:orient="portrait"/>
          <w:cols w:equalWidth="0" w:num="1">
            <w:col w:w="9320"/>
          </w:cols>
          <w:pgMar w:left="1260" w:top="1238" w:right="1300" w:bottom="0" w:gutter="0" w:footer="0" w:header="0"/>
        </w:sect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320"/>
          </w:cols>
          <w:pgMar w:left="1260" w:top="1238" w:right="1300" w:bottom="0" w:gutter="0" w:footer="0" w:header="0"/>
          <w:type w:val="continuous"/>
        </w:sectPr>
      </w:pPr>
    </w:p>
    <w:bookmarkStart w:id="71" w:name="page72"/>
    <w:bookmarkEnd w:id="71"/>
    <w:p>
      <w:pPr>
        <w:jc w:val="both"/>
        <w:spacing w:after="0" w:line="253" w:lineRule="auto"/>
        <w:rPr>
          <w:sz w:val="20"/>
          <w:szCs w:val="20"/>
          <w:color w:val="auto"/>
        </w:rPr>
      </w:pPr>
      <w:r>
        <w:rPr>
          <w:rFonts w:ascii="Times New Roman" w:cs="Times New Roman" w:eastAsia="Times New Roman" w:hAnsi="Times New Roman"/>
          <w:sz w:val="20"/>
          <w:szCs w:val="20"/>
          <w:color w:val="auto"/>
        </w:rPr>
        <w:t>damages, we may lose valuable intellectual property rights, such as exclusive ownership of, or right to use, valuable intellectual property. Such an outcome could have a material adverse effect on our business, financial condition and results of operations. Even if we are successful in defending against such claims, litigation could result in substantial costs and be a distraction to management and other employees.</w:t>
      </w:r>
    </w:p>
    <w:p>
      <w:pPr>
        <w:spacing w:after="0" w:line="72" w:lineRule="exact"/>
        <w:rPr>
          <w:sz w:val="20"/>
          <w:szCs w:val="20"/>
          <w:color w:val="auto"/>
        </w:rPr>
      </w:pPr>
    </w:p>
    <w:p>
      <w:pPr>
        <w:ind w:right="4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64" w:lineRule="exact"/>
        <w:rPr>
          <w:sz w:val="20"/>
          <w:szCs w:val="20"/>
          <w:color w:val="auto"/>
        </w:rPr>
      </w:pPr>
    </w:p>
    <w:p>
      <w:pPr>
        <w:ind w:right="100" w:firstLine="490"/>
        <w:spacing w:after="0" w:line="244" w:lineRule="auto"/>
        <w:rPr>
          <w:sz w:val="20"/>
          <w:szCs w:val="20"/>
          <w:color w:val="auto"/>
        </w:rPr>
      </w:pPr>
      <w:r>
        <w:rPr>
          <w:rFonts w:ascii="Times New Roman" w:cs="Times New Roman" w:eastAsia="Times New Roman" w:hAnsi="Times New Roman"/>
          <w:sz w:val="20"/>
          <w:szCs w:val="20"/>
          <w:color w:val="auto"/>
        </w:rPr>
        <w:t>We have systems in place to remind us to pay periodic maintenance fees, renewal fees, annuity fees and various other patent and application fees, and we employ an outside law firm to pay these fees. The U.S. Patent and Trademark Office and various foreign governmental patent agencies require compliance with a number of procedural, documentary, fee payment and other similar provisions during the patent application process. We employ an outside law firm and other professionals to help us comply, and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If this occurs, our competitors may be able to enter the market, which would have a material adverse effect on our business.</w:t>
      </w:r>
    </w:p>
    <w:p>
      <w:pPr>
        <w:spacing w:after="0" w:line="87"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involved in lawsuits to protect or enforce our patents or the patents of our licensors, which could be expensive, time-consuming and unsuccessful.</w:t>
      </w:r>
    </w:p>
    <w:p>
      <w:pPr>
        <w:spacing w:after="0" w:line="4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Competitors may infringe on our patents or the patents of our licensors. To counter infringement or unauthorized use, we may be required to file infringement claims, which can be expensive and time-consuming. In addition, in an infringement proceeding, a court may decide that a patent of our or our licensors is not valid, is unenforceable and/or is not infringed,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 which could materially adversely affect our business, financial condition and results of operations.</w:t>
      </w:r>
    </w:p>
    <w:p>
      <w:pPr>
        <w:spacing w:after="0" w:line="82"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Interference proceedings provoked by third parties or brought by us may be necessary to determine the priority of inventions with respect to our patents or patent applications or those of our licensors. An unfavorable outcome could require us to cease using the related technology or to attempt to license rights to us from the prevailing party. Our business, financial condition and results of operations could be harmed if the prevailing party does not offer us a license on commercially reasonable terms. Our defense of litigation or interference proceedings may fail and, even if successful, may result in substantial costs and distract our management and other employees. We may not be able to prevent, alone or with our licensors, misappropriation of our intellectual property rights, particularly in countries where the laws may not protect those rights as fully as in the United States, which could adversely affect our business, financial condition and results of operations.</w:t>
      </w:r>
    </w:p>
    <w:p>
      <w:pPr>
        <w:spacing w:after="0" w:line="86" w:lineRule="exact"/>
        <w:rPr>
          <w:sz w:val="20"/>
          <w:szCs w:val="20"/>
          <w:color w:val="auto"/>
        </w:rPr>
      </w:pPr>
    </w:p>
    <w:p>
      <w:pPr>
        <w:ind w:right="80" w:firstLine="490"/>
        <w:spacing w:after="0" w:line="249" w:lineRule="auto"/>
        <w:rPr>
          <w:sz w:val="20"/>
          <w:szCs w:val="20"/>
          <w:color w:val="auto"/>
        </w:rPr>
      </w:pPr>
      <w:r>
        <w:rPr>
          <w:rFonts w:ascii="Times New Roman" w:cs="Times New Roman" w:eastAsia="Times New Roman" w:hAnsi="Times New Roman"/>
          <w:sz w:val="20"/>
          <w:szCs w:val="20"/>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investors perceive these results to be negative, it could have a material adverse effect on the price of our common stock.</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Issued patents covering our product candidates could be found invalid or unenforceable if challenged in court.</w:t>
      </w:r>
    </w:p>
    <w:p>
      <w:pPr>
        <w:spacing w:after="0" w:line="11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If we or one of our licensing partners initiated legal proceedings against a third party to enforce a patent covering our product candidate,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our patents in such a way that they no longer cover our product candidates or competitive products. The outcome following</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70</w:t>
      </w:r>
    </w:p>
    <w:p>
      <w:pPr>
        <w:sectPr>
          <w:pgSz w:w="11880" w:h="15480" w:orient="portrait"/>
          <w:cols w:equalWidth="0" w:num="1">
            <w:col w:w="9340"/>
          </w:cols>
          <w:pgMar w:left="1260" w:top="1238" w:right="1280" w:bottom="0" w:gutter="0" w:footer="0" w:header="0"/>
          <w:type w:val="continuous"/>
        </w:sectPr>
      </w:pPr>
    </w:p>
    <w:bookmarkStart w:id="72" w:name="page73"/>
    <w:bookmarkEnd w:id="72"/>
    <w:p>
      <w:pPr>
        <w:ind w:right="40"/>
        <w:spacing w:after="0" w:line="249" w:lineRule="auto"/>
        <w:rPr>
          <w:sz w:val="20"/>
          <w:szCs w:val="20"/>
          <w:color w:val="auto"/>
        </w:rPr>
      </w:pPr>
      <w:r>
        <w:rPr>
          <w:rFonts w:ascii="Times New Roman" w:cs="Times New Roman" w:eastAsia="Times New Roman" w:hAnsi="Times New Roman"/>
          <w:sz w:val="20"/>
          <w:szCs w:val="20"/>
          <w:color w:val="auto"/>
        </w:rPr>
        <w:t>legal assertions of invalidity and unenforceability is unpredictable. With respect to validity, for example, we cannot ensure that there is no invalidating prior act, of which we and the patent examiner were unaware during prosecution. If a defendant were to prevail on a legal assertion of invalidity and/or unenforceability, we would lose at least part, and perhaps all, of the patent protection on our product candidates. Such a loss of patent protection would have a material adverse impact on our business, financial condition, and results of operations.</w:t>
      </w:r>
    </w:p>
    <w:p>
      <w:pPr>
        <w:spacing w:after="0" w:line="6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9"/>
          <w:szCs w:val="19"/>
          <w:b w:val="1"/>
          <w:bCs w:val="1"/>
          <w:i w:val="1"/>
          <w:iCs w:val="1"/>
          <w:color w:val="auto"/>
        </w:rPr>
        <w:t>We do not seek to protect our intellectual property rights in all jurisdictions throughout the world and we may not be able to adequately enforce our intellectual property rights even in the jurisdictions where we seek protection.</w:t>
      </w:r>
    </w:p>
    <w:p>
      <w:pPr>
        <w:spacing w:after="0" w:line="41"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82" w:lineRule="exact"/>
        <w:rPr>
          <w:sz w:val="20"/>
          <w:szCs w:val="20"/>
          <w:color w:val="auto"/>
        </w:rPr>
      </w:pPr>
    </w:p>
    <w:p>
      <w:pPr>
        <w:ind w:right="60" w:firstLine="490"/>
        <w:spacing w:after="0" w:line="242" w:lineRule="auto"/>
        <w:rPr>
          <w:sz w:val="20"/>
          <w:szCs w:val="20"/>
          <w:color w:val="auto"/>
        </w:rPr>
      </w:pPr>
      <w:r>
        <w:rPr>
          <w:rFonts w:ascii="Times New Roman" w:cs="Times New Roman" w:eastAsia="Times New Roman" w:hAnsi="Times New Roman"/>
          <w:sz w:val="20"/>
          <w:szCs w:val="20"/>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For example, an April 2020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our patent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which would materially adversely affect our business, financial condition and results of operations.</w:t>
      </w:r>
    </w:p>
    <w:p>
      <w:pPr>
        <w:spacing w:after="0" w:line="93"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licensed intellectual property for CTI-1601. If we were to lose our rights to licensed intellectual property, we may not be able to continue developing or commercializing CTI-1601, if approved.</w:t>
      </w:r>
    </w:p>
    <w:p>
      <w:pPr>
        <w:spacing w:after="0" w:line="46"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We have an exclusive license with WFUHS, pursuant to which we exclusively license certain patent rights relating to the TAT-frataxin fusion protein and its use, on a worldwide basis. We have an exclusive license with IU, pursuant to which we exclusively license certain patent rights relating to CTI-1601 and its use for the treatment of mitochondrial diseases, on a worldwide basis.</w:t>
      </w:r>
    </w:p>
    <w:p>
      <w:pPr>
        <w:spacing w:after="0" w:line="70"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Our license agreements with WFUHS and IU impose, and we expect our future license agreements will impose, various development, diligence, commercialization, and other obligations on us in order to maintain the licenses. In spite of our efforts, WFUHS, IU, or a future licensor might conclude that we have materially breached our obligations under such license agreements and seek to terminate the license agreements, thereby removing or limiting our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ours and we may be required to cease our development and commercialization of certain of our product candidates or of CTI-1601. Any of the foregoing could have a material adverse effect on our competitive position, business, financial conditions, results of operations, and prospects.</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Moreover, disputes may arise regarding intellectual property subject to a licensing agreement, including:</w:t>
      </w:r>
    </w:p>
    <w:p>
      <w:pPr>
        <w:sectPr>
          <w:pgSz w:w="11880" w:h="15480" w:orient="portrait"/>
          <w:cols w:equalWidth="0" w:num="1">
            <w:col w:w="9340"/>
          </w:cols>
          <w:pgMar w:left="1260" w:top="123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71</w:t>
      </w:r>
    </w:p>
    <w:p>
      <w:pPr>
        <w:sectPr>
          <w:pgSz w:w="11880" w:h="15480" w:orient="portrait"/>
          <w:cols w:equalWidth="0" w:num="1">
            <w:col w:w="9340"/>
          </w:cols>
          <w:pgMar w:left="1260" w:top="1238" w:right="1280" w:bottom="0" w:gutter="0" w:footer="0" w:header="0"/>
          <w:type w:val="continuous"/>
        </w:sectPr>
      </w:pPr>
    </w:p>
    <w:bookmarkStart w:id="73" w:name="page74"/>
    <w:bookmarkEnd w:id="73"/>
    <w:p>
      <w:pPr>
        <w:ind w:left="720" w:hanging="360"/>
        <w:spacing w:after="0"/>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of rights granted under the license agreement and other interpretation-related issues;</w:t>
      </w:r>
    </w:p>
    <w:p>
      <w:pPr>
        <w:spacing w:after="0" w:line="133" w:lineRule="exact"/>
        <w:rPr>
          <w:rFonts w:ascii="Arial" w:cs="Arial" w:eastAsia="Arial" w:hAnsi="Arial"/>
          <w:sz w:val="20"/>
          <w:szCs w:val="20"/>
          <w:color w:val="auto"/>
        </w:rPr>
      </w:pPr>
    </w:p>
    <w:p>
      <w:pPr>
        <w:ind w:left="720" w:right="60" w:hanging="360"/>
        <w:spacing w:after="0" w:line="278"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extent to which our technology and processes infringe on intellectual property of the licensor that is not subject to the licensing agreement;</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sublicensing of patent and other rights under our collaborative development relationships;</w:t>
      </w:r>
    </w:p>
    <w:p>
      <w:pPr>
        <w:spacing w:after="0" w:line="133" w:lineRule="exact"/>
        <w:rPr>
          <w:rFonts w:ascii="Arial" w:cs="Arial" w:eastAsia="Arial" w:hAnsi="Arial"/>
          <w:sz w:val="20"/>
          <w:szCs w:val="20"/>
          <w:color w:val="auto"/>
        </w:rPr>
      </w:pPr>
    </w:p>
    <w:p>
      <w:pPr>
        <w:ind w:left="720" w:right="980" w:hanging="360"/>
        <w:spacing w:after="0" w:line="278"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our diligence obligations under the license agreement and what activities satisfy those diligence obligations;</w:t>
      </w:r>
    </w:p>
    <w:p>
      <w:pPr>
        <w:spacing w:after="0" w:line="60" w:lineRule="exact"/>
        <w:rPr>
          <w:rFonts w:ascii="Arial" w:cs="Arial" w:eastAsia="Arial" w:hAnsi="Arial"/>
          <w:sz w:val="20"/>
          <w:szCs w:val="20"/>
          <w:color w:val="auto"/>
        </w:rPr>
      </w:pPr>
    </w:p>
    <w:p>
      <w:pPr>
        <w:ind w:left="720" w:right="440" w:hanging="360"/>
        <w:spacing w:after="0" w:line="278"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inventorship and ownership of inventions and know-how resulting from the joint creation or use of intellectual property by our licensors and us and our partners;</w:t>
      </w:r>
    </w:p>
    <w:p>
      <w:pPr>
        <w:spacing w:after="0" w:line="60" w:lineRule="exact"/>
        <w:rPr>
          <w:rFonts w:ascii="Arial" w:cs="Arial" w:eastAsia="Arial" w:hAnsi="Arial"/>
          <w:sz w:val="20"/>
          <w:szCs w:val="20"/>
          <w:color w:val="auto"/>
        </w:rPr>
      </w:pPr>
    </w:p>
    <w:p>
      <w:pPr>
        <w:ind w:left="720" w:right="60" w:hanging="360"/>
        <w:spacing w:after="0" w:line="278" w:lineRule="auto"/>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whether and the extent to which inventors are able to contest the assignment of their rights to our licensors; and</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5"/>
        </w:numPr>
        <w:rPr>
          <w:rFonts w:ascii="Arial" w:cs="Arial" w:eastAsia="Arial" w:hAnsi="Arial"/>
          <w:sz w:val="20"/>
          <w:szCs w:val="20"/>
          <w:color w:val="auto"/>
        </w:rPr>
      </w:pPr>
      <w:r>
        <w:rPr>
          <w:rFonts w:ascii="Times New Roman" w:cs="Times New Roman" w:eastAsia="Times New Roman" w:hAnsi="Times New Roman"/>
          <w:sz w:val="20"/>
          <w:szCs w:val="20"/>
          <w:color w:val="auto"/>
        </w:rPr>
        <w:t>the priority of invention of patented technology.</w:t>
      </w:r>
    </w:p>
    <w:p>
      <w:pPr>
        <w:spacing w:after="0" w:line="119"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CTI-1601, which could have a material adverse effect on our business, financial conditions, results of operations, and prospects.</w:t>
      </w:r>
    </w:p>
    <w:p>
      <w:pPr>
        <w:spacing w:after="0" w:line="87"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2"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Our in-licensed patent rights from WFUHS and IU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we have licensed that was developed using U.S. government funding. The U.S. government may exercise its march-in rights if it determines that action is necessary because we fail to achieve practical application of the government-funded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our competitive position, business, financial condition, results of operations, and prospects.</w:t>
      </w:r>
    </w:p>
    <w:p>
      <w:pPr>
        <w:spacing w:after="0" w:line="81"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not yet registered trademarks for a commercial trade name for CTI-1601 or other potential product candidates and failure to secure such registrations could adversely affect our business, financial condition and results of operations.</w:t>
      </w:r>
    </w:p>
    <w:p>
      <w:pPr>
        <w:spacing w:after="0" w:line="64"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We have not yet registered trademarks for a commercial trade name for CTI-1601 or other potential product candidates. Any future trademark applications may be rejected during trademark registration proceedings. Although we would be given an opportunity to respond to those rejections, we may be unable to overcome such rejections. In addition, the U.S. PTO and comparable agencies in many foreign jurisdictions give third parties an opportunity to oppose pending trademark applications and to seek to cancel registered trademarks. Opposition or cancellation proceedings may be filed against our trademarks, and our trademarks may not survive such proceedings. Moreover, any name we propose to use with our product candidates in the United States must be approved by the FDA, regardless of whether we have registered it, or applied to register it, as a trademark. The FDA typically conducts a review of proposed product names, including an evaluation of potential for confusion with other product names. If</w:t>
      </w:r>
    </w:p>
    <w:p>
      <w:pPr>
        <w:sectPr>
          <w:pgSz w:w="11880" w:h="15480" w:orient="portrait"/>
          <w:cols w:equalWidth="0" w:num="1">
            <w:col w:w="9360"/>
          </w:cols>
          <w:pgMar w:left="1260" w:top="1253" w:right="126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72</w:t>
      </w:r>
    </w:p>
    <w:p>
      <w:pPr>
        <w:sectPr>
          <w:pgSz w:w="11880" w:h="15480" w:orient="portrait"/>
          <w:cols w:equalWidth="0" w:num="1">
            <w:col w:w="9360"/>
          </w:cols>
          <w:pgMar w:left="1260" w:top="1253" w:right="1260" w:bottom="0" w:gutter="0" w:footer="0" w:header="0"/>
          <w:type w:val="continuous"/>
        </w:sectPr>
      </w:pPr>
    </w:p>
    <w:bookmarkStart w:id="74" w:name="page75"/>
    <w:bookmarkEnd w:id="74"/>
    <w:p>
      <w:pPr>
        <w:ind w:right="80"/>
        <w:spacing w:after="0" w:line="259" w:lineRule="auto"/>
        <w:rPr>
          <w:sz w:val="20"/>
          <w:szCs w:val="20"/>
          <w:color w:val="auto"/>
        </w:rPr>
      </w:pPr>
      <w:r>
        <w:rPr>
          <w:rFonts w:ascii="Times New Roman" w:cs="Times New Roman" w:eastAsia="Times New Roman" w:hAnsi="Times New Roman"/>
          <w:sz w:val="20"/>
          <w:szCs w:val="20"/>
          <w:color w:val="auto"/>
        </w:rPr>
        <w:t>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67"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Any trademarks we have obtained or may obtain may be infringed or successfully challenged, resulting in harm to our business.</w:t>
      </w:r>
    </w:p>
    <w:p>
      <w:pPr>
        <w:spacing w:after="0" w:line="4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We expect to rely on trademarks as one means to distinguish any of our products that are approved for marketing from the products of our competitors. Once we select new trademarks and apply to register them, our trademark applications may not be approved. Third parties may oppose or attempt to cancel our trademark applications or trademarks, or otherwise challenge our use of the trademarks. In the event that our trademarks are successfully challenged, we could be forced to rebrand our drugs, which could result in loss of brand recognition and could require us to devote resources to advertising and marketing new brands. Our competitors may infringe our trademarks and we may not have adequate resources to enforce our trademarks.</w:t>
      </w:r>
    </w:p>
    <w:p>
      <w:pPr>
        <w:spacing w:after="0" w:line="81"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we do not obtain additional protection under the Hatch-Waxman Amendments and similar foreign legislation by extending the patent terms and obtaining data exclusivity for CTI-1601, our business may be materially harmed.</w:t>
      </w:r>
    </w:p>
    <w:p>
      <w:pPr>
        <w:spacing w:after="0" w:line="64"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Depending upon the timing, duration and specifics of development and FDA marketing approval of CTI-1601 or our other potential product candidates, one or more of our U.S. patents may be eligible for limited patent term restoration under the Drug Price Competition and Patent Term Restoration Act of 1984, (the "Hatch-Waxman Amendments"). The Hatch-Waxman Amendments permit a patent restoration term of up to five years as compensation for patent term lost during product development and the FDA regulatory review process.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a patent term extension or restoration or the term of any such extension is less than we request, our competitors may obtain approval of competing products following our patent expiration, and our ability to generate revenues, business, financial condition and results of operations could be materially adversely affected.</w:t>
      </w:r>
    </w:p>
    <w:p>
      <w:pPr>
        <w:spacing w:after="0" w:line="90"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proprietary rights may not adequately protect our technologies, which may adversely affect our position in the market, business, financial condition and results of operations.</w:t>
      </w:r>
    </w:p>
    <w:p>
      <w:pPr>
        <w:spacing w:after="0" w:line="4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We rely on unpatented trade secrets, know-how, and technology, which are difficult to protect, especially in the pharmaceutical industry, where much of the information about a product must be made public during the regulatory approval process. We seek to protect trade secrets, in part, by entering into confidentiality agreements with employees, consultants and others. These parties may breach or terminate these agreements or may refuse to enter into such agreements with us, and we may not have adequate remedies for such breaches. Furthermore, these agreements may not provide meaningful protection for our trade secrets or other proprietary information or result in the effective assignment to us of intellectual property and may not provide an adequate remedy in the event of unauthorized use or disclosure of confidential information or other breaches of the agreements. Despite our efforts to protect our trade secrets, we or our board members, employees, consultants, contractors or scientific and other advisors may unintentionally or willfully disclose our proprietary information to competitors.</w:t>
      </w:r>
    </w:p>
    <w:p>
      <w:pPr>
        <w:spacing w:after="0" w:line="82"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If we fail to maintain trade secret protection, our competitive position may be adversely affected. Competitors may also independently discover our trade secrets. Enforcement of claims that a third party has illegally obtained and is using trade secrets is expensive, time consuming and uncertain. If our competitors independently develop equivalent knowledge, methods and know-how, we would not be able to assert our trade secrets against them and our business, financial condition and results of operations could be harmed.</w:t>
      </w:r>
    </w:p>
    <w:p>
      <w:pPr>
        <w:spacing w:after="0" w:line="78"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Changes in U.S. patent law could diminish the value of patents in general, thereby impairing our ability to protect our products.</w:t>
      </w:r>
    </w:p>
    <w:p>
      <w:pPr>
        <w:spacing w:after="0" w:line="46"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Patent reform legislation could increase the uncertainties and costs surrounding the prosecution of patent applications and the enforcement or defense of issued patents. The Leahy Smith America Invents Act ("the Leahy Smith Act") enacted in September 2011, brought significant changes to the U.S. patent law system. These include provisions that affect the</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73</w:t>
      </w:r>
    </w:p>
    <w:p>
      <w:pPr>
        <w:sectPr>
          <w:pgSz w:w="11880" w:h="15480" w:orient="portrait"/>
          <w:cols w:equalWidth="0" w:num="1">
            <w:col w:w="9360"/>
          </w:cols>
          <w:pgMar w:left="1260" w:top="1238" w:right="1260" w:bottom="0" w:gutter="0" w:footer="0" w:header="0"/>
          <w:type w:val="continuous"/>
        </w:sectPr>
      </w:pPr>
    </w:p>
    <w:bookmarkStart w:id="75" w:name="page76"/>
    <w:bookmarkEnd w:id="75"/>
    <w:p>
      <w:pPr>
        <w:jc w:val="both"/>
        <w:ind w:right="40"/>
        <w:spacing w:after="0"/>
        <w:rPr>
          <w:sz w:val="20"/>
          <w:szCs w:val="20"/>
          <w:color w:val="auto"/>
        </w:rPr>
      </w:pPr>
      <w:r>
        <w:rPr>
          <w:rFonts w:ascii="Times New Roman" w:cs="Times New Roman" w:eastAsia="Times New Roman" w:hAnsi="Times New Roman"/>
          <w:sz w:val="20"/>
          <w:szCs w:val="20"/>
          <w:color w:val="auto"/>
        </w:rPr>
        <w:t>way patent applications are prosecuted and may affect patent litigation. The United States Patent Office continues to develop and implement new regulations and procedures to govern administration of the Leahy Smith Act, and many of the substantive changes to patent law associated with the Leahy Smith Act became effective on March 16, 2013.</w:t>
      </w:r>
    </w:p>
    <w:p>
      <w:pPr>
        <w:ind w:right="100"/>
        <w:spacing w:after="0" w:line="259" w:lineRule="auto"/>
        <w:rPr>
          <w:sz w:val="20"/>
          <w:szCs w:val="20"/>
          <w:color w:val="auto"/>
        </w:rPr>
      </w:pPr>
      <w:r>
        <w:rPr>
          <w:rFonts w:ascii="Times New Roman" w:cs="Times New Roman" w:eastAsia="Times New Roman" w:hAnsi="Times New Roman"/>
          <w:sz w:val="20"/>
          <w:szCs w:val="20"/>
          <w:color w:val="auto"/>
        </w:rPr>
        <w:t>The Leahy Smith Act and its implementation could increase the uncertainties and costs surrounding the prosecution of patent applications and the enforcement or defense of our issued patents, all of which could harm our business, results of operations, financial condition and prospects.</w:t>
      </w:r>
    </w:p>
    <w:p>
      <w:pPr>
        <w:spacing w:after="0" w:line="65" w:lineRule="exact"/>
        <w:rPr>
          <w:sz w:val="20"/>
          <w:szCs w:val="20"/>
          <w:color w:val="auto"/>
        </w:rPr>
      </w:pPr>
    </w:p>
    <w:p>
      <w:pPr>
        <w:ind w:firstLine="490"/>
        <w:spacing w:after="0" w:line="261" w:lineRule="auto"/>
        <w:rPr>
          <w:sz w:val="20"/>
          <w:szCs w:val="20"/>
          <w:color w:val="auto"/>
        </w:rPr>
      </w:pPr>
      <w:r>
        <w:rPr>
          <w:rFonts w:ascii="Times New Roman" w:cs="Times New Roman" w:eastAsia="Times New Roman" w:hAnsi="Times New Roman"/>
          <w:sz w:val="19"/>
          <w:szCs w:val="19"/>
          <w:color w:val="auto"/>
        </w:rPr>
        <w:t>In addition, 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enforce our proprietary technology. Depending on future actions by the U.S. Congress, the U.S. courts, the U.S. 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68"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damages resulting from claims that we or our employees have wrongfully used or disclosed alleged trade secrets of our employees’ former employers.</w:t>
      </w:r>
    </w:p>
    <w:p>
      <w:pPr>
        <w:spacing w:after="0" w:line="46"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Many of our employees have been previously employed at other biotechnology or pharmaceutical companies, including our competitors or potential competitors. Although we are not aware of any claims currently pending against us, we may be subject to claims that we or our employees inadvertently or otherwise used or disclosed the trade secrets or other proprietary information of our employees’ former employers. Litigation may be necessary to defend against these claims. Even if we are successful in defending against these claims, litigation could result in substantial costs and be a distraction to management. If we fail in defending such claims, in addition to paying monetary claims, we may lose valuable intellectual property rights or personnel. A loss of key personnel or their work product could hamper or prevent our ability to develop and commercialize CTI-1601 or our other potential product candidates, which would materially adversely affect our business, financial condition and results of operations.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stock price could be highly volatile, and purchasers of our common stock could incur substantial losses.</w:t>
      </w:r>
    </w:p>
    <w:p>
      <w:pPr>
        <w:spacing w:after="0" w:line="118"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80" w:lineRule="exact"/>
        <w:rPr>
          <w:sz w:val="20"/>
          <w:szCs w:val="20"/>
          <w:color w:val="auto"/>
        </w:rPr>
      </w:pPr>
    </w:p>
    <w:p>
      <w:pPr>
        <w:ind w:left="720" w:right="540" w:hanging="360"/>
        <w:spacing w:after="0" w:line="278"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regulatory approvals for product candidates, and delays or failures to obtain such approvals;</w:t>
      </w:r>
    </w:p>
    <w:p>
      <w:pPr>
        <w:spacing w:after="0" w:line="60" w:lineRule="exact"/>
        <w:rPr>
          <w:rFonts w:ascii="Arial" w:cs="Arial" w:eastAsia="Arial" w:hAnsi="Arial"/>
          <w:sz w:val="20"/>
          <w:szCs w:val="20"/>
          <w:color w:val="auto"/>
        </w:rPr>
      </w:pPr>
    </w:p>
    <w:p>
      <w:pPr>
        <w:jc w:val="both"/>
        <w:ind w:left="720" w:right="20" w:hanging="360"/>
        <w:spacing w:after="0" w:line="278"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results of, and delays in, current, and any future, non-clinical or clinical trials of CTI-1601 or any of our future product candidates, including any delays related to a resurgence of COVID-19 or other health crises;</w:t>
      </w:r>
    </w:p>
    <w:p>
      <w:pPr>
        <w:spacing w:after="0" w:line="60" w:lineRule="exact"/>
        <w:rPr>
          <w:rFonts w:ascii="Arial" w:cs="Arial" w:eastAsia="Arial" w:hAnsi="Arial"/>
          <w:sz w:val="20"/>
          <w:szCs w:val="20"/>
          <w:color w:val="auto"/>
        </w:rPr>
      </w:pPr>
    </w:p>
    <w:p>
      <w:pPr>
        <w:ind w:left="720" w:right="120" w:hanging="360"/>
        <w:spacing w:after="0" w:line="278"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geopolitical unrest including the potential impact of the war in Ukraine and the possibility that the conflict could expand beyond eastern Europe,</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entry into, or termination of, key agreements, including key licensing or collaboration agreements;</w:t>
      </w:r>
    </w:p>
    <w:p>
      <w:pPr>
        <w:spacing w:after="0" w:line="133" w:lineRule="exact"/>
        <w:rPr>
          <w:rFonts w:ascii="Arial" w:cs="Arial" w:eastAsia="Arial" w:hAnsi="Arial"/>
          <w:sz w:val="20"/>
          <w:szCs w:val="20"/>
          <w:color w:val="auto"/>
        </w:rPr>
      </w:pPr>
    </w:p>
    <w:p>
      <w:pPr>
        <w:ind w:left="720" w:right="1100" w:hanging="360"/>
        <w:spacing w:after="0" w:line="278"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failure of CTI-1601 or any of our future product candidates, if approved for marketing and commercialization, to achieve commercial success;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issues in manufacturing our approved products, if any, or product candidates;</w:t>
      </w:r>
    </w:p>
    <w:p>
      <w:pPr>
        <w:spacing w:after="0" w:line="133" w:lineRule="exact"/>
        <w:rPr>
          <w:rFonts w:ascii="Arial" w:cs="Arial" w:eastAsia="Arial" w:hAnsi="Arial"/>
          <w:sz w:val="20"/>
          <w:szCs w:val="20"/>
          <w:color w:val="auto"/>
        </w:rPr>
      </w:pPr>
    </w:p>
    <w:p>
      <w:pPr>
        <w:ind w:left="720" w:right="180" w:hanging="360"/>
        <w:spacing w:after="0" w:line="278"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initiation of material developments in, or conclusion of, disputes or litigation to enforce or defend any of our intellectual property rights or defend against the intellectual property rights of others;</w:t>
      </w:r>
    </w:p>
    <w:p>
      <w:pPr>
        <w:spacing w:after="0" w:line="60" w:lineRule="exact"/>
        <w:rPr>
          <w:rFonts w:ascii="Arial" w:cs="Arial" w:eastAsia="Arial" w:hAnsi="Arial"/>
          <w:sz w:val="20"/>
          <w:szCs w:val="20"/>
          <w:color w:val="auto"/>
        </w:rPr>
      </w:pPr>
    </w:p>
    <w:p>
      <w:pPr>
        <w:jc w:val="both"/>
        <w:ind w:left="720" w:right="440" w:hanging="360"/>
        <w:spacing w:after="0" w:line="278"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announcements by us or our commercial partners or competitors of new commercial products, clinical progress (or the lack thereof), significant contracts, commercial relationships, or capital commitments;</w:t>
      </w:r>
    </w:p>
    <w:p>
      <w:pPr>
        <w:spacing w:after="0" w:line="60" w:lineRule="exact"/>
        <w:rPr>
          <w:rFonts w:ascii="Arial" w:cs="Arial" w:eastAsia="Arial" w:hAnsi="Arial"/>
          <w:sz w:val="20"/>
          <w:szCs w:val="20"/>
          <w:color w:val="auto"/>
        </w:rPr>
      </w:pPr>
    </w:p>
    <w:p>
      <w:pPr>
        <w:ind w:left="720" w:right="80" w:hanging="360"/>
        <w:spacing w:after="0" w:line="278" w:lineRule="auto"/>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adverse publicity relating to our markets, including with respect to other products and potential products in such markets;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6"/>
        </w:numPr>
        <w:rPr>
          <w:rFonts w:ascii="Arial" w:cs="Arial" w:eastAsia="Arial" w:hAnsi="Arial"/>
          <w:sz w:val="20"/>
          <w:szCs w:val="20"/>
          <w:color w:val="auto"/>
        </w:rPr>
      </w:pPr>
      <w:r>
        <w:rPr>
          <w:rFonts w:ascii="Times New Roman" w:cs="Times New Roman" w:eastAsia="Times New Roman" w:hAnsi="Times New Roman"/>
          <w:sz w:val="20"/>
          <w:szCs w:val="20"/>
          <w:color w:val="auto"/>
        </w:rPr>
        <w:t>the introduction of technological innovations or new therapies competing with our potential products;</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74</w:t>
      </w:r>
    </w:p>
    <w:p>
      <w:pPr>
        <w:sectPr>
          <w:pgSz w:w="11880" w:h="15480" w:orient="portrait"/>
          <w:cols w:equalWidth="0" w:num="1">
            <w:col w:w="9360"/>
          </w:cols>
          <w:pgMar w:left="1260" w:top="1238" w:right="1260" w:bottom="0" w:gutter="0" w:footer="0" w:header="0"/>
          <w:type w:val="continuous"/>
        </w:sectPr>
      </w:pPr>
    </w:p>
    <w:bookmarkStart w:id="76" w:name="page77"/>
    <w:bookmarkEnd w:id="76"/>
    <w:p>
      <w:pPr>
        <w:ind w:left="720" w:hanging="360"/>
        <w:spacing w:after="0"/>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the loss of key employees;</w:t>
      </w:r>
    </w:p>
    <w:p>
      <w:pPr>
        <w:spacing w:after="0" w:line="133" w:lineRule="exact"/>
        <w:rPr>
          <w:rFonts w:ascii="Arial" w:cs="Arial" w:eastAsia="Arial" w:hAnsi="Arial"/>
          <w:sz w:val="20"/>
          <w:szCs w:val="20"/>
          <w:color w:val="auto"/>
        </w:rPr>
      </w:pPr>
    </w:p>
    <w:p>
      <w:pPr>
        <w:ind w:left="720" w:right="460" w:hanging="360"/>
        <w:spacing w:after="0" w:line="278" w:lineRule="auto"/>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general and industry-specific economic conditions potentially affecting our research and development expenditures;</w:t>
      </w:r>
    </w:p>
    <w:p>
      <w:pPr>
        <w:spacing w:after="0" w:line="60" w:lineRule="exact"/>
        <w:rPr>
          <w:rFonts w:ascii="Arial" w:cs="Arial" w:eastAsia="Arial" w:hAnsi="Arial"/>
          <w:sz w:val="20"/>
          <w:szCs w:val="20"/>
          <w:color w:val="auto"/>
        </w:rPr>
      </w:pPr>
    </w:p>
    <w:p>
      <w:pPr>
        <w:ind w:left="720" w:right="180" w:hanging="360"/>
        <w:spacing w:after="0" w:line="278" w:lineRule="auto"/>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general economic conditions in the United States and abroad (including the potential failure of the United States Congress to raise the debt ceiling);</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the structure of health care payment systems;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adverse regulatory decisions;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trading volume of our common stock; and</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7"/>
        </w:numPr>
        <w:rPr>
          <w:rFonts w:ascii="Arial" w:cs="Arial" w:eastAsia="Arial" w:hAnsi="Arial"/>
          <w:sz w:val="20"/>
          <w:szCs w:val="20"/>
          <w:color w:val="auto"/>
        </w:rPr>
      </w:pPr>
      <w:r>
        <w:rPr>
          <w:rFonts w:ascii="Times New Roman" w:cs="Times New Roman" w:eastAsia="Times New Roman" w:hAnsi="Times New Roman"/>
          <w:sz w:val="20"/>
          <w:szCs w:val="20"/>
          <w:color w:val="auto"/>
        </w:rPr>
        <w:t>period-to-period fluctuations in our financial results.</w:t>
      </w:r>
    </w:p>
    <w:p>
      <w:pPr>
        <w:spacing w:after="0" w:line="119" w:lineRule="exact"/>
        <w:rPr>
          <w:sz w:val="20"/>
          <w:szCs w:val="20"/>
          <w:color w:val="auto"/>
        </w:rPr>
      </w:pPr>
    </w:p>
    <w:p>
      <w:pPr>
        <w:jc w:val="both"/>
        <w:ind w:right="180" w:firstLine="490"/>
        <w:spacing w:after="0" w:line="307" w:lineRule="auto"/>
        <w:rPr>
          <w:sz w:val="20"/>
          <w:szCs w:val="20"/>
          <w:color w:val="auto"/>
        </w:rPr>
      </w:pPr>
      <w:r>
        <w:rPr>
          <w:rFonts w:ascii="Times New Roman" w:cs="Times New Roman" w:eastAsia="Times New Roman" w:hAnsi="Times New Roman"/>
          <w:sz w:val="19"/>
          <w:szCs w:val="19"/>
          <w:color w:val="auto"/>
        </w:rPr>
        <w:t>There is no guarantee that our common stock will appreciate or even maintain the price at which our holders have purchased it. Therefore, there is a risk that investors may lose all or part of their investment in our securities.</w:t>
      </w:r>
    </w:p>
    <w:p>
      <w:pPr>
        <w:spacing w:after="0" w:line="21"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65"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w:t>
      </w:r>
    </w:p>
    <w:p>
      <w:pPr>
        <w:spacing w:after="0" w:line="8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must maintain effective internal controls over financial reporting, and if we are unable to do so, the accuracy and timeliness of our financial reporting may be adversely affected, which could have a material adverse effect on our business and stock price.</w:t>
      </w:r>
    </w:p>
    <w:p>
      <w:pPr>
        <w:spacing w:after="0" w:line="64"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We must maintain effective internal control over financial reporting in order to accurately and timely report our results of operations and financial condition. In addition, as a public company, the Sarbanes-Oxley Act requires, among other things, that we assess the effectiveness of our disclosure controls and procedures quarterly and the effectiveness of our internal control over financial reporting at the end of each fiscal year.</w:t>
      </w:r>
    </w:p>
    <w:p>
      <w:pPr>
        <w:spacing w:after="0" w:line="70" w:lineRule="exact"/>
        <w:rPr>
          <w:sz w:val="20"/>
          <w:szCs w:val="20"/>
          <w:color w:val="auto"/>
        </w:rPr>
      </w:pPr>
    </w:p>
    <w:p>
      <w:pPr>
        <w:ind w:right="340" w:firstLine="490"/>
        <w:spacing w:after="0" w:line="253" w:lineRule="auto"/>
        <w:rPr>
          <w:sz w:val="20"/>
          <w:szCs w:val="20"/>
          <w:color w:val="auto"/>
        </w:rPr>
      </w:pPr>
      <w:r>
        <w:rPr>
          <w:rFonts w:ascii="Times New Roman" w:cs="Times New Roman" w:eastAsia="Times New Roman" w:hAnsi="Times New Roman"/>
          <w:sz w:val="20"/>
          <w:szCs w:val="20"/>
          <w:color w:val="auto"/>
        </w:rPr>
        <w:t>The rules governing the standards that must be met for our management to assess our internal control over financial reporting pursuant to Section 404 of the Sarbanes-Oxley Act are complex and require significant documentation, testing and possible remediation. These stringent standards require that our audit committee be advised and regularly updated on management’s review of internal control over financial reporting.</w:t>
      </w:r>
    </w:p>
    <w:p>
      <w:pPr>
        <w:spacing w:after="0" w:line="70"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Our management may not be able to effectively and timely implement controls and procedures which respond to the increased regulatory compliance and reporting requirements that are applicable to us as a public company. If we fail to staff our accounting, finance and information technology functions adequately or maintain internal control over financial reporting adequate to meet the demands that are placed upon us as a public company, including the requirements of the Sarbanes-Oxley Act, or to otherwise prevent material weaknesses in internal control over financial reporting, our business and reputation may be harmed and our stock price may decline. Furthermore, investor perceptions of us may be adversely affected, which could cause a decline in the market price of our common stock.</w:t>
      </w:r>
    </w:p>
    <w:p>
      <w:pPr>
        <w:spacing w:after="0" w:line="83"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Ownership of our common stock is highly concentrated, and it may prevent other stockholders from influencing significant corporate decisions.</w:t>
      </w:r>
    </w:p>
    <w:p>
      <w:pPr>
        <w:spacing w:after="0" w:line="46" w:lineRule="exact"/>
        <w:rPr>
          <w:sz w:val="20"/>
          <w:szCs w:val="20"/>
          <w:color w:val="auto"/>
        </w:rPr>
      </w:pPr>
    </w:p>
    <w:p>
      <w:pPr>
        <w:ind w:right="80" w:firstLine="540"/>
        <w:spacing w:after="0" w:line="266" w:lineRule="auto"/>
        <w:rPr>
          <w:sz w:val="20"/>
          <w:szCs w:val="20"/>
          <w:color w:val="auto"/>
        </w:rPr>
      </w:pPr>
      <w:r>
        <w:rPr>
          <w:rFonts w:ascii="Times New Roman" w:cs="Times New Roman" w:eastAsia="Times New Roman" w:hAnsi="Times New Roman"/>
          <w:sz w:val="19"/>
          <w:szCs w:val="19"/>
          <w:color w:val="auto"/>
        </w:rPr>
        <w:t>Entities affiliated with Deerfield Management Company beneficially own or control approximately 38.6% of our outstanding common stock (assuming full exercise of our outstanding pre-funded warrants and no exercise of outstanding options) as of December 31, 2022, on a fully-diluted basis. Accordingly, such entities have substantial influence over the outcome of a corporate action by us requiring stockholder approval, including the election of directors, any merger, consolidation or sale of all or substantially all of our assets or any other significant corporate</w:t>
      </w:r>
    </w:p>
    <w:p>
      <w:pPr>
        <w:sectPr>
          <w:pgSz w:w="11880" w:h="15480" w:orient="portrait"/>
          <w:cols w:equalWidth="0" w:num="1">
            <w:col w:w="9340"/>
          </w:cols>
          <w:pgMar w:left="1260" w:top="12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75</w:t>
      </w:r>
    </w:p>
    <w:p>
      <w:pPr>
        <w:sectPr>
          <w:pgSz w:w="11880" w:h="15480" w:orient="portrait"/>
          <w:cols w:equalWidth="0" w:num="1">
            <w:col w:w="9340"/>
          </w:cols>
          <w:pgMar w:left="1260" w:top="1253" w:right="1280" w:bottom="0" w:gutter="0" w:footer="0" w:header="0"/>
          <w:type w:val="continuous"/>
        </w:sectPr>
      </w:pPr>
    </w:p>
    <w:bookmarkStart w:id="77" w:name="page78"/>
    <w:bookmarkEnd w:id="77"/>
    <w:p>
      <w:pPr>
        <w:ind w:right="640"/>
        <w:spacing w:after="0" w:line="279" w:lineRule="auto"/>
        <w:rPr>
          <w:sz w:val="20"/>
          <w:szCs w:val="20"/>
          <w:color w:val="auto"/>
        </w:rPr>
      </w:pPr>
      <w:r>
        <w:rPr>
          <w:rFonts w:ascii="Times New Roman" w:cs="Times New Roman" w:eastAsia="Times New Roman" w:hAnsi="Times New Roman"/>
          <w:sz w:val="20"/>
          <w:szCs w:val="20"/>
          <w:color w:val="auto"/>
        </w:rPr>
        <w:t>transaction. These stockholders also may exert influence in delaying or preventing a change in control of the combined company, even if such change in control would benefit our other stockholders.</w:t>
      </w:r>
    </w:p>
    <w:p>
      <w:pPr>
        <w:spacing w:after="0" w:line="47"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We cannot be certain whether the reduced disclosure requirements applicable to smaller reporting companies will make our common shares less attractive to investors or otherwise limit our ability to raise additional funds.</w:t>
      </w:r>
    </w:p>
    <w:p>
      <w:pPr>
        <w:spacing w:after="0" w:line="6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are currently a “smaller reporting company” as defined in the Exchange Act of 1934 and have elected to take advantage of certain of the scaled disclosures available to smaller reporting companies, including simplified executive compensation disclosures in our filings, exemption from the provisions of Section 404(b) of the Sarbanes-Oxley Act requiring that an independent registered accounting firm provide an attestation report on the effectiveness of internal control over financial reporting and certain other decreased disclosure obligations in our SEC filings, including, among other things, only being required to provide two years of audited financial statements in annual reports. Reduced disclosure in our SEC filings due to our status as a smaller reporting company may make it harder for investors to analyze our results of operations and financial prospects. We cannot predict whether investors will find our common stock less attractive because of our reliance on any of these exemptions. If some investors find our common stock less attractive as a result, there may be a less active trading market for our common stock and our stock price may be more volatile.</w:t>
      </w:r>
    </w:p>
    <w:p>
      <w:pPr>
        <w:spacing w:after="0" w:line="90"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Anti-takeover provisions in our charter documents and under Delaware law could make an acquisition of us more difficult and may prevent attempts by our stockholders to replace or remove our management.</w:t>
      </w:r>
    </w:p>
    <w:p>
      <w:pPr>
        <w:spacing w:after="0" w:line="46"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Provisions in our certificate of incorporation and bylaws may delay or prevent an acquisition or a change in management. These provisions include a classified board of directors, a prohibition on actions by written consent of our stockholders, and the ability of the board of directors to issue preferred stock without stockholder approval. In addition, because we are in Delaware, we are governed by the provisions of Section 203 of the Delaware General Corporation 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 In addition, these provisions may frustrate or prevent any attempts by our stockholders to replace or remove then current management by making it more difficult for stockholders to replace members of the board of directors, which is responsible for appointing the members of management.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do not anticipate that we will pay any cash dividends in the foreseeable future.</w:t>
      </w:r>
    </w:p>
    <w:p>
      <w:pPr>
        <w:spacing w:after="0" w:line="118" w:lineRule="exact"/>
        <w:rPr>
          <w:sz w:val="20"/>
          <w:szCs w:val="20"/>
          <w:color w:val="auto"/>
        </w:rPr>
      </w:pPr>
    </w:p>
    <w:p>
      <w:pPr>
        <w:jc w:val="both"/>
        <w:ind w:right="140" w:firstLine="490"/>
        <w:spacing w:after="0" w:line="259" w:lineRule="auto"/>
        <w:rPr>
          <w:sz w:val="20"/>
          <w:szCs w:val="20"/>
          <w:color w:val="auto"/>
        </w:rPr>
      </w:pPr>
      <w:r>
        <w:rPr>
          <w:rFonts w:ascii="Times New Roman" w:cs="Times New Roman" w:eastAsia="Times New Roman" w:hAnsi="Times New Roman"/>
          <w:sz w:val="20"/>
          <w:szCs w:val="20"/>
          <w:color w:val="auto"/>
        </w:rPr>
        <w:t>The current expectation is that we will retain our future earnings to fund the development and growth of our business. As a result, capital appreciation, if any, of our common stock will be stockholders’ sole source of gain, if any, for the foreseeable future.</w:t>
      </w:r>
    </w:p>
    <w:p>
      <w:pPr>
        <w:spacing w:after="0" w:line="67" w:lineRule="exact"/>
        <w:rPr>
          <w:sz w:val="20"/>
          <w:szCs w:val="20"/>
          <w:color w:val="auto"/>
        </w:rPr>
      </w:pPr>
    </w:p>
    <w:p>
      <w:pPr>
        <w:ind w:right="6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Our failure to meet the continued listing requirements of The Nasdaq Stock Market LLC could result in a delisting of our Common Stock.</w:t>
      </w:r>
    </w:p>
    <w:p>
      <w:pPr>
        <w:spacing w:after="0" w:line="46"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If we fail to satisfy the continued listing requirements of The Nasdaq Stock Market LLC ("Nasdaq") such as the corporate governance requirements or the minimum closing bid price requirement, Nasdaq may take steps to delist our common stock. Such a delisting would likely have a negative effect on the price of our common stock and would impair a stockholders ability to sell or purchase shares of common stock when they wish to do so. In the event of a delisting, we can provide no assurance that any action taken by us to restore compliance with listing requirements would allow the common stock to become listed again, stabilize the market price or improve the liquidity of the common stock, prevent the common stock from dropping below the Nasdaq minimum bid price requirement or prevent future noncompliance with Nasdaq’s listing requirements.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General Risk Factors</w:t>
      </w:r>
    </w:p>
    <w:p>
      <w:pPr>
        <w:spacing w:after="0" w:line="125" w:lineRule="exact"/>
        <w:rPr>
          <w:sz w:val="20"/>
          <w:szCs w:val="20"/>
          <w:color w:val="auto"/>
        </w:rPr>
      </w:pPr>
    </w:p>
    <w:p>
      <w:pPr>
        <w:jc w:val="both"/>
        <w:ind w:right="78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Financial reporting obligations of being a public company in the United States are expensive and time-consuming, and our management will be required to devote substantial time to new compliance matters.</w:t>
      </w:r>
    </w:p>
    <w:p>
      <w:pPr>
        <w:spacing w:after="0" w:line="23" w:lineRule="exact"/>
        <w:rPr>
          <w:sz w:val="20"/>
          <w:szCs w:val="20"/>
          <w:color w:val="auto"/>
        </w:rPr>
      </w:pPr>
    </w:p>
    <w:p>
      <w:pPr>
        <w:ind w:right="380" w:firstLine="490"/>
        <w:spacing w:after="0" w:line="253" w:lineRule="auto"/>
        <w:rPr>
          <w:sz w:val="20"/>
          <w:szCs w:val="20"/>
          <w:color w:val="auto"/>
        </w:rPr>
      </w:pPr>
      <w:r>
        <w:rPr>
          <w:rFonts w:ascii="Times New Roman" w:cs="Times New Roman" w:eastAsia="Times New Roman" w:hAnsi="Times New Roman"/>
          <w:sz w:val="20"/>
          <w:szCs w:val="20"/>
          <w:color w:val="auto"/>
        </w:rPr>
        <w:t>The obligations of being a public company in the United States require significant expenditures and place significant demands on our management and other personnel, including costs resulting from public company reporting obligations under the Securities Exchange Act of 1934, as amended, and the rules and regulations regarding corporate governance practices, including those under the Sarbanes-Oxley Act, the Dodd-Frank Wall</w:t>
      </w:r>
    </w:p>
    <w:p>
      <w:pPr>
        <w:sectPr>
          <w:pgSz w:w="11880" w:h="15480" w:orient="portrait"/>
          <w:cols w:equalWidth="0" w:num="1">
            <w:col w:w="9320"/>
          </w:cols>
          <w:pgMar w:left="1260" w:top="1238" w:right="130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76</w:t>
      </w:r>
    </w:p>
    <w:p>
      <w:pPr>
        <w:sectPr>
          <w:pgSz w:w="11880" w:h="15480" w:orient="portrait"/>
          <w:cols w:equalWidth="0" w:num="1">
            <w:col w:w="9320"/>
          </w:cols>
          <w:pgMar w:left="1260" w:top="1238" w:right="1300" w:bottom="0" w:gutter="0" w:footer="0" w:header="0"/>
          <w:type w:val="continuous"/>
        </w:sectPr>
      </w:pPr>
    </w:p>
    <w:bookmarkStart w:id="78" w:name="page79"/>
    <w:bookmarkEnd w:id="78"/>
    <w:p>
      <w:pPr>
        <w:ind w:right="40"/>
        <w:spacing w:after="0" w:line="246" w:lineRule="auto"/>
        <w:rPr>
          <w:sz w:val="20"/>
          <w:szCs w:val="20"/>
          <w:color w:val="auto"/>
        </w:rPr>
      </w:pPr>
      <w:r>
        <w:rPr>
          <w:rFonts w:ascii="Times New Roman" w:cs="Times New Roman" w:eastAsia="Times New Roman" w:hAnsi="Times New Roman"/>
          <w:sz w:val="20"/>
          <w:szCs w:val="20"/>
          <w:color w:val="auto"/>
        </w:rPr>
        <w:t>Street Reform and Consumer Protection Act of 2010 (the "Dodd-Frank Act") and the listing requirements of Nasdaq on which our securities are listed. These rules require the maintenance of effective disclosure and financial controls and procedures, internal control over financial reporting and strong corporate governance practices, among many other complex rules that are often difficult to implement, monitor and maintain compliance with. Our management and other personnel devote a substantial amount of time to ensure that we comply with all of these requirements and to keep pace with new regulations, otherwise we may fall out of compliance and risk becoming subject to litigation or being delisted, among other potential problems.</w:t>
      </w:r>
    </w:p>
    <w:p>
      <w:pPr>
        <w:spacing w:after="0" w:line="81" w:lineRule="exact"/>
        <w:rPr>
          <w:sz w:val="20"/>
          <w:szCs w:val="20"/>
          <w:color w:val="auto"/>
        </w:rPr>
      </w:pPr>
    </w:p>
    <w:p>
      <w:pPr>
        <w:ind w:right="140"/>
        <w:spacing w:after="0" w:line="305" w:lineRule="auto"/>
        <w:rPr>
          <w:sz w:val="20"/>
          <w:szCs w:val="20"/>
          <w:color w:val="auto"/>
        </w:rPr>
      </w:pPr>
      <w:r>
        <w:rPr>
          <w:rFonts w:ascii="Times New Roman" w:cs="Times New Roman" w:eastAsia="Times New Roman" w:hAnsi="Times New Roman"/>
          <w:sz w:val="19"/>
          <w:szCs w:val="19"/>
          <w:b w:val="1"/>
          <w:bCs w:val="1"/>
          <w:i w:val="1"/>
          <w:iCs w:val="1"/>
          <w:color w:val="auto"/>
        </w:rPr>
        <w:t>Our employees may engage in misconduct or other improper activities, including violating applicable regulatory standards and requirements or engaging in insider trading, which could significantly impact our business.</w:t>
      </w:r>
    </w:p>
    <w:p>
      <w:pPr>
        <w:spacing w:after="0" w:line="2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We are exposed to the risk of employee fraud or other misconduct. Misconduct by employees could include intentional, reckless or negligent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us. Employees may also unintentionally or willfully disclose our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be ineffective in controlling unknown or unmanaged risks or losses or in protecting us from governmental investigations or other actions or lawsuits stemming from a failure to comply with these laws or regulations. In addition, we are subject to the risk that a person or government could allege fraud or other misconduct, even if none occurred.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87"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Unfavorable global economic conditions could adversely affect our business, financial condition or results of operations.</w:t>
      </w:r>
    </w:p>
    <w:p>
      <w:pPr>
        <w:spacing w:after="0" w:line="46"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Our results of operations could be adversely affected by general conditions in the global economy, geopolitical events and general conditions in the global financial markets. A severe or prolonged economic downturn due to geopolitical unrest resulting from the Russian invasion of Ukraine, the possibility that the conflict could expand beyond eastern Europe as well as the impact of the resurgence of more vaccine resistant or more highly contagious variants of COVID-19 or other health crises, or other factors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83"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Adverse developments affecting the financial services industry, including events or concerns involving liquidity, defaults or non-performance by financial institutions or transactional counterparties, could adversely affect our business, financial condition or results of operations.</w:t>
      </w:r>
    </w:p>
    <w:p>
      <w:pPr>
        <w:spacing w:after="0" w:line="64" w:lineRule="exact"/>
        <w:rPr>
          <w:sz w:val="20"/>
          <w:szCs w:val="20"/>
          <w:color w:val="auto"/>
        </w:rPr>
      </w:pPr>
    </w:p>
    <w:p>
      <w:pPr>
        <w:ind w:firstLine="490"/>
        <w:spacing w:after="0" w:line="258" w:lineRule="auto"/>
        <w:rPr>
          <w:sz w:val="20"/>
          <w:szCs w:val="20"/>
          <w:color w:val="auto"/>
        </w:rPr>
      </w:pPr>
      <w:r>
        <w:rPr>
          <w:rFonts w:ascii="Times New Roman" w:cs="Times New Roman" w:eastAsia="Times New Roman" w:hAnsi="Times New Roman"/>
          <w:sz w:val="19"/>
          <w:szCs w:val="19"/>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Most recently, on March 10, 2023, Silicon Valley Bank (“SVB”) was closed by the California Department of Financial Protection and Innovation, which appointed the Federal Deposit Insurance Corporation (“FDIC”) as receiver. Similarly, on March 12, 2023, Signature Bank and Silvergate Capital Corp. were each swept into receivership. 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services industry or economy in general. These factors could include, among others, events such as liquidity constraints or failures, the ability to perform obligations</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77</w:t>
      </w:r>
    </w:p>
    <w:p>
      <w:pPr>
        <w:sectPr>
          <w:pgSz w:w="11880" w:h="15480" w:orient="portrait"/>
          <w:cols w:equalWidth="0" w:num="1">
            <w:col w:w="9360"/>
          </w:cols>
          <w:pgMar w:left="1260" w:top="1238" w:right="1260" w:bottom="0" w:gutter="0" w:footer="0" w:header="0"/>
          <w:type w:val="continuous"/>
        </w:sectPr>
      </w:pPr>
    </w:p>
    <w:bookmarkStart w:id="79" w:name="page80"/>
    <w:bookmarkEnd w:id="79"/>
    <w:p>
      <w:pPr>
        <w:ind w:right="420"/>
        <w:spacing w:after="0"/>
        <w:rPr>
          <w:sz w:val="20"/>
          <w:szCs w:val="20"/>
          <w:color w:val="auto"/>
        </w:rPr>
      </w:pPr>
      <w:r>
        <w:rPr>
          <w:rFonts w:ascii="Times New Roman" w:cs="Times New Roman" w:eastAsia="Times New Roman" w:hAnsi="Times New Roman"/>
          <w:sz w:val="20"/>
          <w:szCs w:val="20"/>
          <w:color w:val="auto"/>
        </w:rPr>
        <w:t>under various types of financial, credit or liquidity agreements or arrangements, disruptions or instability in the financial services industry or financial markets, or concerns or negative expectations about the prospects for companies in the financial services industry.</w:t>
      </w:r>
    </w:p>
    <w:p>
      <w:pPr>
        <w:spacing w:after="0" w:line="244" w:lineRule="auto"/>
        <w:rPr>
          <w:sz w:val="20"/>
          <w:szCs w:val="20"/>
          <w:color w:val="auto"/>
        </w:rPr>
      </w:pPr>
      <w:r>
        <w:rPr>
          <w:rFonts w:ascii="Times New Roman" w:cs="Times New Roman" w:eastAsia="Times New Roman" w:hAnsi="Times New Roman"/>
          <w:sz w:val="20"/>
          <w:szCs w:val="20"/>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business, financial condition or results of operations.</w:t>
      </w:r>
    </w:p>
    <w:p>
      <w:pPr>
        <w:sectPr>
          <w:pgSz w:w="11880" w:h="15480" w:orient="portrait"/>
          <w:cols w:equalWidth="0" w:num="1">
            <w:col w:w="9320"/>
          </w:cols>
          <w:pgMar w:left="1260" w:top="1238"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78</w:t>
      </w:r>
    </w:p>
    <w:p>
      <w:pPr>
        <w:sectPr>
          <w:pgSz w:w="11880" w:h="15480" w:orient="portrait"/>
          <w:cols w:equalWidth="0" w:num="1">
            <w:col w:w="9320"/>
          </w:cols>
          <w:pgMar w:left="1260" w:top="1238" w:right="130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20"/>
          <w:szCs w:val="20"/>
          <w:b w:val="1"/>
          <w:bCs w:val="1"/>
          <w:color w:val="auto"/>
        </w:rPr>
        <w:t>ITEM 1B. UNRESOLVED STAFF COMMENTS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PROPERTIES</w:t>
      </w:r>
    </w:p>
    <w:p>
      <w:pPr>
        <w:spacing w:after="0" w:line="123" w:lineRule="exact"/>
        <w:rPr>
          <w:sz w:val="20"/>
          <w:szCs w:val="20"/>
          <w:color w:val="auto"/>
        </w:rPr>
      </w:pPr>
    </w:p>
    <w:p>
      <w:pPr>
        <w:ind w:right="40" w:firstLine="490"/>
        <w:spacing w:after="0" w:line="259" w:lineRule="auto"/>
        <w:rPr>
          <w:sz w:val="20"/>
          <w:szCs w:val="20"/>
          <w:color w:val="auto"/>
        </w:rPr>
      </w:pPr>
      <w:r>
        <w:rPr>
          <w:rFonts w:ascii="Times New Roman" w:cs="Times New Roman" w:eastAsia="Times New Roman" w:hAnsi="Times New Roman"/>
          <w:sz w:val="20"/>
          <w:szCs w:val="20"/>
          <w:color w:val="auto"/>
        </w:rPr>
        <w:t>We lease office and laboratory space, which consists of approximately 5,000 square feet and 1,750 square feet located in Bala Cynwyd, PA and Philadelphia, PA, respectively. Our office lease expires in August 2023 with an option to extend the lease for an additional three years, and our laboratory lease expires in December 2023.</w:t>
      </w:r>
    </w:p>
    <w:p>
      <w:pPr>
        <w:spacing w:after="0" w:line="65"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auto"/>
        </w:rPr>
        <w:t>We are party to an operating lease for approximately 17,705 square feet of office space in Boston, Massachusetts, which we refer to as the Boston Lease. The Boston Lease expires in October 2029. On October 27, 2020, we entered into a sublease agreement whereby we subleased all 17,705 square feet of office space leased under the Boston Lease until October 2029.</w:t>
      </w:r>
    </w:p>
    <w:p>
      <w:pPr>
        <w:spacing w:after="0" w:line="70" w:lineRule="exact"/>
        <w:rPr>
          <w:sz w:val="20"/>
          <w:szCs w:val="20"/>
          <w:color w:val="auto"/>
        </w:rPr>
      </w:pPr>
    </w:p>
    <w:p>
      <w:pPr>
        <w:ind w:right="320" w:firstLine="490"/>
        <w:spacing w:after="0" w:line="279" w:lineRule="auto"/>
        <w:rPr>
          <w:sz w:val="20"/>
          <w:szCs w:val="20"/>
          <w:color w:val="auto"/>
        </w:rPr>
      </w:pPr>
      <w:r>
        <w:rPr>
          <w:rFonts w:ascii="Times New Roman" w:cs="Times New Roman" w:eastAsia="Times New Roman" w:hAnsi="Times New Roman"/>
          <w:sz w:val="20"/>
          <w:szCs w:val="20"/>
          <w:color w:val="auto"/>
        </w:rPr>
        <w:t>We believe that we will need to increase our lease space in the near and intermediate term. We believe that both appropriate office and laboratory space will be readily available on commercially reasonable terms.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123"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We may be subject to other legal proceedings and claims in the ordinary course of business. We cannot predict the results of any such disputes, and despite the potential outcomes, the existence thereof may have an adverse material impact on us due to diversion of management time and attention as well as the financial costs related to resolving such disputes.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360"/>
          </w:cols>
          <w:pgMar w:left="1260" w:top="1235"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79</w:t>
      </w:r>
    </w:p>
    <w:p>
      <w:pPr>
        <w:sectPr>
          <w:pgSz w:w="11880" w:h="15480" w:orient="portrait"/>
          <w:cols w:equalWidth="0" w:num="1">
            <w:col w:w="9360"/>
          </w:cols>
          <w:pgMar w:left="1260" w:top="1235" w:right="1260" w:bottom="0" w:gutter="0" w:footer="0" w:header="0"/>
          <w:type w:val="continuous"/>
        </w:sectPr>
      </w:pPr>
    </w:p>
    <w:bookmarkStart w:id="81" w:name="page82"/>
    <w:bookmarkEnd w:id="81"/>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4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20"/>
          <w:szCs w:val="20"/>
          <w:b w:val="1"/>
          <w:bCs w:val="1"/>
          <w:color w:val="auto"/>
        </w:rPr>
        <w:t>ITEM 5. MARKET FOR REGISTRANT’S COMMON EQUITY, RELATED STOCKHOLDER MATTERS AND ISSUER PURCHASES OF EQUITY SECURITIES.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Our common stock is publicly traded on the Nasdaq Global Market under the symbol “LRMR.”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As of March 14, 2023, we had approximately 24 record holders of our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123" w:lineRule="exact"/>
        <w:rPr>
          <w:sz w:val="20"/>
          <w:szCs w:val="20"/>
          <w:color w:val="auto"/>
        </w:rPr>
      </w:pPr>
    </w:p>
    <w:p>
      <w:pPr>
        <w:ind w:right="420" w:firstLine="490"/>
        <w:spacing w:after="0" w:line="279" w:lineRule="auto"/>
        <w:rPr>
          <w:sz w:val="20"/>
          <w:szCs w:val="20"/>
          <w:color w:val="auto"/>
        </w:rPr>
      </w:pPr>
      <w:r>
        <w:rPr>
          <w:rFonts w:ascii="Times New Roman" w:cs="Times New Roman" w:eastAsia="Times New Roman" w:hAnsi="Times New Roman"/>
          <w:sz w:val="20"/>
          <w:szCs w:val="20"/>
          <w:color w:val="auto"/>
        </w:rPr>
        <w:t>We have not declared or paid any dividends since our inception nor do we expect to pay dividends in the foreseeable future.</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123" w:lineRule="exact"/>
        <w:rPr>
          <w:sz w:val="20"/>
          <w:szCs w:val="20"/>
          <w:color w:val="auto"/>
        </w:rPr>
      </w:pPr>
    </w:p>
    <w:p>
      <w:pPr>
        <w:ind w:right="320" w:firstLine="490"/>
        <w:spacing w:after="0" w:line="279" w:lineRule="auto"/>
        <w:rPr>
          <w:sz w:val="20"/>
          <w:szCs w:val="20"/>
          <w:color w:val="auto"/>
        </w:rPr>
      </w:pPr>
      <w:r>
        <w:rPr>
          <w:rFonts w:ascii="Times New Roman" w:cs="Times New Roman" w:eastAsia="Times New Roman" w:hAnsi="Times New Roman"/>
          <w:sz w:val="20"/>
          <w:szCs w:val="20"/>
          <w:color w:val="auto"/>
        </w:rPr>
        <w:t>There have been no sales of unregistered securities other than as previously disclosed by us in our Current Reports on Form 8-K as filed with the SEC.</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1880" w:h="15480" w:orient="portrait"/>
          <w:cols w:equalWidth="0" w:num="1">
            <w:col w:w="9300"/>
          </w:cols>
          <w:pgMar w:left="1260" w:top="1235"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80</w:t>
      </w:r>
    </w:p>
    <w:p>
      <w:pPr>
        <w:sectPr>
          <w:pgSz w:w="11880" w:h="15480" w:orient="portrait"/>
          <w:cols w:equalWidth="0" w:num="1">
            <w:col w:w="9300"/>
          </w:cols>
          <w:pgMar w:left="1260" w:top="1235" w:right="1320" w:bottom="0" w:gutter="0" w:footer="0" w:header="0"/>
          <w:type w:val="continuous"/>
        </w:sectPr>
      </w:pPr>
    </w:p>
    <w:bookmarkStart w:id="82" w:name="page83"/>
    <w:bookmarkEnd w:id="82"/>
    <w:p>
      <w:pPr>
        <w:ind w:right="820"/>
        <w:spacing w:after="0" w:line="287" w:lineRule="auto"/>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37" w:lineRule="exact"/>
        <w:rPr>
          <w:sz w:val="20"/>
          <w:szCs w:val="20"/>
          <w:color w:val="auto"/>
        </w:rPr>
      </w:pPr>
    </w:p>
    <w:p>
      <w:pPr>
        <w:ind w:right="80" w:firstLine="490"/>
        <w:spacing w:after="0" w:line="246" w:lineRule="auto"/>
        <w:rPr>
          <w:sz w:val="20"/>
          <w:szCs w:val="20"/>
          <w:color w:val="auto"/>
        </w:rPr>
      </w:pPr>
      <w:r>
        <w:rPr>
          <w:rFonts w:ascii="Times New Roman" w:cs="Times New Roman" w:eastAsia="Times New Roman" w:hAnsi="Times New Roman"/>
          <w:sz w:val="20"/>
          <w:szCs w:val="20"/>
          <w:i w:val="1"/>
          <w:iCs w:val="1"/>
          <w:color w:val="auto"/>
        </w:rPr>
        <w:t>You should read the following discussion and analysis of our financial condition and results of operations together with the audited consolidated financial statements and the related notes included elsewhere in this Annual Report on Form 10-K. In addition to historical financial information, the following discussion contains forward-looking statements based upon our current plans, expectations and beliefs that involve risks, uncertainties and assumptions. Our actual results may differ materially from those described in or implied by these forward-looking statements as a result of many factors, including those set forth under the section titled “Risk Factors” and in other parts of this Annual Report on Form 10-K.</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23"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We are a clinical-stage biotechnology company focused on developing treatments for patients suffering from complex rare diseases using our novel CPP technology platform. Our lead product candidate, CTI-1601, is a subcutaneously administered, recombinant fusion protein intended to deliver FXN, an essential protein, to the mitochondria of patients with FA. FA is a rare, progressive, and fatal disease in which patients are unable to produce sufficient FXN due to a genetic abnormality. Currently, there are no treatment options that address the core deficit of FA, low levels of FXN. CTI-1601 represents the first potential therapy designed to increase FXN levels in patients with FA.</w:t>
      </w:r>
    </w:p>
    <w:p>
      <w:pPr>
        <w:spacing w:after="0" w:line="80" w:lineRule="exact"/>
        <w:rPr>
          <w:sz w:val="20"/>
          <w:szCs w:val="20"/>
          <w:color w:val="auto"/>
        </w:rPr>
      </w:pPr>
    </w:p>
    <w:p>
      <w:pPr>
        <w:ind w:right="160" w:firstLine="490"/>
        <w:spacing w:after="0" w:line="247" w:lineRule="auto"/>
        <w:rPr>
          <w:sz w:val="20"/>
          <w:szCs w:val="20"/>
          <w:color w:val="auto"/>
        </w:rPr>
      </w:pPr>
      <w:r>
        <w:rPr>
          <w:rFonts w:ascii="Times New Roman" w:cs="Times New Roman" w:eastAsia="Times New Roman" w:hAnsi="Times New Roman"/>
          <w:sz w:val="20"/>
          <w:szCs w:val="20"/>
          <w:color w:val="auto"/>
        </w:rPr>
        <w:t>We have completed two Phase 1 clinical trials in patients with FA. We have also received an orphan drug designation, fast track designation and rare pediatric disease designation, from the FDA for CTI-1601. In addition, we received orphan designation for CTI-1601 from the European Commission and a PRIME designation from the EMA.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80"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70" w:lineRule="exact"/>
        <w:rPr>
          <w:sz w:val="20"/>
          <w:szCs w:val="20"/>
          <w:color w:val="auto"/>
        </w:rPr>
      </w:pPr>
    </w:p>
    <w:p>
      <w:pPr>
        <w:jc w:val="both"/>
        <w:ind w:right="100" w:firstLine="490"/>
        <w:spacing w:after="0" w:line="259" w:lineRule="auto"/>
        <w:rPr>
          <w:sz w:val="20"/>
          <w:szCs w:val="20"/>
          <w:color w:val="auto"/>
        </w:rPr>
      </w:pPr>
      <w:r>
        <w:rPr>
          <w:rFonts w:ascii="Times New Roman" w:cs="Times New Roman" w:eastAsia="Times New Roman" w:hAnsi="Times New Roman"/>
          <w:sz w:val="20"/>
          <w:szCs w:val="20"/>
          <w:color w:val="auto"/>
        </w:rPr>
        <w:t>Since our inception, we have devoted substantially all of our resources to developing CTI-1601, building our intellectual property portfolio, developing third-party manufacturing capabilities, business planning, raising capital, and providing general and administrative support for such operations.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CTI-1601 Program Update</w:t>
      </w:r>
    </w:p>
    <w:p>
      <w:pPr>
        <w:spacing w:after="0" w:line="123" w:lineRule="exact"/>
        <w:rPr>
          <w:sz w:val="20"/>
          <w:szCs w:val="20"/>
          <w:color w:val="auto"/>
        </w:rPr>
      </w:pPr>
    </w:p>
    <w:p>
      <w:pPr>
        <w:ind w:right="140" w:firstLine="490"/>
        <w:spacing w:after="0" w:line="249" w:lineRule="auto"/>
        <w:rPr>
          <w:sz w:val="20"/>
          <w:szCs w:val="20"/>
          <w:color w:val="auto"/>
        </w:rPr>
      </w:pPr>
      <w:r>
        <w:rPr>
          <w:rFonts w:ascii="Times New Roman" w:cs="Times New Roman" w:eastAsia="Times New Roman" w:hAnsi="Times New Roman"/>
          <w:sz w:val="20"/>
          <w:szCs w:val="20"/>
          <w:color w:val="auto"/>
        </w:rPr>
        <w:t>On May 20, 2021 we announced that we had received an EMA PRIME designation for CTI-1601 in FA. Through PRIME, the EMA offers early and proactive support to medicine developers to optimize the generation of robust data on a medicine’s benefits and risks and enable accelerated assessment of medicines applications so that these medicines can reach patients earlier. The PRIME designation was based on both pre-clinical data as well as tolerability data from the CTI-1601 Phase 1 program in patients with FA.</w:t>
      </w:r>
    </w:p>
    <w:p>
      <w:pPr>
        <w:spacing w:after="0" w:line="77"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In May 2021, we reported positive top-line data from our Phase 1 FA program after completing dosing of the SAD trial in December 2020 and of the MAD trial in March 2021. Data from these trials demonstrate proof-of-concept by showing that daily subcutaneous injections of CTI-1601 for up to 13 days resulted in dose-dependent increases in FXN levels from baseline compared to placebo in all evaluated tissues (buccal cells, skin, and platelets). FXN levels achieved in peripheral tissues (buccal cells) following daily 50 mg and 100 mg subcutaneous injections of CTI-1601 were at or in excess of FXN levels that would be expected in phenotypically normal heterozygous carriers. There were no SAEs associated with either the MAD or SAD trials.</w:t>
      </w:r>
    </w:p>
    <w:p>
      <w:pPr>
        <w:spacing w:after="0" w:line="80"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Also in May 2021, the FDA placed a clinical hold on our CTI-1601 clinical program after we notified the agency of mortalities at the highest dose levels of the 26-week NHP toxicology study that was designed to support extended dosing of patients with CTI-1601. At the time the hold was placed, we had no interventional clinical trials with patients enrolling or enrolled.</w:t>
      </w:r>
    </w:p>
    <w:p>
      <w:pPr>
        <w:sectPr>
          <w:pgSz w:w="11880" w:h="15480" w:orient="portrait"/>
          <w:cols w:equalWidth="0" w:num="1">
            <w:col w:w="9340"/>
          </w:cols>
          <w:pgMar w:left="1260" w:top="1235"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81</w:t>
      </w:r>
    </w:p>
    <w:p>
      <w:pPr>
        <w:sectPr>
          <w:pgSz w:w="11880" w:h="15480" w:orient="portrait"/>
          <w:cols w:equalWidth="0" w:num="1">
            <w:col w:w="9340"/>
          </w:cols>
          <w:pgMar w:left="1260" w:top="1235" w:right="1280" w:bottom="0" w:gutter="0" w:footer="0" w:header="0"/>
          <w:type w:val="continuous"/>
        </w:sectPr>
      </w:pPr>
    </w:p>
    <w:bookmarkStart w:id="83" w:name="page84"/>
    <w:bookmarkEnd w:id="83"/>
    <w:p>
      <w:pPr>
        <w:ind w:firstLine="490"/>
        <w:spacing w:after="0" w:line="249" w:lineRule="auto"/>
        <w:rPr>
          <w:sz w:val="20"/>
          <w:szCs w:val="20"/>
          <w:color w:val="auto"/>
        </w:rPr>
      </w:pPr>
      <w:r>
        <w:rPr>
          <w:rFonts w:ascii="Times New Roman" w:cs="Times New Roman" w:eastAsia="Times New Roman" w:hAnsi="Times New Roman"/>
          <w:sz w:val="20"/>
          <w:szCs w:val="20"/>
          <w:color w:val="auto"/>
        </w:rPr>
        <w:t>In February 2022, in response to the complete response we submitted to the FDA, the FDA stated that it was maintaining the clinical hold and that additional data were needed to resolve the clinical hold. We subsequently submitted a request to the FDA for a Type C meeting, which was granted and was held in July 2022. We submitted a complete response incorporating additional information requested by the FDA at the meeting as well as information on the proposed study in August 2022.</w:t>
      </w:r>
    </w:p>
    <w:p>
      <w:pPr>
        <w:spacing w:after="0" w:line="77"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In September 2022, following the Type C meeting and the submission of the Company's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The dose exploration trial is designed to further characterize CTI-1601’s safety, PD and PK profiles to provide information about the preferred long-term dose and dose regimen. We have since initiated the 25 mg cohort of the Phase 2 dose exploration trial. Initiation of the second cohort and/or other clinical trials is contingent on the FDA’s agreement based on its review of the trial's 25 mg cohort data and on review by the trial’s independent data monitoring committee. We anticipate that we will provide an update that will outline the next steps for the clinical trial in the second quarter of 2023 and anticipate reporting top-line data in the second half of 2023.</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Financing Activities</w:t>
      </w:r>
    </w:p>
    <w:p>
      <w:pPr>
        <w:spacing w:after="0" w:line="123"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We have funded our operations to date primarily with proceeds from sales of common stock, proceeds from the sale of prefunded warrants for the purchase of common stock, the acquisition in 2020 of cash, cash equivalents, marketable securities and restricted cash upon the merger with Zafgen, Inc. and, prior to the 2020 merger with Zafgen, capital contributions from Chondrial Holdings, LLC.</w:t>
      </w:r>
    </w:p>
    <w:p>
      <w:pPr>
        <w:spacing w:after="0" w:line="70"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In August 2020, we entered into an Equity Distribution Agreement (the "Prior ATM Agreement") with an investment bank in connection with the establishment of an “at-the-market” offering program providing for the sale of up to an aggregate of $50.0 million of shares of our common stock from time to time through the investment bank as sales agent.</w:t>
      </w:r>
    </w:p>
    <w:p>
      <w:pPr>
        <w:spacing w:after="0" w:line="70" w:lineRule="exact"/>
        <w:rPr>
          <w:sz w:val="20"/>
          <w:szCs w:val="20"/>
          <w:color w:val="auto"/>
        </w:rPr>
      </w:pPr>
    </w:p>
    <w:p>
      <w:pPr>
        <w:ind w:right="400" w:firstLine="490"/>
        <w:spacing w:after="0" w:line="279" w:lineRule="auto"/>
        <w:rPr>
          <w:sz w:val="20"/>
          <w:szCs w:val="20"/>
          <w:color w:val="auto"/>
        </w:rPr>
      </w:pPr>
      <w:r>
        <w:rPr>
          <w:rFonts w:ascii="Times New Roman" w:cs="Times New Roman" w:eastAsia="Times New Roman" w:hAnsi="Times New Roman"/>
          <w:sz w:val="20"/>
          <w:szCs w:val="20"/>
          <w:color w:val="auto"/>
        </w:rPr>
        <w:t>In July 2021, we sold 2,342,720 shares under the Prior ATM agreement for net proceeds of $19.9 million, after issuance costs.</w:t>
      </w:r>
    </w:p>
    <w:p>
      <w:pPr>
        <w:spacing w:after="0" w:line="45" w:lineRule="exact"/>
        <w:rPr>
          <w:sz w:val="20"/>
          <w:szCs w:val="20"/>
          <w:color w:val="auto"/>
        </w:rPr>
      </w:pPr>
    </w:p>
    <w:p>
      <w:pPr>
        <w:ind w:right="140" w:firstLine="490"/>
        <w:spacing w:after="0" w:line="279" w:lineRule="auto"/>
        <w:rPr>
          <w:sz w:val="20"/>
          <w:szCs w:val="20"/>
          <w:color w:val="auto"/>
        </w:rPr>
      </w:pPr>
      <w:r>
        <w:rPr>
          <w:rFonts w:ascii="Times New Roman" w:cs="Times New Roman" w:eastAsia="Times New Roman" w:hAnsi="Times New Roman"/>
          <w:sz w:val="20"/>
          <w:szCs w:val="20"/>
          <w:color w:val="auto"/>
        </w:rPr>
        <w:t>In September 2022, we sold 25,558,750 shares of common stock in an underwritten offering for net proceeds of $75.2 million, after issuance costs.</w:t>
      </w:r>
    </w:p>
    <w:p>
      <w:pPr>
        <w:spacing w:after="0" w:line="45" w:lineRule="exact"/>
        <w:rPr>
          <w:sz w:val="20"/>
          <w:szCs w:val="20"/>
          <w:color w:val="auto"/>
        </w:rPr>
      </w:pPr>
    </w:p>
    <w:p>
      <w:pPr>
        <w:jc w:val="both"/>
        <w:ind w:right="180" w:firstLine="490"/>
        <w:spacing w:after="0" w:line="253" w:lineRule="auto"/>
        <w:rPr>
          <w:sz w:val="20"/>
          <w:szCs w:val="20"/>
          <w:color w:val="auto"/>
        </w:rPr>
      </w:pPr>
      <w:r>
        <w:rPr>
          <w:rFonts w:ascii="Times New Roman" w:cs="Times New Roman" w:eastAsia="Times New Roman" w:hAnsi="Times New Roman"/>
          <w:sz w:val="20"/>
          <w:szCs w:val="20"/>
          <w:color w:val="auto"/>
        </w:rPr>
        <w:t>In November 2022, the Prior ATM Agreement was terminated and we entered into a new Sales Agreement (the "ATM Agreement") with another investment bank in connection with the establishment of an “at-the-market” offering program providing for the sale of up to an aggregate of $50.0 million of shares of our common stock from time to time through this investment bank as sales agent.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COVID-19 Update</w:t>
      </w:r>
    </w:p>
    <w:p>
      <w:pPr>
        <w:spacing w:after="0" w:line="123"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The COVID-19 pandemic that began late in 2019 caused a four-month temporary stoppage of our trials with patients with FA in early 2020. Both of our SAD and MAD clinical trials were subsequently completed in 2021. While COVID-19 has had no significant impact to date on our 25 mg cohort of its dose exploration study, the risk of a resurgence of future vaccine resistant variants of COVID-19 and or other infectious diseases remains. In the future, the COVID-19 pandemic and responsive measures thereto may result in negative impacts on us, including possible delays in our clinical and regulatory activities. We cannot be certain what the overall impact of a resurgence of the COVID-19 pandemic or other health crisis would be on our business and it has the potential to materially adversely affect our business, financial condition, results of operations, and prospects.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Significant Judgments and Estimates</w:t>
      </w:r>
    </w:p>
    <w:p>
      <w:pPr>
        <w:spacing w:after="0" w:line="123" w:lineRule="exact"/>
        <w:rPr>
          <w:sz w:val="20"/>
          <w:szCs w:val="20"/>
          <w:color w:val="auto"/>
        </w:rPr>
      </w:pP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Our audited consolidated financial statements are prepared in accordance with GAAP. The preparation of our audited consolidated financial statements and related disclosures requires us to make estimates and assumptions that affect the reported amount of assets, liabilities, costs and expenses, and related disclosures. We believe that the estimates and assumptions involved in the accounting policies described below may have the greatest potential impact on our audited consolidated financial statements and, therefore, consider these to be our critical accounting policies. We evaluate these estimates and assumptions on an ongoing basis. Our actual results may differ from these estimates under different assumptions and conditions.</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82</w:t>
      </w:r>
    </w:p>
    <w:p>
      <w:pPr>
        <w:sectPr>
          <w:pgSz w:w="11880" w:h="15480" w:orient="portrait"/>
          <w:cols w:equalWidth="0" w:num="1">
            <w:col w:w="9360"/>
          </w:cols>
          <w:pgMar w:left="1260" w:top="1238" w:right="126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w:t>
      </w:r>
    </w:p>
    <w:p>
      <w:pPr>
        <w:spacing w:after="0" w:line="117" w:lineRule="exact"/>
        <w:rPr>
          <w:sz w:val="20"/>
          <w:szCs w:val="20"/>
          <w:color w:val="auto"/>
        </w:rPr>
      </w:pPr>
    </w:p>
    <w:p>
      <w:pPr>
        <w:ind w:right="100" w:firstLine="490"/>
        <w:spacing w:after="0" w:line="243" w:lineRule="auto"/>
        <w:rPr>
          <w:sz w:val="20"/>
          <w:szCs w:val="20"/>
          <w:color w:val="auto"/>
        </w:rPr>
      </w:pPr>
      <w:r>
        <w:rPr>
          <w:rFonts w:ascii="Times New Roman" w:cs="Times New Roman" w:eastAsia="Times New Roman" w:hAnsi="Times New Roman"/>
          <w:sz w:val="20"/>
          <w:szCs w:val="20"/>
          <w:color w:val="auto"/>
        </w:rPr>
        <w:t>Costs for certain research and development activities, such as manufacturing, non-clinical studies and clinical trials are generally recognized based on the evaluation of the progress of completion of specific tasks using information and data provided by our vendors and collaborators, and accordingly are considered an area of significant judgement and management's review of manufacturing, nonclinical and clinical expenses. This process involves reviewing open contracts and purchase orders, communicating with our personnel and outside vendors to identify services that have been performed on our behalf and estimating the level of service performed and the associated costs incurred for the services when we have not yet been invoiced or otherwise notified of the actual costs. We work with vendors and suppliers to ensure that our estimates of our research and development expenses are reasonable. Research and development activities are central to our business. We expect to increase our investment in research and development in order to advance CTI-1601 through additional clinical trials. As a result, we expect that our research and development expenses will increase in the foreseeable future as we pursue clinical development of CTI-1601 and/or any other product candidates we develop.</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Compensation Expense</w:t>
      </w:r>
    </w:p>
    <w:p>
      <w:pPr>
        <w:spacing w:after="0" w:line="112" w:lineRule="exact"/>
        <w:rPr>
          <w:sz w:val="20"/>
          <w:szCs w:val="20"/>
          <w:color w:val="auto"/>
        </w:rPr>
      </w:pPr>
    </w:p>
    <w:p>
      <w:pPr>
        <w:ind w:right="40" w:firstLine="490"/>
        <w:spacing w:after="0" w:line="246" w:lineRule="auto"/>
        <w:rPr>
          <w:sz w:val="20"/>
          <w:szCs w:val="20"/>
          <w:color w:val="auto"/>
        </w:rPr>
      </w:pPr>
      <w:r>
        <w:rPr>
          <w:rFonts w:ascii="Times New Roman" w:cs="Times New Roman" w:eastAsia="Times New Roman" w:hAnsi="Times New Roman"/>
          <w:sz w:val="20"/>
          <w:szCs w:val="20"/>
          <w:color w:val="auto"/>
        </w:rPr>
        <w:t>We measure all stock-based awards granted to employees, non-employee consultants and directors based on the fair value on the date of grant using the Black-Scholes option-pricing model. 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so that they are inherently subjective. If factors change and different assumptions are used, our stock-based compensation expense could be materially different in the future.</w:t>
      </w:r>
    </w:p>
    <w:p>
      <w:pPr>
        <w:spacing w:after="0" w:line="80"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Prior to May 28, 2020, we were a private company and lacked company-specific historical and implied volatility information for our common stock. Therefore, we estimate our expected common stock price volatility based on the historical volatility of publicly traded peer companies within the life sciences/biotechnology sector with comparable characteristics including enterprise value, risk profiles and position within the industry. We regularly evaluate our peer group to assess changes in circumstances where identified companies may no longer be similar to us, in which case, more suitable companies whose share prices are publicly available would be utilized in the calculation. We expect to continue to do so until we have adequate historical data regarding the volatility of our own traded stock price.</w:t>
      </w:r>
    </w:p>
    <w:p>
      <w:pPr>
        <w:spacing w:after="0" w:line="8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The expected term of our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considers the fact that we have never paid cash dividends on common stock and do not expect to pay any cash dividends in the foreseeable future.</w:t>
      </w:r>
    </w:p>
    <w:p>
      <w:pPr>
        <w:spacing w:after="0" w:line="77" w:lineRule="exact"/>
        <w:rPr>
          <w:sz w:val="20"/>
          <w:szCs w:val="20"/>
          <w:color w:val="auto"/>
        </w:rPr>
      </w:pPr>
    </w:p>
    <w:p>
      <w:pPr>
        <w:ind w:right="120" w:firstLine="490"/>
        <w:spacing w:after="0" w:line="259" w:lineRule="auto"/>
        <w:rPr>
          <w:sz w:val="20"/>
          <w:szCs w:val="20"/>
          <w:color w:val="auto"/>
        </w:rPr>
      </w:pPr>
      <w:r>
        <w:rPr>
          <w:rFonts w:ascii="Times New Roman" w:cs="Times New Roman" w:eastAsia="Times New Roman" w:hAnsi="Times New Roman"/>
          <w:sz w:val="20"/>
          <w:szCs w:val="20"/>
          <w:color w:val="auto"/>
        </w:rPr>
        <w:t>Compensation expense of those awards is recognized over the requisite service period, which is generally the vesting period of the respective award. Typically, we issue awards with only service-based vesting conditions and record the expense for these awards using the straight-line method. We account for forfeitures as they occur.</w:t>
      </w:r>
    </w:p>
    <w:p>
      <w:pPr>
        <w:spacing w:after="0" w:line="65" w:lineRule="exact"/>
        <w:rPr>
          <w:sz w:val="20"/>
          <w:szCs w:val="20"/>
          <w:color w:val="auto"/>
        </w:rPr>
      </w:pPr>
    </w:p>
    <w:p>
      <w:pPr>
        <w:ind w:right="280" w:firstLine="490"/>
        <w:spacing w:after="0" w:line="259" w:lineRule="auto"/>
        <w:rPr>
          <w:sz w:val="20"/>
          <w:szCs w:val="20"/>
          <w:color w:val="auto"/>
        </w:rPr>
      </w:pPr>
      <w:r>
        <w:rPr>
          <w:rFonts w:ascii="Times New Roman" w:cs="Times New Roman" w:eastAsia="Times New Roman" w:hAnsi="Times New Roman"/>
          <w:sz w:val="20"/>
          <w:szCs w:val="20"/>
          <w:color w:val="auto"/>
        </w:rPr>
        <w:t>We classify stock-based compensation expense in our consolidated statements of operations and comprehensive loss in the same manner in which the award recipient’s payroll costs are classified or in which the award recipient’s service payments are classified.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Operations Overview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114" w:lineRule="exact"/>
        <w:rPr>
          <w:sz w:val="20"/>
          <w:szCs w:val="20"/>
          <w:color w:val="auto"/>
        </w:rPr>
      </w:pPr>
    </w:p>
    <w:p>
      <w:pPr>
        <w:ind w:right="340" w:firstLine="490"/>
        <w:spacing w:after="0" w:line="253" w:lineRule="auto"/>
        <w:rPr>
          <w:sz w:val="20"/>
          <w:szCs w:val="20"/>
          <w:color w:val="auto"/>
        </w:rPr>
      </w:pPr>
      <w:r>
        <w:rPr>
          <w:rFonts w:ascii="Times New Roman" w:cs="Times New Roman" w:eastAsia="Times New Roman" w:hAnsi="Times New Roman"/>
          <w:sz w:val="20"/>
          <w:szCs w:val="20"/>
          <w:color w:val="auto"/>
        </w:rPr>
        <w:t>To date, we have not generated any revenue from product sales, and do not expect to generate any revenue from the sale of products in the foreseeable future. If our development efforts result in clinical success and regulatory approval or collaboration agreements with third parties for our product candidates, we may generate revenue from those product candidates or collaborations.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Expenses</w:t>
      </w:r>
    </w:p>
    <w:p>
      <w:pPr>
        <w:spacing w:after="0" w:line="114"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auto"/>
        </w:rPr>
        <w:t>The majority of our operating expenses since inception have consisted primarily of research and development activities, and general and administrative costs.</w:t>
      </w:r>
    </w:p>
    <w:p>
      <w:pPr>
        <w:sectPr>
          <w:pgSz w:w="11880" w:h="15480" w:orient="portrait"/>
          <w:cols w:equalWidth="0" w:num="1">
            <w:col w:w="9360"/>
          </w:cols>
          <w:pgMar w:left="1260" w:top="1242"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83</w:t>
      </w:r>
    </w:p>
    <w:p>
      <w:pPr>
        <w:sectPr>
          <w:pgSz w:w="11880" w:h="15480" w:orient="portrait"/>
          <w:cols w:equalWidth="0" w:num="1">
            <w:col w:w="9360"/>
          </w:cols>
          <w:pgMar w:left="1260" w:top="1242" w:right="126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20"/>
          <w:szCs w:val="20"/>
          <w:i w:val="1"/>
          <w:iCs w:val="1"/>
          <w:color w:val="auto"/>
        </w:rPr>
        <w:t>Research and Development Expenses</w:t>
      </w:r>
    </w:p>
    <w:p>
      <w:pPr>
        <w:spacing w:after="0" w:line="117" w:lineRule="exact"/>
        <w:rPr>
          <w:sz w:val="20"/>
          <w:szCs w:val="20"/>
          <w:color w:val="auto"/>
        </w:rPr>
      </w:pPr>
    </w:p>
    <w:p>
      <w:pPr>
        <w:ind w:right="260" w:firstLine="490"/>
        <w:spacing w:after="0" w:line="307" w:lineRule="auto"/>
        <w:rPr>
          <w:sz w:val="20"/>
          <w:szCs w:val="20"/>
          <w:color w:val="auto"/>
        </w:rPr>
      </w:pPr>
      <w:r>
        <w:rPr>
          <w:rFonts w:ascii="Times New Roman" w:cs="Times New Roman" w:eastAsia="Times New Roman" w:hAnsi="Times New Roman"/>
          <w:sz w:val="19"/>
          <w:szCs w:val="19"/>
          <w:color w:val="auto"/>
        </w:rPr>
        <w:t>Research and development expenses, which consist primarily of costs associated with our product research and development efforts, are expensed as incurred. Research and development expenses consist primarily of:</w:t>
      </w:r>
    </w:p>
    <w:p>
      <w:pPr>
        <w:spacing w:after="0" w:line="17" w:lineRule="exact"/>
        <w:rPr>
          <w:sz w:val="20"/>
          <w:szCs w:val="20"/>
          <w:color w:val="auto"/>
        </w:rPr>
      </w:pPr>
    </w:p>
    <w:p>
      <w:pPr>
        <w:ind w:left="720" w:right="40" w:hanging="360"/>
        <w:spacing w:after="0" w:line="254"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third-party contract costs relating to research, formulation, manufacturing, non-clinical studies and clinical trial activities;</w:t>
      </w:r>
    </w:p>
    <w:p>
      <w:pPr>
        <w:spacing w:after="0" w:line="60" w:lineRule="exact"/>
        <w:rPr>
          <w:rFonts w:ascii="Arial" w:cs="Arial" w:eastAsia="Arial" w:hAnsi="Arial"/>
          <w:sz w:val="20"/>
          <w:szCs w:val="20"/>
          <w:color w:val="auto"/>
        </w:rPr>
      </w:pPr>
    </w:p>
    <w:p>
      <w:pPr>
        <w:ind w:left="720" w:right="60" w:hanging="360"/>
        <w:spacing w:after="0" w:line="254" w:lineRule="auto"/>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employee related costs, including salaries, benefits and stock-based compensation expenses for employees engaged in scientific research and development functions;</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external costs of outside consultants and vendors;</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payments made under our third-party licensing agreements;</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sponsored research agreements;</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laboratory consumables; and</w:t>
      </w:r>
    </w:p>
    <w:p>
      <w:pPr>
        <w:spacing w:after="0" w:line="110" w:lineRule="exact"/>
        <w:rPr>
          <w:rFonts w:ascii="Arial" w:cs="Arial" w:eastAsia="Arial" w:hAnsi="Arial"/>
          <w:sz w:val="20"/>
          <w:szCs w:val="20"/>
          <w:color w:val="auto"/>
        </w:rPr>
      </w:pPr>
    </w:p>
    <w:p>
      <w:pPr>
        <w:ind w:left="720" w:hanging="360"/>
        <w:spacing w:after="0"/>
        <w:tabs>
          <w:tab w:leader="none" w:pos="720" w:val="left"/>
        </w:tabs>
        <w:numPr>
          <w:ilvl w:val="0"/>
          <w:numId w:val="48"/>
        </w:numPr>
        <w:rPr>
          <w:rFonts w:ascii="Arial" w:cs="Arial" w:eastAsia="Arial" w:hAnsi="Arial"/>
          <w:sz w:val="20"/>
          <w:szCs w:val="20"/>
          <w:color w:val="auto"/>
        </w:rPr>
      </w:pPr>
      <w:r>
        <w:rPr>
          <w:rFonts w:ascii="Times New Roman" w:cs="Times New Roman" w:eastAsia="Times New Roman" w:hAnsi="Times New Roman"/>
          <w:sz w:val="20"/>
          <w:szCs w:val="20"/>
          <w:color w:val="auto"/>
        </w:rPr>
        <w:t>allocated facility-related costs.</w:t>
      </w:r>
    </w:p>
    <w:p>
      <w:pPr>
        <w:spacing w:after="0" w:line="115"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At this time, we cannot reasonably estimate or know the nature, timing and estimated costs of the efforts that will be necessary to complete the clinical and commercial development of CTI-1601, or any other product candidates we develop. We are also unable to predict when, if ever, material net cash inflows will commence from sales of our product candidates. The duration, costs, and timing of clinical trials and development of CTI-1601 or any other product candidates we develop will depend on a variety of factors, including:</w:t>
      </w:r>
    </w:p>
    <w:p>
      <w:pPr>
        <w:spacing w:after="0" w:line="73" w:lineRule="exact"/>
        <w:rPr>
          <w:sz w:val="20"/>
          <w:szCs w:val="20"/>
          <w:color w:val="auto"/>
        </w:rPr>
      </w:pPr>
    </w:p>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scope, rate of progress and expense of clinical trials and other research and development activities;</w:t>
      </w:r>
    </w:p>
    <w:p>
      <w:pPr>
        <w:spacing w:after="0" w:line="129" w:lineRule="exact"/>
        <w:rPr>
          <w:rFonts w:ascii="Arial" w:cs="Arial" w:eastAsia="Arial" w:hAnsi="Arial"/>
          <w:sz w:val="20"/>
          <w:szCs w:val="20"/>
          <w:color w:val="auto"/>
        </w:rPr>
      </w:pPr>
    </w:p>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clinical trial results;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uncertainties in clinical trial enrollment rate or design;</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and changing government regulation;</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timing and receipt of any regulatory approvals;</w:t>
      </w:r>
    </w:p>
    <w:p>
      <w:pPr>
        <w:spacing w:after="0" w:line="133" w:lineRule="exact"/>
        <w:rPr>
          <w:rFonts w:ascii="Arial" w:cs="Arial" w:eastAsia="Arial" w:hAnsi="Arial"/>
          <w:sz w:val="20"/>
          <w:szCs w:val="20"/>
          <w:color w:val="auto"/>
        </w:rPr>
      </w:pPr>
    </w:p>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influence of the FDA's or other regulatory authority's on our clinical trial design and timing;</w:t>
      </w:r>
    </w:p>
    <w:p>
      <w:pPr>
        <w:spacing w:after="0" w:line="133" w:lineRule="exact"/>
        <w:rPr>
          <w:rFonts w:ascii="Arial" w:cs="Arial" w:eastAsia="Arial" w:hAnsi="Arial"/>
          <w:sz w:val="20"/>
          <w:szCs w:val="20"/>
          <w:color w:val="auto"/>
        </w:rPr>
      </w:pPr>
    </w:p>
    <w:p>
      <w:pPr>
        <w:ind w:left="720" w:right="240" w:hanging="360"/>
        <w:spacing w:after="0" w:line="279" w:lineRule="auto"/>
        <w:tabs>
          <w:tab w:leader="none" w:pos="720" w:val="left"/>
        </w:tabs>
        <w:numPr>
          <w:ilvl w:val="0"/>
          <w:numId w:val="49"/>
        </w:numPr>
        <w:rPr>
          <w:rFonts w:ascii="Arial" w:cs="Arial" w:eastAsia="Arial" w:hAnsi="Arial"/>
          <w:sz w:val="19"/>
          <w:szCs w:val="19"/>
          <w:color w:val="auto"/>
        </w:rPr>
      </w:pPr>
      <w:r>
        <w:rPr>
          <w:rFonts w:ascii="Times New Roman" w:cs="Times New Roman" w:eastAsia="Times New Roman" w:hAnsi="Times New Roman"/>
          <w:sz w:val="19"/>
          <w:szCs w:val="19"/>
          <w:color w:val="auto"/>
        </w:rPr>
        <w:t>establishing manufacturing capabilities or making arrangements with third-party manufacturers and risk involved with development of manufacturing processes, FDA pre-approval inspection practices and successful completion of manufacturing batches for clinical development and other regulatory purposes;</w:t>
      </w:r>
    </w:p>
    <w:p>
      <w:pPr>
        <w:spacing w:after="0" w:line="61" w:lineRule="exact"/>
        <w:rPr>
          <w:rFonts w:ascii="Arial" w:cs="Arial" w:eastAsia="Arial" w:hAnsi="Arial"/>
          <w:sz w:val="19"/>
          <w:szCs w:val="19"/>
          <w:color w:val="auto"/>
        </w:rPr>
      </w:pPr>
    </w:p>
    <w:p>
      <w:pPr>
        <w:ind w:left="720" w:right="580" w:hanging="360"/>
        <w:spacing w:after="0" w:line="278" w:lineRule="auto"/>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the possible impact of COVID-19 including the mutations of the original virus that may prove more contagious and deadly;</w:t>
      </w:r>
    </w:p>
    <w:p>
      <w:pPr>
        <w:spacing w:after="0" w:line="41" w:lineRule="exact"/>
        <w:rPr>
          <w:rFonts w:ascii="Arial" w:cs="Arial" w:eastAsia="Arial" w:hAnsi="Arial"/>
          <w:sz w:val="20"/>
          <w:szCs w:val="20"/>
          <w:color w:val="auto"/>
        </w:rPr>
      </w:pPr>
    </w:p>
    <w:p>
      <w:pPr>
        <w:ind w:left="720" w:right="460" w:hanging="360"/>
        <w:spacing w:after="0" w:line="254" w:lineRule="auto"/>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obtain and maintain patent and trade secret protection and regulatory exclusivity for our product candidates; and</w:t>
      </w:r>
    </w:p>
    <w:p>
      <w:pPr>
        <w:spacing w:after="0" w:line="60" w:lineRule="exact"/>
        <w:rPr>
          <w:rFonts w:ascii="Arial" w:cs="Arial" w:eastAsia="Arial" w:hAnsi="Arial"/>
          <w:sz w:val="20"/>
          <w:szCs w:val="20"/>
          <w:color w:val="auto"/>
        </w:rPr>
      </w:pPr>
    </w:p>
    <w:p>
      <w:pPr>
        <w:ind w:left="720" w:hanging="360"/>
        <w:spacing w:after="0"/>
        <w:tabs>
          <w:tab w:leader="none" w:pos="720" w:val="left"/>
        </w:tabs>
        <w:numPr>
          <w:ilvl w:val="0"/>
          <w:numId w:val="49"/>
        </w:numPr>
        <w:rPr>
          <w:rFonts w:ascii="Arial" w:cs="Arial" w:eastAsia="Arial" w:hAnsi="Arial"/>
          <w:sz w:val="20"/>
          <w:szCs w:val="20"/>
          <w:color w:val="auto"/>
        </w:rPr>
      </w:pPr>
      <w:r>
        <w:rPr>
          <w:rFonts w:ascii="Times New Roman" w:cs="Times New Roman" w:eastAsia="Times New Roman" w:hAnsi="Times New Roman"/>
          <w:sz w:val="20"/>
          <w:szCs w:val="20"/>
          <w:color w:val="auto"/>
        </w:rPr>
        <w:t>our ability to recruit and retain key research and development personnel.</w:t>
      </w:r>
    </w:p>
    <w:p>
      <w:pPr>
        <w:spacing w:after="0" w:line="115"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A change in the outcome of one or more of these variables with respect to the development of a product candidate could significantly change the costs, timing and viability associated with the development of that product candidate. For example, if the FDA or another regulatory authority were to require us to conduct additional non-clinical or clinical trials beyond those that we currently anticipate will be required for the completion of clinical development of a product candidate, or if we experience significant delays in enrollment in any of our clinical trials, we could be required to expend significant additional financial resources and time on the completion of clinical development.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 and Administrative Expenses</w:t>
      </w:r>
    </w:p>
    <w:p>
      <w:pPr>
        <w:spacing w:after="0" w:line="117"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General and administrative expenses consist primarily of personnel costs, consisting of salaries, related benefits and stock-based compensation, costs related to our executive, finance, information technology, and costs related to other administrative functions. General and administrative expenses also include insurance expenses and professional fees for auditing, tax, and legal services, including legal expenses to pursue patent protection for our intellectual property. We expect that our general and administrative expenses will increase in the foreseeable future</w:t>
      </w:r>
    </w:p>
    <w:p>
      <w:pPr>
        <w:sectPr>
          <w:pgSz w:w="11880" w:h="15480" w:orient="portrait"/>
          <w:cols w:equalWidth="0" w:num="1">
            <w:col w:w="9300"/>
          </w:cols>
          <w:pgMar w:left="1260" w:top="1242"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9300"/>
          </w:cols>
          <w:pgMar w:left="1260" w:top="1242" w:right="1320" w:bottom="0" w:gutter="0" w:footer="0" w:header="0"/>
          <w:type w:val="continuous"/>
        </w:sectPr>
      </w:pPr>
    </w:p>
    <w:bookmarkStart w:id="86" w:name="page87"/>
    <w:bookmarkEnd w:id="86"/>
    <w:p>
      <w:pPr>
        <w:ind w:right="680"/>
        <w:spacing w:after="0" w:line="279" w:lineRule="auto"/>
        <w:rPr>
          <w:sz w:val="20"/>
          <w:szCs w:val="20"/>
          <w:color w:val="auto"/>
        </w:rPr>
      </w:pPr>
      <w:r>
        <w:rPr>
          <w:rFonts w:ascii="Times New Roman" w:cs="Times New Roman" w:eastAsia="Times New Roman" w:hAnsi="Times New Roman"/>
          <w:sz w:val="20"/>
          <w:szCs w:val="20"/>
          <w:color w:val="auto"/>
        </w:rPr>
        <w:t>as we hire additional employees to implement, improve and scale our operational, financial, commercial and management systems.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23"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The following commentary is a discussion and analysis of our financial condition as of December 31, 2022 and results of operations and cash flows for the year ended December 31, 2022 compared to the year ended December 31, 2021 and should be read in conjunction with the consolidated financial statements and accompanying notes.</w:t>
      </w:r>
    </w:p>
    <w:p>
      <w:pPr>
        <w:spacing w:after="0" w:line="70"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The discussion and analysis of our financial condition as of December 31, 2021, and results of operations and cash flows for the year ended December 31, 2021, compared to the year ended December 31, 2020, is included in item 7, Management’s Discussion and Analysis of Financial and Results of Operations of our Annual Report on Form 10-K for the year ended December 31, 2021.</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Comparison of the years ended December 31, 2022 and 2021</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2022 and 2021:</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6"/>
          </w:tcPr>
          <w:p>
            <w:pPr>
              <w:jc w:val="center"/>
              <w:ind w:left="605"/>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54"/>
        </w:trPr>
        <w:tc>
          <w:tcPr>
            <w:tcW w:w="5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ind w:right="65"/>
              <w:spacing w:after="0" w:line="155"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100" w:type="dxa"/>
            <w:vAlign w:val="bottom"/>
          </w:tcPr>
          <w:p>
            <w:pPr>
              <w:spacing w:after="0"/>
              <w:rPr>
                <w:sz w:val="13"/>
                <w:szCs w:val="13"/>
                <w:color w:val="auto"/>
              </w:rPr>
            </w:pPr>
          </w:p>
        </w:tc>
      </w:tr>
      <w:tr>
        <w:trPr>
          <w:trHeight w:val="204"/>
        </w:trPr>
        <w:tc>
          <w:tcPr>
            <w:tcW w:w="5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(Decrease)</w:t>
            </w:r>
          </w:p>
        </w:tc>
      </w:tr>
      <w:tr>
        <w:trPr>
          <w:trHeight w:val="174"/>
        </w:trPr>
        <w:tc>
          <w:tcPr>
            <w:tcW w:w="55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Borders>
              <w:top w:val="single" w:sz="8" w:color="auto"/>
            </w:tcBorders>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50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auto"/>
              </w:rPr>
              <w:t>Statement of Operations Data:</w:t>
            </w:r>
          </w:p>
        </w:tc>
        <w:tc>
          <w:tcPr>
            <w:tcW w:w="240" w:type="dxa"/>
            <w:vAlign w:val="bottom"/>
            <w:shd w:val="clear" w:color="auto" w:fill="E4E4E4"/>
          </w:tcPr>
          <w:p>
            <w:pPr>
              <w:spacing w:after="0"/>
              <w:rPr>
                <w:sz w:val="19"/>
                <w:szCs w:val="19"/>
                <w:color w:val="auto"/>
              </w:rPr>
            </w:pPr>
          </w:p>
        </w:tc>
        <w:tc>
          <w:tcPr>
            <w:tcW w:w="8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02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9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20"/>
                <w:szCs w:val="20"/>
                <w:color w:val="auto"/>
              </w:rPr>
              <w:t>Operating expenses: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5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40" w:type="dxa"/>
            <w:vAlign w:val="bottom"/>
            <w:shd w:val="clear" w:color="auto" w:fill="E4E4E4"/>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24,250</w:t>
            </w:r>
          </w:p>
        </w:tc>
        <w:tc>
          <w:tcPr>
            <w:tcW w:w="20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38,396</w:t>
            </w:r>
          </w:p>
        </w:tc>
        <w:tc>
          <w:tcPr>
            <w:tcW w:w="200" w:type="dxa"/>
            <w:vAlign w:val="bottom"/>
            <w:shd w:val="clear" w:color="auto" w:fill="E4E4E4"/>
          </w:tcPr>
          <w:p>
            <w:pPr>
              <w:spacing w:after="0"/>
              <w:rPr>
                <w:sz w:val="19"/>
                <w:szCs w:val="19"/>
                <w:color w:val="auto"/>
              </w:rPr>
            </w:pPr>
          </w:p>
        </w:tc>
        <w:tc>
          <w:tcPr>
            <w:tcW w:w="18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(14,146)</w:t>
            </w:r>
          </w:p>
        </w:tc>
        <w:tc>
          <w:tcPr>
            <w:tcW w:w="100" w:type="dxa"/>
            <w:vAlign w:val="bottom"/>
            <w:shd w:val="clear" w:color="auto" w:fill="E4E4E4"/>
          </w:tcPr>
          <w:p>
            <w:pPr>
              <w:spacing w:after="0"/>
              <w:rPr>
                <w:sz w:val="19"/>
                <w:szCs w:val="19"/>
                <w:color w:val="auto"/>
              </w:rPr>
            </w:pPr>
          </w:p>
        </w:tc>
      </w:tr>
      <w:tr>
        <w:trPr>
          <w:trHeight w:val="230"/>
        </w:trPr>
        <w:tc>
          <w:tcPr>
            <w:tcW w:w="550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12,276</w:t>
            </w:r>
          </w:p>
        </w:tc>
        <w:tc>
          <w:tcPr>
            <w:tcW w:w="200" w:type="dxa"/>
            <w:vAlign w:val="bottom"/>
            <w:tcBorders>
              <w:bottom w:val="single" w:sz="8" w:color="E4E4E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12,069</w:t>
            </w:r>
          </w:p>
        </w:tc>
        <w:tc>
          <w:tcPr>
            <w:tcW w:w="200" w:type="dxa"/>
            <w:vAlign w:val="bottom"/>
            <w:tcBorders>
              <w:bottom w:val="single" w:sz="8" w:color="E4E4E4"/>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w:t>
            </w:r>
          </w:p>
        </w:tc>
        <w:tc>
          <w:tcPr>
            <w:tcW w:w="100" w:type="dxa"/>
            <w:vAlign w:val="bottom"/>
            <w:tcBorders>
              <w:bottom w:val="single" w:sz="8" w:color="E4E4E4"/>
            </w:tcBorders>
          </w:tcPr>
          <w:p>
            <w:pPr>
              <w:spacing w:after="0"/>
              <w:rPr>
                <w:sz w:val="19"/>
                <w:szCs w:val="19"/>
                <w:color w:val="auto"/>
              </w:rPr>
            </w:pPr>
          </w:p>
        </w:tc>
      </w:tr>
      <w:tr>
        <w:trPr>
          <w:trHeight w:val="220"/>
        </w:trPr>
        <w:tc>
          <w:tcPr>
            <w:tcW w:w="550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240" w:type="dxa"/>
            <w:vAlign w:val="bottom"/>
            <w:tcBorders>
              <w:bottom w:val="single" w:sz="8" w:color="auto"/>
            </w:tcBorders>
            <w:shd w:val="clear" w:color="auto" w:fill="E4E4E4"/>
          </w:tcPr>
          <w:p>
            <w:pPr>
              <w:spacing w:after="0"/>
              <w:rPr>
                <w:sz w:val="19"/>
                <w:szCs w:val="19"/>
                <w:color w:val="auto"/>
              </w:rPr>
            </w:pPr>
          </w:p>
        </w:tc>
        <w:tc>
          <w:tcPr>
            <w:tcW w:w="88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36,526</w:t>
            </w:r>
          </w:p>
        </w:tc>
        <w:tc>
          <w:tcPr>
            <w:tcW w:w="20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102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50,465</w:t>
            </w:r>
          </w:p>
        </w:tc>
        <w:tc>
          <w:tcPr>
            <w:tcW w:w="200" w:type="dxa"/>
            <w:vAlign w:val="bottom"/>
            <w:shd w:val="clear" w:color="auto" w:fill="E4E4E4"/>
          </w:tcPr>
          <w:p>
            <w:pPr>
              <w:spacing w:after="0"/>
              <w:rPr>
                <w:sz w:val="19"/>
                <w:szCs w:val="19"/>
                <w:color w:val="auto"/>
              </w:rPr>
            </w:pPr>
          </w:p>
        </w:tc>
        <w:tc>
          <w:tcPr>
            <w:tcW w:w="180" w:type="dxa"/>
            <w:vAlign w:val="bottom"/>
            <w:tcBorders>
              <w:bottom w:val="single" w:sz="8" w:color="auto"/>
            </w:tcBorders>
            <w:shd w:val="clear" w:color="auto" w:fill="E4E4E4"/>
          </w:tcPr>
          <w:p>
            <w:pPr>
              <w:spacing w:after="0"/>
              <w:rPr>
                <w:sz w:val="19"/>
                <w:szCs w:val="19"/>
                <w:color w:val="auto"/>
              </w:rPr>
            </w:pPr>
          </w:p>
        </w:tc>
        <w:tc>
          <w:tcPr>
            <w:tcW w:w="94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(13,939)</w:t>
            </w:r>
          </w:p>
        </w:tc>
        <w:tc>
          <w:tcPr>
            <w:tcW w:w="100" w:type="dxa"/>
            <w:vAlign w:val="bottom"/>
            <w:shd w:val="clear" w:color="auto" w:fill="E4E4E4"/>
          </w:tcPr>
          <w:p>
            <w:pPr>
              <w:spacing w:after="0"/>
              <w:rPr>
                <w:sz w:val="19"/>
                <w:szCs w:val="19"/>
                <w:color w:val="auto"/>
              </w:rPr>
            </w:pPr>
          </w:p>
        </w:tc>
      </w:tr>
      <w:tr>
        <w:trPr>
          <w:trHeight w:val="220"/>
        </w:trPr>
        <w:tc>
          <w:tcPr>
            <w:tcW w:w="5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Loss from operations</w:t>
            </w:r>
          </w:p>
        </w:tc>
        <w:tc>
          <w:tcPr>
            <w:tcW w:w="240" w:type="dxa"/>
            <w:vAlign w:val="bottom"/>
          </w:tcPr>
          <w:p>
            <w:pPr>
              <w:spacing w:after="0"/>
              <w:rPr>
                <w:sz w:val="19"/>
                <w:szCs w:val="19"/>
                <w:color w:val="auto"/>
              </w:rPr>
            </w:pPr>
          </w:p>
        </w:tc>
        <w:tc>
          <w:tcPr>
            <w:tcW w:w="88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(36,526)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(50,465)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13,939</w:t>
            </w:r>
          </w:p>
        </w:tc>
        <w:tc>
          <w:tcPr>
            <w:tcW w:w="100" w:type="dxa"/>
            <w:vAlign w:val="bottom"/>
          </w:tcPr>
          <w:p>
            <w:pPr>
              <w:spacing w:after="0"/>
              <w:rPr>
                <w:sz w:val="19"/>
                <w:szCs w:val="19"/>
                <w:color w:val="auto"/>
              </w:rPr>
            </w:pPr>
          </w:p>
        </w:tc>
      </w:tr>
      <w:tr>
        <w:trPr>
          <w:trHeight w:val="230"/>
        </w:trPr>
        <w:tc>
          <w:tcPr>
            <w:tcW w:w="550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40" w:type="dxa"/>
            <w:vAlign w:val="bottom"/>
            <w:tcBorders>
              <w:bottom w:val="single" w:sz="8" w:color="auto"/>
            </w:tcBorders>
            <w:shd w:val="clear" w:color="auto" w:fill="E4E4E4"/>
          </w:tcPr>
          <w:p>
            <w:pPr>
              <w:spacing w:after="0"/>
              <w:rPr>
                <w:sz w:val="19"/>
                <w:szCs w:val="19"/>
                <w:color w:val="auto"/>
              </w:rPr>
            </w:pPr>
          </w:p>
        </w:tc>
        <w:tc>
          <w:tcPr>
            <w:tcW w:w="8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1,171</w:t>
            </w:r>
          </w:p>
        </w:tc>
        <w:tc>
          <w:tcPr>
            <w:tcW w:w="20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200" w:type="dxa"/>
            <w:vAlign w:val="bottom"/>
            <w:shd w:val="clear" w:color="auto" w:fill="E4E4E4"/>
          </w:tcPr>
          <w:p>
            <w:pPr>
              <w:spacing w:after="0"/>
              <w:rPr>
                <w:sz w:val="19"/>
                <w:szCs w:val="19"/>
                <w:color w:val="auto"/>
              </w:rPr>
            </w:pPr>
          </w:p>
        </w:tc>
        <w:tc>
          <w:tcPr>
            <w:tcW w:w="180" w:type="dxa"/>
            <w:vAlign w:val="bottom"/>
            <w:tcBorders>
              <w:bottom w:val="single" w:sz="8" w:color="auto"/>
            </w:tcBorders>
            <w:shd w:val="clear" w:color="auto" w:fill="E4E4E4"/>
          </w:tcPr>
          <w:p>
            <w:pPr>
              <w:spacing w:after="0"/>
              <w:rPr>
                <w:sz w:val="19"/>
                <w:szCs w:val="19"/>
                <w:color w:val="auto"/>
              </w:rPr>
            </w:pPr>
          </w:p>
        </w:tc>
        <w:tc>
          <w:tcPr>
            <w:tcW w:w="9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1,342</w:t>
            </w:r>
          </w:p>
        </w:tc>
        <w:tc>
          <w:tcPr>
            <w:tcW w:w="100" w:type="dxa"/>
            <w:vAlign w:val="bottom"/>
            <w:shd w:val="clear" w:color="auto" w:fill="E4E4E4"/>
          </w:tcPr>
          <w:p>
            <w:pPr>
              <w:spacing w:after="0"/>
              <w:rPr>
                <w:sz w:val="19"/>
                <w:szCs w:val="19"/>
                <w:color w:val="auto"/>
              </w:rPr>
            </w:pPr>
          </w:p>
        </w:tc>
      </w:tr>
      <w:tr>
        <w:trPr>
          <w:trHeight w:val="220"/>
        </w:trPr>
        <w:tc>
          <w:tcPr>
            <w:tcW w:w="55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Borders>
              <w:bottom w:val="single" w:sz="8" w:color="auto"/>
            </w:tcBorders>
          </w:tcPr>
          <w:p>
            <w:pPr>
              <w:jc w:val="right"/>
              <w:ind w:right="4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(35,355)</w:t>
            </w:r>
          </w:p>
        </w:tc>
        <w:tc>
          <w:tcPr>
            <w:tcW w:w="20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(50,636)</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15,281</w:t>
            </w:r>
          </w:p>
        </w:tc>
        <w:tc>
          <w:tcPr>
            <w:tcW w:w="10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4245610</wp:posOffset>
            </wp:positionH>
            <wp:positionV relativeFrom="paragraph">
              <wp:posOffset>-491490</wp:posOffset>
            </wp:positionV>
            <wp:extent cx="807720" cy="177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07720" cy="177800"/>
                    </a:xfrm>
                    <a:prstGeom prst="rect">
                      <a:avLst/>
                    </a:prstGeom>
                    <a:noFill/>
                  </pic:spPr>
                </pic:pic>
              </a:graphicData>
            </a:graphic>
          </wp:anchor>
        </w:drawing>
        <w:drawing>
          <wp:anchor simplePos="0" relativeHeight="251657728" behindDoc="1" locked="0" layoutInCell="0" allowOverlap="1">
            <wp:simplePos x="0" y="0"/>
            <wp:positionH relativeFrom="column">
              <wp:posOffset>4245610</wp:posOffset>
            </wp:positionH>
            <wp:positionV relativeFrom="paragraph">
              <wp:posOffset>-193040</wp:posOffset>
            </wp:positionV>
            <wp:extent cx="163830" cy="177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3830" cy="177800"/>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118" w:lineRule="exact"/>
        <w:rPr>
          <w:sz w:val="20"/>
          <w:szCs w:val="20"/>
          <w:color w:val="auto"/>
        </w:rPr>
      </w:pPr>
    </w:p>
    <w:p>
      <w:pPr>
        <w:ind w:right="20" w:firstLine="490"/>
        <w:spacing w:after="0" w:line="245" w:lineRule="auto"/>
        <w:rPr>
          <w:sz w:val="20"/>
          <w:szCs w:val="20"/>
          <w:color w:val="auto"/>
        </w:rPr>
      </w:pPr>
      <w:r>
        <w:rPr>
          <w:rFonts w:ascii="Times New Roman" w:cs="Times New Roman" w:eastAsia="Times New Roman" w:hAnsi="Times New Roman"/>
          <w:sz w:val="20"/>
          <w:szCs w:val="20"/>
          <w:color w:val="auto"/>
        </w:rPr>
        <w:t>Research and development expenses for the twelve months ended December 31, 2022 decreased $14.1 million compared to the twelve months ended December 31, 2021. The decrease in research and development expenses was primarily driven by a decrease of $9.5 million in drug manufacturing costs, a decrease of $3.7 million in nonclinical development costs, a decrease of $1.6 million in clinical expense, a decrease of $0.9 million in consulting expenditures, and a decrease of $0.7 million in internal lab costs. These decreases were partially offset by an increase of $1.2 million in personnel expense, an increase of $0.7 million in non-cash, stock-based compensation expense associated with stock option grants made in 2021 and 2022 and an increase of $0.3 million in royalty fees associated with the milestone achieved in 2022.</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General and administrative expenses</w:t>
      </w:r>
    </w:p>
    <w:p>
      <w:pPr>
        <w:spacing w:after="0" w:line="118" w:lineRule="exact"/>
        <w:rPr>
          <w:sz w:val="20"/>
          <w:szCs w:val="20"/>
          <w:color w:val="auto"/>
        </w:rPr>
      </w:pPr>
    </w:p>
    <w:p>
      <w:pPr>
        <w:ind w:right="80" w:firstLine="490"/>
        <w:spacing w:after="0" w:line="247" w:lineRule="auto"/>
        <w:rPr>
          <w:sz w:val="20"/>
          <w:szCs w:val="20"/>
          <w:color w:val="auto"/>
        </w:rPr>
      </w:pPr>
      <w:r>
        <w:rPr>
          <w:rFonts w:ascii="Times New Roman" w:cs="Times New Roman" w:eastAsia="Times New Roman" w:hAnsi="Times New Roman"/>
          <w:sz w:val="20"/>
          <w:szCs w:val="20"/>
          <w:color w:val="auto"/>
        </w:rPr>
        <w:t>General and administrative expenses for the twelve months ended December 31, 2022 increased $0.2 million compared to the twelve months ended December 31, 2021. The increase in general and administrative expense was primarily driven by an increase of $0.5 million in stock-based compensation expense associated with stock option grants made in 2021 and 2022 and an increase of $0.5 million in personnel expense, partially offset by a decrease of $0.6 million in operational costs primarily related to technology and recruiting services and a decrease of $0.2 million in professional fees primarily associated with legal and consulting expense.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23" w:lineRule="exact"/>
        <w:rPr>
          <w:sz w:val="20"/>
          <w:szCs w:val="20"/>
          <w:color w:val="auto"/>
        </w:rPr>
      </w:pPr>
    </w:p>
    <w:p>
      <w:pPr>
        <w:ind w:right="180" w:firstLine="490"/>
        <w:spacing w:after="0" w:line="249" w:lineRule="auto"/>
        <w:rPr>
          <w:sz w:val="20"/>
          <w:szCs w:val="20"/>
          <w:color w:val="auto"/>
        </w:rPr>
      </w:pPr>
      <w:r>
        <w:rPr>
          <w:rFonts w:ascii="Times New Roman" w:cs="Times New Roman" w:eastAsia="Times New Roman" w:hAnsi="Times New Roman"/>
          <w:sz w:val="20"/>
          <w:szCs w:val="20"/>
          <w:color w:val="auto"/>
        </w:rPr>
        <w:t>Since our inception, we have not generated any revenue from any sources, including from product sales, and have incurred significant operating losses and negative cash flows from our operations. We have devoted substantially all of our resources to developing CTI-1601, building our intellectual property portfolio, developing third-party manufacturing capabilities, business planning, capital raising, and providing general and administrative support for such operations.</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85</w:t>
      </w:r>
    </w:p>
    <w:p>
      <w:pPr>
        <w:sectPr>
          <w:pgSz w:w="11880" w:h="15480" w:orient="portrait"/>
          <w:cols w:equalWidth="0" w:num="1">
            <w:col w:w="9360"/>
          </w:cols>
          <w:pgMar w:left="1260" w:top="1238" w:right="1260" w:bottom="0" w:gutter="0" w:footer="0" w:header="0"/>
          <w:type w:val="continuous"/>
        </w:sectPr>
      </w:pPr>
    </w:p>
    <w:bookmarkStart w:id="87" w:name="page88"/>
    <w:bookmarkEnd w:id="87"/>
    <w:p>
      <w:pPr>
        <w:ind w:left="500"/>
        <w:spacing w:after="0"/>
        <w:rPr>
          <w:sz w:val="20"/>
          <w:szCs w:val="20"/>
          <w:color w:val="auto"/>
        </w:rPr>
      </w:pPr>
      <w:r>
        <w:rPr>
          <w:rFonts w:ascii="Times New Roman" w:cs="Times New Roman" w:eastAsia="Times New Roman" w:hAnsi="Times New Roman"/>
          <w:sz w:val="20"/>
          <w:szCs w:val="20"/>
          <w:color w:val="auto"/>
        </w:rPr>
        <w:t>The following table summarizes our sources and uses of cash for each of the periods presented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642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09"/>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ind w:right="384"/>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5"/>
                <w:szCs w:val="15"/>
                <w:color w:val="auto"/>
              </w:rPr>
            </w:pPr>
          </w:p>
        </w:tc>
      </w:tr>
      <w:tr>
        <w:trPr>
          <w:trHeight w:val="174"/>
        </w:trPr>
        <w:tc>
          <w:tcPr>
            <w:tcW w:w="6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jc w:val="right"/>
              <w:ind w:right="89"/>
              <w:spacing w:after="0" w:line="174" w:lineRule="exact"/>
              <w:rPr>
                <w:sz w:val="20"/>
                <w:szCs w:val="20"/>
                <w:color w:val="auto"/>
              </w:rPr>
            </w:pPr>
            <w:r>
              <w:rPr>
                <w:rFonts w:ascii="Times New Roman" w:cs="Times New Roman" w:eastAsia="Times New Roman" w:hAnsi="Times New Roman"/>
                <w:sz w:val="16"/>
                <w:szCs w:val="16"/>
                <w:b w:val="1"/>
                <w:bCs w:val="1"/>
                <w:color w:val="auto"/>
              </w:rPr>
              <w:t>(in</w:t>
            </w:r>
          </w:p>
        </w:tc>
        <w:tc>
          <w:tcPr>
            <w:tcW w:w="660" w:type="dxa"/>
            <w:vAlign w:val="bottom"/>
            <w:gridSpan w:val="2"/>
          </w:tcPr>
          <w:p>
            <w:pPr>
              <w:jc w:val="center"/>
              <w:spacing w:after="0" w:line="174" w:lineRule="exact"/>
              <w:rPr>
                <w:sz w:val="20"/>
                <w:szCs w:val="20"/>
                <w:color w:val="auto"/>
              </w:rPr>
            </w:pPr>
            <w:r>
              <w:rPr>
                <w:rFonts w:ascii="Times New Roman" w:cs="Times New Roman" w:eastAsia="Times New Roman" w:hAnsi="Times New Roman"/>
                <w:sz w:val="16"/>
                <w:szCs w:val="16"/>
                <w:b w:val="1"/>
                <w:bCs w:val="1"/>
                <w:color w:val="auto"/>
                <w:w w:val="80"/>
              </w:rPr>
              <w:t>thousands)</w:t>
            </w: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Net cash used in operating activities</w:t>
            </w:r>
          </w:p>
        </w:tc>
        <w:tc>
          <w:tcPr>
            <w:tcW w:w="280" w:type="dxa"/>
            <w:vAlign w:val="bottom"/>
            <w:shd w:val="clear" w:color="auto" w:fill="E4E4E4"/>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(27,569)</w:t>
            </w:r>
          </w:p>
        </w:tc>
        <w:tc>
          <w:tcPr>
            <w:tcW w:w="240" w:type="dxa"/>
            <w:vAlign w:val="bottom"/>
            <w:shd w:val="clear" w:color="auto" w:fill="E4E4E4"/>
          </w:tcPr>
          <w:p>
            <w:pPr>
              <w:spacing w:after="0"/>
              <w:rPr>
                <w:sz w:val="19"/>
                <w:szCs w:val="19"/>
                <w:color w:val="auto"/>
              </w:rPr>
            </w:pPr>
          </w:p>
        </w:tc>
        <w:tc>
          <w:tcPr>
            <w:tcW w:w="420" w:type="dxa"/>
            <w:vAlign w:val="bottom"/>
            <w:shd w:val="clear" w:color="auto" w:fill="E4E4E4"/>
          </w:tcPr>
          <w:p>
            <w:pPr>
              <w:jc w:val="center"/>
              <w:ind w:right="220"/>
              <w:spacing w:after="0"/>
              <w:rPr>
                <w:sz w:val="20"/>
                <w:szCs w:val="20"/>
                <w:color w:val="auto"/>
              </w:rPr>
            </w:pPr>
            <w:r>
              <w:rPr>
                <w:rFonts w:ascii="Times New Roman" w:cs="Times New Roman" w:eastAsia="Times New Roman" w:hAnsi="Times New Roman"/>
                <w:sz w:val="20"/>
                <w:szCs w:val="20"/>
                <w:color w:val="auto"/>
                <w:w w:val="99"/>
              </w:rPr>
              <w:t>$</w:t>
            </w:r>
          </w:p>
        </w:tc>
        <w:tc>
          <w:tcPr>
            <w:tcW w:w="98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auto"/>
              </w:rPr>
              <w:t>(42,105)</w:t>
            </w: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(90,960)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24,169</w:t>
            </w:r>
          </w:p>
        </w:tc>
        <w:tc>
          <w:tcPr>
            <w:tcW w:w="100" w:type="dxa"/>
            <w:vAlign w:val="bottom"/>
          </w:tcPr>
          <w:p>
            <w:pPr>
              <w:spacing w:after="0"/>
              <w:rPr>
                <w:sz w:val="19"/>
                <w:szCs w:val="19"/>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Net cash provided by financing activities</w:t>
            </w:r>
          </w:p>
        </w:tc>
        <w:tc>
          <w:tcPr>
            <w:tcW w:w="280" w:type="dxa"/>
            <w:vAlign w:val="bottom"/>
            <w:tcBorders>
              <w:bottom w:val="single" w:sz="8" w:color="auto"/>
            </w:tcBorders>
            <w:shd w:val="clear" w:color="auto" w:fill="E4E4E4"/>
          </w:tcPr>
          <w:p>
            <w:pPr>
              <w:spacing w:after="0"/>
              <w:rPr>
                <w:sz w:val="19"/>
                <w:szCs w:val="19"/>
                <w:color w:val="auto"/>
              </w:rPr>
            </w:pPr>
          </w:p>
        </w:tc>
        <w:tc>
          <w:tcPr>
            <w:tcW w:w="10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75,257</w:t>
            </w:r>
          </w:p>
        </w:tc>
        <w:tc>
          <w:tcPr>
            <w:tcW w:w="240" w:type="dxa"/>
            <w:vAlign w:val="bottom"/>
            <w:shd w:val="clear" w:color="auto" w:fill="E4E4E4"/>
          </w:tcPr>
          <w:p>
            <w:pPr>
              <w:spacing w:after="0"/>
              <w:rPr>
                <w:sz w:val="19"/>
                <w:szCs w:val="19"/>
                <w:color w:val="auto"/>
              </w:rPr>
            </w:pPr>
          </w:p>
        </w:tc>
        <w:tc>
          <w:tcPr>
            <w:tcW w:w="420" w:type="dxa"/>
            <w:vAlign w:val="bottom"/>
            <w:tcBorders>
              <w:bottom w:val="single" w:sz="8" w:color="auto"/>
            </w:tcBorders>
            <w:shd w:val="clear" w:color="auto" w:fill="E4E4E4"/>
          </w:tcPr>
          <w:p>
            <w:pPr>
              <w:spacing w:after="0"/>
              <w:rPr>
                <w:sz w:val="19"/>
                <w:szCs w:val="19"/>
                <w:color w:val="auto"/>
              </w:rPr>
            </w:pPr>
          </w:p>
        </w:tc>
        <w:tc>
          <w:tcPr>
            <w:tcW w:w="8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19,885</w:t>
            </w:r>
          </w:p>
        </w:tc>
        <w:tc>
          <w:tcPr>
            <w:tcW w:w="100" w:type="dxa"/>
            <w:vAlign w:val="bottom"/>
            <w:shd w:val="clear" w:color="auto" w:fill="E4E4E4"/>
          </w:tcPr>
          <w:p>
            <w:pPr>
              <w:spacing w:after="0"/>
              <w:rPr>
                <w:sz w:val="19"/>
                <w:szCs w:val="19"/>
                <w:color w:val="auto"/>
              </w:rPr>
            </w:pPr>
          </w:p>
        </w:tc>
      </w:tr>
      <w:tr>
        <w:trPr>
          <w:trHeight w:val="220"/>
        </w:trPr>
        <w:tc>
          <w:tcPr>
            <w:tcW w:w="64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280" w:type="dxa"/>
            <w:vAlign w:val="bottom"/>
            <w:tcBorders>
              <w:bottom w:val="single" w:sz="8" w:color="auto"/>
            </w:tcBorders>
          </w:tcPr>
          <w:p>
            <w:pPr>
              <w:jc w:val="right"/>
              <w:ind w:right="8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(43,272)</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center"/>
              <w:ind w:right="22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8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1,949</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used in operating activities</w:t>
      </w:r>
    </w:p>
    <w:p>
      <w:pPr>
        <w:spacing w:after="0" w:line="117"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During the year ended December 31, 2022, operating activities used $27.6 million of cash, resulting from our net loss of $35.4 million, adjusted for noncash expenses of $6.1 million, and changes in our operating assets and liabilities of resulting in a source of cash of $1.7 million. Our net loss was primarily attributed to operating expenses of $36.5 million. The change in operating assets and liabilities was primarily due to an increase in accrued expenses due to the growth in our operating activities following the partial release of the clinical hold in late 2022.</w:t>
      </w:r>
    </w:p>
    <w:p>
      <w:pPr>
        <w:spacing w:after="0" w:line="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During the year ended December 31, 2021, operating activities used $42.1 million of cash, resulting from our</w:t>
      </w:r>
    </w:p>
    <w:p>
      <w:pPr>
        <w:spacing w:after="0"/>
        <w:rPr>
          <w:sz w:val="20"/>
          <w:szCs w:val="20"/>
          <w:color w:val="auto"/>
        </w:rPr>
      </w:pPr>
      <w:r>
        <w:rPr>
          <w:rFonts w:ascii="Times New Roman" w:cs="Times New Roman" w:eastAsia="Times New Roman" w:hAnsi="Times New Roman"/>
          <w:sz w:val="20"/>
          <w:szCs w:val="20"/>
          <w:color w:val="auto"/>
        </w:rPr>
        <w:t>net loss of $50.6 million, adjusted for noncash expenses of $5.8 million, and changes in our operating assets and</w:t>
      </w:r>
    </w:p>
    <w:p>
      <w:pPr>
        <w:spacing w:after="0"/>
        <w:rPr>
          <w:sz w:val="20"/>
          <w:szCs w:val="20"/>
          <w:color w:val="auto"/>
        </w:rPr>
      </w:pPr>
      <w:r>
        <w:rPr>
          <w:rFonts w:ascii="Times New Roman" w:cs="Times New Roman" w:eastAsia="Times New Roman" w:hAnsi="Times New Roman"/>
          <w:sz w:val="20"/>
          <w:szCs w:val="20"/>
          <w:color w:val="auto"/>
        </w:rPr>
        <w:t>liabilities resulting in a use of cash of $2.7 million. Our net loss was primarily attributed to operating expenses of</w:t>
      </w:r>
    </w:p>
    <w:p>
      <w:pPr>
        <w:spacing w:after="0"/>
        <w:rPr>
          <w:sz w:val="20"/>
          <w:szCs w:val="20"/>
          <w:color w:val="auto"/>
        </w:rPr>
      </w:pPr>
      <w:r>
        <w:rPr>
          <w:rFonts w:ascii="Times New Roman" w:cs="Times New Roman" w:eastAsia="Times New Roman" w:hAnsi="Times New Roman"/>
          <w:sz w:val="20"/>
          <w:szCs w:val="20"/>
          <w:color w:val="auto"/>
        </w:rPr>
        <w:t>$50.5 million. The change in operating assets and liabilities was primarily due to a decrease in prepaid expenses due</w:t>
      </w:r>
    </w:p>
    <w:p>
      <w:pPr>
        <w:spacing w:after="0"/>
        <w:rPr>
          <w:sz w:val="20"/>
          <w:szCs w:val="20"/>
          <w:color w:val="auto"/>
        </w:rPr>
      </w:pPr>
      <w:r>
        <w:rPr>
          <w:rFonts w:ascii="Times New Roman" w:cs="Times New Roman" w:eastAsia="Times New Roman" w:hAnsi="Times New Roman"/>
          <w:sz w:val="20"/>
          <w:szCs w:val="20"/>
          <w:color w:val="auto"/>
        </w:rPr>
        <w:t>to the recognition of expense of amounts previously paid, an increase in accrued expenses due to the growth in our</w:t>
      </w:r>
    </w:p>
    <w:p>
      <w:pPr>
        <w:spacing w:after="0"/>
        <w:rPr>
          <w:sz w:val="20"/>
          <w:szCs w:val="20"/>
          <w:color w:val="auto"/>
        </w:rPr>
      </w:pPr>
      <w:r>
        <w:rPr>
          <w:rFonts w:ascii="Times New Roman" w:cs="Times New Roman" w:eastAsia="Times New Roman" w:hAnsi="Times New Roman"/>
          <w:sz w:val="20"/>
          <w:szCs w:val="20"/>
          <w:color w:val="auto"/>
        </w:rPr>
        <w:t>operating activities, partially offset by a decrease in accounts payable due to the timing of invoice processing.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(used in) investing activities</w:t>
      </w:r>
    </w:p>
    <w:p>
      <w:pPr>
        <w:spacing w:after="0" w:line="117" w:lineRule="exact"/>
        <w:rPr>
          <w:sz w:val="20"/>
          <w:szCs w:val="20"/>
          <w:color w:val="auto"/>
        </w:rPr>
      </w:pPr>
    </w:p>
    <w:p>
      <w:pPr>
        <w:ind w:right="160" w:firstLine="490"/>
        <w:spacing w:after="0" w:line="259" w:lineRule="auto"/>
        <w:rPr>
          <w:sz w:val="20"/>
          <w:szCs w:val="20"/>
          <w:color w:val="auto"/>
        </w:rPr>
      </w:pPr>
      <w:r>
        <w:rPr>
          <w:rFonts w:ascii="Times New Roman" w:cs="Times New Roman" w:eastAsia="Times New Roman" w:hAnsi="Times New Roman"/>
          <w:sz w:val="20"/>
          <w:szCs w:val="20"/>
          <w:color w:val="auto"/>
        </w:rPr>
        <w:t>During the year ended December 31, 2022, investing activities used $91.0 million of net cash, resulting from purchases of $133.6 million in marketable securities, which was offset by $42.8 million of maturities and sales of marketable securities.</w:t>
      </w:r>
    </w:p>
    <w:p>
      <w:pPr>
        <w:spacing w:after="0" w:line="65"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auto"/>
        </w:rPr>
        <w:t>During the year ended December 31, 2021, investing activities provided $24.2 million of net cash, resulting from $32.8 million representing maturities and sales of marketable securities, which was offset by purchases of $8.2 million in marketable securities and $0.3 million used for the purchase of equipment.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Net cash provided by financing activities</w:t>
      </w:r>
    </w:p>
    <w:p>
      <w:pPr>
        <w:spacing w:after="0" w:line="117" w:lineRule="exact"/>
        <w:rPr>
          <w:sz w:val="20"/>
          <w:szCs w:val="20"/>
          <w:color w:val="auto"/>
        </w:rPr>
      </w:pPr>
    </w:p>
    <w:p>
      <w:pPr>
        <w:ind w:right="320" w:firstLine="490"/>
        <w:spacing w:after="0" w:line="279" w:lineRule="auto"/>
        <w:rPr>
          <w:sz w:val="20"/>
          <w:szCs w:val="20"/>
          <w:color w:val="auto"/>
        </w:rPr>
      </w:pPr>
      <w:r>
        <w:rPr>
          <w:rFonts w:ascii="Times New Roman" w:cs="Times New Roman" w:eastAsia="Times New Roman" w:hAnsi="Times New Roman"/>
          <w:sz w:val="20"/>
          <w:szCs w:val="20"/>
          <w:color w:val="auto"/>
        </w:rPr>
        <w:t>During the year ended December 31, 2022, financing activities provided $75.3 million of cash from sale of common stock in an underwritten public offering, net of issuance costs.</w:t>
      </w:r>
    </w:p>
    <w:p>
      <w:pPr>
        <w:spacing w:after="0" w:line="45" w:lineRule="exact"/>
        <w:rPr>
          <w:sz w:val="20"/>
          <w:szCs w:val="20"/>
          <w:color w:val="auto"/>
        </w:rPr>
      </w:pPr>
    </w:p>
    <w:p>
      <w:pPr>
        <w:ind w:right="20" w:firstLine="490"/>
        <w:spacing w:after="0" w:line="279" w:lineRule="auto"/>
        <w:rPr>
          <w:sz w:val="20"/>
          <w:szCs w:val="20"/>
          <w:color w:val="auto"/>
        </w:rPr>
      </w:pPr>
      <w:r>
        <w:rPr>
          <w:rFonts w:ascii="Times New Roman" w:cs="Times New Roman" w:eastAsia="Times New Roman" w:hAnsi="Times New Roman"/>
          <w:sz w:val="20"/>
          <w:szCs w:val="20"/>
          <w:color w:val="auto"/>
        </w:rPr>
        <w:t>During the year ended December 31, 2021, financing activities provided $19.9 million of cash from the sale of common stock under the Prior ATM Agreement, net of issuance costs.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Operating Capital Requirements</w:t>
      </w:r>
    </w:p>
    <w:p>
      <w:pPr>
        <w:spacing w:after="0" w:line="114" w:lineRule="exact"/>
        <w:rPr>
          <w:sz w:val="20"/>
          <w:szCs w:val="20"/>
          <w:color w:val="auto"/>
        </w:rPr>
      </w:pPr>
    </w:p>
    <w:p>
      <w:pPr>
        <w:ind w:right="340" w:firstLine="490"/>
        <w:spacing w:after="0" w:line="279" w:lineRule="auto"/>
        <w:rPr>
          <w:sz w:val="20"/>
          <w:szCs w:val="20"/>
          <w:color w:val="auto"/>
        </w:rPr>
      </w:pPr>
      <w:r>
        <w:rPr>
          <w:rFonts w:ascii="Times New Roman" w:cs="Times New Roman" w:eastAsia="Times New Roman" w:hAnsi="Times New Roman"/>
          <w:sz w:val="20"/>
          <w:szCs w:val="20"/>
          <w:color w:val="auto"/>
        </w:rPr>
        <w:t>We have not yet commercialized any products and do not expect to generate revenue from the commercial sale of any products for several years, if at all.</w:t>
      </w:r>
    </w:p>
    <w:p>
      <w:pPr>
        <w:spacing w:after="0" w:line="45"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We have to date incurred net losses. We incurred net losses of approximately $35.4 million and $50.6 million for the twelve months ended December 31, 2022 and 2021, respectively. As of December 31, 2022, we had an accumulated deficit of $151.6 million and a cash and cash equivalents balance of $118.4 million, excluding restricted cash of $1.3 million.</w:t>
      </w:r>
    </w:p>
    <w:p>
      <w:pPr>
        <w:spacing w:after="0" w:line="70"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Losses have resulted principally from costs incurred in connection with research and development activities, and general and administrative costs associated with the development of CTI-1601 and our operations. We expect to incur significant expenses and operating losses for the foreseeable future as we expect to continue to incur expenses in connection with our ongoing activities, if and as we:</w:t>
      </w:r>
    </w:p>
    <w:p>
      <w:pPr>
        <w:spacing w:after="0" w:line="85" w:lineRule="exact"/>
        <w:rPr>
          <w:sz w:val="20"/>
          <w:szCs w:val="20"/>
          <w:color w:val="auto"/>
        </w:rPr>
      </w:pPr>
    </w:p>
    <w:p>
      <w:pPr>
        <w:ind w:left="980" w:hanging="491"/>
        <w:spacing w:after="0"/>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continue to advance the development of CTI-1601 through additional clinical trials;</w:t>
      </w:r>
    </w:p>
    <w:p>
      <w:pPr>
        <w:spacing w:after="0" w:line="133" w:lineRule="exact"/>
        <w:rPr>
          <w:rFonts w:ascii="Arial" w:cs="Arial" w:eastAsia="Arial" w:hAnsi="Arial"/>
          <w:sz w:val="20"/>
          <w:szCs w:val="20"/>
          <w:color w:val="auto"/>
        </w:rPr>
      </w:pPr>
    </w:p>
    <w:p>
      <w:pPr>
        <w:ind w:left="980" w:right="320" w:hanging="491"/>
        <w:spacing w:after="0" w:line="278" w:lineRule="auto"/>
        <w:tabs>
          <w:tab w:leader="none" w:pos="980" w:val="left"/>
        </w:tabs>
        <w:numPr>
          <w:ilvl w:val="0"/>
          <w:numId w:val="50"/>
        </w:numPr>
        <w:rPr>
          <w:rFonts w:ascii="Arial" w:cs="Arial" w:eastAsia="Arial" w:hAnsi="Arial"/>
          <w:sz w:val="20"/>
          <w:szCs w:val="20"/>
          <w:color w:val="auto"/>
        </w:rPr>
      </w:pPr>
      <w:r>
        <w:rPr>
          <w:rFonts w:ascii="Times New Roman" w:cs="Times New Roman" w:eastAsia="Times New Roman" w:hAnsi="Times New Roman"/>
          <w:sz w:val="20"/>
          <w:szCs w:val="20"/>
          <w:color w:val="auto"/>
        </w:rPr>
        <w:t>seek to identify and advance development of additional product candidates into clinical development and identify additional indications for our product candidates;</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86</w:t>
      </w:r>
    </w:p>
    <w:p>
      <w:pPr>
        <w:sectPr>
          <w:pgSz w:w="11880" w:h="15480" w:orient="portrait"/>
          <w:cols w:equalWidth="0" w:num="1">
            <w:col w:w="9360"/>
          </w:cols>
          <w:pgMar w:left="1260" w:top="1238" w:right="1260" w:bottom="0" w:gutter="0" w:footer="0" w:header="0"/>
          <w:type w:val="continuous"/>
        </w:sectPr>
      </w:pPr>
    </w:p>
    <w:bookmarkStart w:id="88" w:name="page89"/>
    <w:bookmarkEnd w:id="88"/>
    <w:p>
      <w:pPr>
        <w:ind w:left="980" w:hanging="491"/>
        <w:spacing w:after="0"/>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seek to obtain regulatory approvals for our product candidates;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identify, acquire or in-license other product candidates and technologies;</w:t>
      </w:r>
    </w:p>
    <w:p>
      <w:pPr>
        <w:spacing w:after="0" w:line="133" w:lineRule="exact"/>
        <w:rPr>
          <w:rFonts w:ascii="Arial" w:cs="Arial" w:eastAsia="Arial" w:hAnsi="Arial"/>
          <w:sz w:val="20"/>
          <w:szCs w:val="20"/>
          <w:color w:val="auto"/>
        </w:rPr>
      </w:pPr>
    </w:p>
    <w:p>
      <w:pPr>
        <w:ind w:left="980" w:hanging="491"/>
        <w:spacing w:after="0"/>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maintain, leverage and expand our intellectual property portfolio; and</w:t>
      </w:r>
    </w:p>
    <w:p>
      <w:pPr>
        <w:spacing w:after="0" w:line="133" w:lineRule="exact"/>
        <w:rPr>
          <w:rFonts w:ascii="Arial" w:cs="Arial" w:eastAsia="Arial" w:hAnsi="Arial"/>
          <w:sz w:val="20"/>
          <w:szCs w:val="20"/>
          <w:color w:val="auto"/>
        </w:rPr>
      </w:pPr>
    </w:p>
    <w:p>
      <w:pPr>
        <w:ind w:left="980" w:right="260" w:hanging="491"/>
        <w:spacing w:after="0" w:line="259" w:lineRule="auto"/>
        <w:tabs>
          <w:tab w:leader="none" w:pos="980" w:val="left"/>
        </w:tabs>
        <w:numPr>
          <w:ilvl w:val="0"/>
          <w:numId w:val="51"/>
        </w:numPr>
        <w:rPr>
          <w:rFonts w:ascii="Arial" w:cs="Arial" w:eastAsia="Arial" w:hAnsi="Arial"/>
          <w:sz w:val="20"/>
          <w:szCs w:val="20"/>
          <w:color w:val="auto"/>
        </w:rPr>
      </w:pPr>
      <w:r>
        <w:rPr>
          <w:rFonts w:ascii="Times New Roman" w:cs="Times New Roman" w:eastAsia="Times New Roman" w:hAnsi="Times New Roman"/>
          <w:sz w:val="20"/>
          <w:szCs w:val="20"/>
          <w:color w:val="auto"/>
        </w:rPr>
        <w:t>expand our operational, financial, commercial and management information systems and personnel, including personnel to support our clinical development and future commercialization efforts and our operations as a public company.</w:t>
      </w:r>
    </w:p>
    <w:p>
      <w:pPr>
        <w:spacing w:after="0" w:line="64"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We believe that based on our current operating plan our cash, cash equivalents and marketable securities will be able fund operating expenses and capital expenditure requirements for at least the next twelve months from the filing of these financial statements with the SEC. If we encounter unexpected delays in our clinical trials or if there are other unanticipated changes to our operating plan from our current assumptions that negatively impact our operations, we may reduce expenditures in order to further extend our existing cash resources. Until we can generate substantial revenue, if ever, we expect to seek additional funding through a combination of public or private equity offerings, debt financings, collaborations and licensing arrangements or other sources. The incurrence of indebtedness would result in increased fixed payment obligations and we may be required to agree to certain restrictive covenants, such as limitations on our ability to incur additional debt, minimum cash balances,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3" w:lineRule="exact"/>
        <w:rPr>
          <w:sz w:val="20"/>
          <w:szCs w:val="20"/>
          <w:color w:val="auto"/>
        </w:rPr>
      </w:pPr>
    </w:p>
    <w:p>
      <w:pPr>
        <w:ind w:firstLine="490"/>
        <w:spacing w:after="0" w:line="242" w:lineRule="auto"/>
        <w:rPr>
          <w:sz w:val="20"/>
          <w:szCs w:val="20"/>
          <w:color w:val="auto"/>
        </w:rPr>
      </w:pPr>
      <w:r>
        <w:rPr>
          <w:rFonts w:ascii="Times New Roman" w:cs="Times New Roman" w:eastAsia="Times New Roman" w:hAnsi="Times New Roman"/>
          <w:sz w:val="20"/>
          <w:szCs w:val="20"/>
          <w:color w:val="auto"/>
        </w:rPr>
        <w:t>There can be no assurance that we will be able to raise sufficient additional capital on acceptable terms, if at all. If such additional financing is not available on satisfactory terms, or is not available in sufficient amounts, or we do not have sufficient authorized shares, we may be required to delay, limit, or eliminate the development of business opportunities and our ability to achieve our business objectives, our competitiveness, and our business, financial condition, and results of operations will be materially adversely affected. We could also be required to seek funds through arrangements with collaborative partners or otherwise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 In addition, geopolitical unrest, including a more widespread impact of the Russian invasion of Ukraine, the possibility that the conflict could expand beyond eastern Europe, the impact of a possible resurgence of vaccine resistant, more deadly or more contagious variants of COVID-19 and/or the potential impact of other health crises, recent liquidity constraints, failures and instability in U.S. and international financial banking systems as well as the impact of inflation or the federal government's failure to raise the debt ceiling on the global financial markets may reduce our ability to access capital, which could negatively affect our liquidity and ability to continue as a going concern.</w:t>
      </w:r>
    </w:p>
    <w:p>
      <w:pPr>
        <w:spacing w:after="0" w:line="91" w:lineRule="exact"/>
        <w:rPr>
          <w:sz w:val="20"/>
          <w:szCs w:val="20"/>
          <w:color w:val="auto"/>
        </w:rPr>
      </w:pPr>
    </w:p>
    <w:p>
      <w:pPr>
        <w:ind w:firstLine="490"/>
        <w:spacing w:after="0" w:line="245" w:lineRule="auto"/>
        <w:rPr>
          <w:sz w:val="20"/>
          <w:szCs w:val="20"/>
          <w:color w:val="auto"/>
        </w:rPr>
      </w:pPr>
      <w:r>
        <w:rPr>
          <w:rFonts w:ascii="Times New Roman" w:cs="Times New Roman" w:eastAsia="Times New Roman" w:hAnsi="Times New Roman"/>
          <w:sz w:val="20"/>
          <w:szCs w:val="20"/>
          <w:color w:val="auto"/>
        </w:rPr>
        <w:t>If we are unable to obtain sufficient funding when needed and/or on acceptable terms, we may be required to significantly curtail, delay or discontinue one or more of our research and development programs, the manufacture of clinical and commercial supplies, product portfolio expansion or pre commercialization efforts, which could adversely affect our business prospects, or we may be unable to continue operations. Certain restrictive covenants, such as limitations on our ability to incur additional debt, limitations on our ability to acquire, sell or license intellectual property rights and other operating restrictions that could adversely impact our ability to conduct our business. Any additional fundraising efforts may divert our management from their day-to-day activities, which may adversely affect our ability to develop and commercialize our product candidates.</w:t>
      </w:r>
    </w:p>
    <w:p>
      <w:pPr>
        <w:spacing w:after="0" w:line="82" w:lineRule="exact"/>
        <w:rPr>
          <w:sz w:val="20"/>
          <w:szCs w:val="20"/>
          <w:color w:val="auto"/>
        </w:rPr>
      </w:pPr>
    </w:p>
    <w:p>
      <w:pPr>
        <w:ind w:right="40" w:firstLine="490"/>
        <w:spacing w:after="0" w:line="253" w:lineRule="auto"/>
        <w:rPr>
          <w:sz w:val="20"/>
          <w:szCs w:val="20"/>
          <w:color w:val="auto"/>
        </w:rPr>
      </w:pPr>
      <w:r>
        <w:rPr>
          <w:rFonts w:ascii="Times New Roman" w:cs="Times New Roman" w:eastAsia="Times New Roman" w:hAnsi="Times New Roman"/>
          <w:sz w:val="20"/>
          <w:szCs w:val="20"/>
          <w:color w:val="auto"/>
        </w:rPr>
        <w:t>During the periods presented we did not have, and we currently do not have, any off-balance sheet arrangements, as defined under applicable SEC rules, such as relationships with unconsolidated entities or financial partnerships, which are often referred to as structured finance or special purpose entities, established for the purpose of facilitating financing transactions that are not required to be reflected on our balance sheets.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122" w:lineRule="exact"/>
        <w:rPr>
          <w:sz w:val="20"/>
          <w:szCs w:val="20"/>
          <w:color w:val="auto"/>
        </w:rPr>
      </w:pPr>
    </w:p>
    <w:p>
      <w:pPr>
        <w:ind w:right="580" w:firstLine="490"/>
        <w:spacing w:after="0" w:line="279" w:lineRule="auto"/>
        <w:rPr>
          <w:sz w:val="20"/>
          <w:szCs w:val="20"/>
          <w:color w:val="auto"/>
        </w:rPr>
      </w:pPr>
      <w:r>
        <w:rPr>
          <w:rFonts w:ascii="Times New Roman" w:cs="Times New Roman" w:eastAsia="Times New Roman" w:hAnsi="Times New Roman"/>
          <w:sz w:val="20"/>
          <w:szCs w:val="20"/>
          <w:color w:val="auto"/>
        </w:rPr>
        <w:t>Please read Note 2 to our audited consolidated financial statements included in Part IV, Item 15, of this Annual Report for a description of recent accounting pronouncements applicable to our business.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Company Information</w:t>
      </w:r>
    </w:p>
    <w:p>
      <w:pPr>
        <w:sectPr>
          <w:pgSz w:w="11880" w:h="15480" w:orient="portrait"/>
          <w:cols w:equalWidth="0" w:num="1">
            <w:col w:w="9340"/>
          </w:cols>
          <w:pgMar w:left="1260" w:top="1253"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87</w:t>
      </w:r>
    </w:p>
    <w:p>
      <w:pPr>
        <w:sectPr>
          <w:pgSz w:w="11880" w:h="15480" w:orient="portrait"/>
          <w:cols w:equalWidth="0" w:num="1">
            <w:col w:w="9340"/>
          </w:cols>
          <w:pgMar w:left="1260" w:top="1253" w:right="1280" w:bottom="0" w:gutter="0" w:footer="0" w:header="0"/>
          <w:type w:val="continuous"/>
        </w:sectPr>
      </w:pPr>
    </w:p>
    <w:bookmarkStart w:id="89" w:name="page90"/>
    <w:bookmarkEnd w:id="89"/>
    <w:p>
      <w:pPr>
        <w:ind w:left="320"/>
        <w:spacing w:after="0"/>
        <w:rPr>
          <w:sz w:val="20"/>
          <w:szCs w:val="20"/>
          <w:color w:val="auto"/>
        </w:rPr>
      </w:pPr>
      <w:r>
        <w:rPr>
          <w:rFonts w:ascii="Times New Roman" w:cs="Times New Roman" w:eastAsia="Times New Roman" w:hAnsi="Times New Roman"/>
          <w:sz w:val="19"/>
          <w:szCs w:val="19"/>
          <w:color w:val="auto"/>
        </w:rPr>
        <w:t>None.</w:t>
      </w:r>
    </w:p>
    <w:p>
      <w:pPr>
        <w:sectPr>
          <w:pgSz w:w="11880" w:h="15480" w:orient="portrait"/>
          <w:cols w:equalWidth="0" w:num="1">
            <w:col w:w="9000"/>
          </w:cols>
          <w:pgMar w:left="1440" w:top="12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88</w:t>
      </w:r>
    </w:p>
    <w:p>
      <w:pPr>
        <w:sectPr>
          <w:pgSz w:w="11880" w:h="15480" w:orient="portrait"/>
          <w:cols w:equalWidth="0" w:num="1">
            <w:col w:w="9000"/>
          </w:cols>
          <w:pgMar w:left="1440" w:top="1240" w:right="144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20"/>
          <w:szCs w:val="20"/>
          <w:b w:val="1"/>
          <w:bCs w:val="1"/>
          <w:color w:val="auto"/>
        </w:rPr>
        <w:t>ITEM 7A. QUANTITATIVE AND QUALITATIVE DISCLOSURES ABOUT MARKET RISK</w:t>
      </w:r>
    </w:p>
    <w:p>
      <w:pPr>
        <w:spacing w:after="0" w:line="123" w:lineRule="exact"/>
        <w:rPr>
          <w:sz w:val="20"/>
          <w:szCs w:val="20"/>
          <w:color w:val="auto"/>
        </w:rPr>
      </w:pPr>
    </w:p>
    <w:p>
      <w:pPr>
        <w:ind w:left="60" w:right="1240" w:firstLine="440"/>
        <w:spacing w:after="0" w:line="279" w:lineRule="auto"/>
        <w:rPr>
          <w:sz w:val="20"/>
          <w:szCs w:val="20"/>
          <w:color w:val="auto"/>
        </w:rPr>
      </w:pPr>
      <w:r>
        <w:rPr>
          <w:rFonts w:ascii="Times New Roman" w:cs="Times New Roman" w:eastAsia="Times New Roman" w:hAnsi="Times New Roman"/>
          <w:sz w:val="20"/>
          <w:szCs w:val="20"/>
          <w:color w:val="auto"/>
        </w:rPr>
        <w:t>We are a smaller reporting company as defined by Rule 12b-2 of the Exchange Act and are not required to provide the information required under this item.</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123" w:lineRule="exact"/>
        <w:rPr>
          <w:sz w:val="20"/>
          <w:szCs w:val="20"/>
          <w:color w:val="auto"/>
        </w:rPr>
      </w:pPr>
    </w:p>
    <w:p>
      <w:pPr>
        <w:ind w:right="160" w:firstLine="490"/>
        <w:spacing w:after="0" w:line="279" w:lineRule="auto"/>
        <w:rPr>
          <w:sz w:val="20"/>
          <w:szCs w:val="20"/>
          <w:color w:val="auto"/>
        </w:rPr>
      </w:pPr>
      <w:r>
        <w:rPr>
          <w:rFonts w:ascii="Times New Roman" w:cs="Times New Roman" w:eastAsia="Times New Roman" w:hAnsi="Times New Roman"/>
          <w:sz w:val="20"/>
          <w:szCs w:val="20"/>
          <w:color w:val="auto"/>
        </w:rPr>
        <w:t>Our audited consolidated financial statements and the report of our independent registered public accounting firm are included in this Annual Report on Form 10-K on the pages indicated in Part IV, Item 16.</w:t>
      </w:r>
    </w:p>
    <w:p>
      <w:pPr>
        <w:spacing w:after="0" w:line="42" w:lineRule="exact"/>
        <w:rPr>
          <w:sz w:val="20"/>
          <w:szCs w:val="20"/>
          <w:color w:val="auto"/>
        </w:rPr>
      </w:pPr>
    </w:p>
    <w:p>
      <w:pPr>
        <w:ind w:right="520"/>
        <w:spacing w:after="0" w:line="287" w:lineRule="auto"/>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9A. CONTROLS AND PROCEDURES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118"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principal executive and our principal financial officers, as appropriate, to allow timely decisions regarding required disclosure.</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With respect to the year ended December 31, 2022, under the supervision and with the participation of our management, we conducted an evaluation of the effectiveness of the design and operations of our disclosure controls and procedures. Based upon this evaluation, our Chief Executive Officer and Chief Financial Officer have concluded that our disclosure controls and procedures were effective as of December 31, 2022 to provide reasonable assurance that the information required to be disclosed by us in this Annual Report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Annual Report on Internal Control Over Financial Reporting</w:t>
      </w:r>
    </w:p>
    <w:p>
      <w:pPr>
        <w:spacing w:after="0" w:line="113" w:lineRule="exact"/>
        <w:rPr>
          <w:sz w:val="20"/>
          <w:szCs w:val="20"/>
          <w:color w:val="auto"/>
        </w:rPr>
      </w:pPr>
    </w:p>
    <w:p>
      <w:pPr>
        <w:ind w:right="40" w:firstLine="490"/>
        <w:spacing w:after="0" w:line="243"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 – Integrated Framework (2013) issued by the Committee of Sponsoring Organizations of the Treadway Commission. Based on our evaluation under that framework, our management concluded that our internal control over financial reporting was effective as of December 31, 2022.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113"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auto"/>
        </w:rPr>
        <w:t>There were no changes in our internal control over financial reporting identified in connection with the evaluation required by Rule 13a-15(d) and 15d-15(d) of the Exchange Act that occurred during the quarter ended December 31, 2022, that have materially affected, or are reasonably likely to materially affect, our internal control over financial reporting.</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9B. OTHER INFORMATION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9C. DISCLOSURE REGARDING FOREIGN JURISDICTIONS THAT PREVENT INSPECTIONS</w:t>
      </w:r>
    </w:p>
    <w:p>
      <w:pPr>
        <w:spacing w:after="0" w:line="1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340"/>
          </w:cols>
          <w:pgMar w:left="1260" w:top="1235"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89</w:t>
      </w:r>
    </w:p>
    <w:p>
      <w:pPr>
        <w:sectPr>
          <w:pgSz w:w="11880" w:h="15480" w:orient="portrait"/>
          <w:cols w:equalWidth="0" w:num="1">
            <w:col w:w="9340"/>
          </w:cols>
          <w:pgMar w:left="1260" w:top="1235" w:right="1280" w:bottom="0" w:gutter="0" w:footer="0" w:header="0"/>
          <w:type w:val="continuous"/>
        </w:sectPr>
      </w:pPr>
    </w:p>
    <w:bookmarkStart w:id="91" w:name="page92"/>
    <w:bookmarkEnd w:id="91"/>
    <w:p>
      <w:pPr>
        <w:ind w:left="426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123"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auto"/>
        </w:rPr>
        <w:t>The information required by Item 10 of Form 10-K is incorporated by reference to the information contained in our definitive proxy statement for the 2023 annual meeting of stockholders.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123"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auto"/>
        </w:rPr>
        <w:t>The information required by Item 11 of Form 10-K is incorporated by reference to the information contained in our definitive proxy statement for the 2023 annual meeting of stockholders.</w:t>
      </w:r>
    </w:p>
    <w:p>
      <w:pPr>
        <w:spacing w:after="0" w:line="42" w:lineRule="exact"/>
        <w:rPr>
          <w:sz w:val="20"/>
          <w:szCs w:val="20"/>
          <w:color w:val="auto"/>
        </w:rPr>
      </w:pPr>
    </w:p>
    <w:p>
      <w:pPr>
        <w:ind w:right="40"/>
        <w:spacing w:after="0" w:line="287" w:lineRule="auto"/>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STOCKHOLDER MATTERS</w:t>
      </w:r>
    </w:p>
    <w:p>
      <w:pPr>
        <w:spacing w:after="0" w:line="33"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auto"/>
        </w:rPr>
        <w:t>The information required by Item 12 of Form 10-K is incorporated by reference to the information contained in our definitive proxy statement for the 2023 annual meeting of stockholders.</w:t>
      </w:r>
    </w:p>
    <w:p>
      <w:pPr>
        <w:spacing w:after="0" w:line="42" w:lineRule="exact"/>
        <w:rPr>
          <w:sz w:val="20"/>
          <w:szCs w:val="20"/>
          <w:color w:val="auto"/>
        </w:rPr>
      </w:pPr>
    </w:p>
    <w:p>
      <w:pPr>
        <w:ind w:right="1020"/>
        <w:spacing w:after="0" w:line="287" w:lineRule="auto"/>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33"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auto"/>
        </w:rPr>
        <w:t>The information required by Item 13 of Form 10-K is incorporated by reference to the information contained in our definitive proxy statement for the 2023 annual meeting of stockholders.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ACCOUNTING FEES AND SERVICES</w:t>
      </w:r>
    </w:p>
    <w:p>
      <w:pPr>
        <w:spacing w:after="0" w:line="123"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Our independent accounting firm is PricewaterhouseCoopers LLP, Philadelphia, Pennsylvania, USA, PCAOB Auditor ID: 238.</w:t>
      </w:r>
    </w:p>
    <w:p>
      <w:pPr>
        <w:spacing w:after="0" w:line="45"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auto"/>
        </w:rPr>
        <w:t>The information required by Item 14 of Form 10-K is incorporated by reference to the information contained in our definitive proxy statement for the 2023 annual meeting of stockholders.</w:t>
      </w:r>
    </w:p>
    <w:p>
      <w:pPr>
        <w:sectPr>
          <w:pgSz w:w="11880" w:h="15480" w:orient="portrait"/>
          <w:cols w:equalWidth="0" w:num="1">
            <w:col w:w="9320"/>
          </w:cols>
          <w:pgMar w:left="1260" w:top="1235"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90</w:t>
      </w:r>
    </w:p>
    <w:p>
      <w:pPr>
        <w:sectPr>
          <w:pgSz w:w="11880" w:h="15480" w:orient="portrait"/>
          <w:cols w:equalWidth="0" w:num="1">
            <w:col w:w="9320"/>
          </w:cols>
          <w:pgMar w:left="1260" w:top="1235" w:right="1300" w:bottom="0" w:gutter="0" w:footer="0" w:header="0"/>
          <w:type w:val="continuous"/>
        </w:sectPr>
      </w:pPr>
    </w:p>
    <w:bookmarkStart w:id="92" w:name="page93"/>
    <w:bookmarkEnd w:id="92"/>
    <w:p>
      <w:pPr>
        <w:ind w:left="428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 Financial Statements</w:t>
      </w:r>
    </w:p>
    <w:p>
      <w:pPr>
        <w:spacing w:after="0" w:line="120" w:lineRule="exact"/>
        <w:rPr>
          <w:sz w:val="20"/>
          <w:szCs w:val="20"/>
          <w:color w:val="auto"/>
        </w:rPr>
      </w:pPr>
    </w:p>
    <w:p>
      <w:pPr>
        <w:ind w:right="1760" w:firstLine="490"/>
        <w:spacing w:after="0" w:line="365" w:lineRule="auto"/>
        <w:rPr>
          <w:sz w:val="20"/>
          <w:szCs w:val="20"/>
          <w:color w:val="auto"/>
        </w:rPr>
      </w:pPr>
      <w:r>
        <w:rPr>
          <w:rFonts w:ascii="Times New Roman" w:cs="Times New Roman" w:eastAsia="Times New Roman" w:hAnsi="Times New Roman"/>
          <w:sz w:val="20"/>
          <w:szCs w:val="20"/>
          <w:color w:val="auto"/>
        </w:rPr>
        <w:t>See Index to the Consolidated Financial Statements on page F-1 of this Annual Report. 2. Financial Statement Schedules</w:t>
      </w:r>
    </w:p>
    <w:p>
      <w:pPr>
        <w:ind w:right="240" w:firstLine="490"/>
        <w:spacing w:after="0" w:line="279" w:lineRule="auto"/>
        <w:rPr>
          <w:sz w:val="20"/>
          <w:szCs w:val="20"/>
          <w:color w:val="auto"/>
        </w:rPr>
      </w:pPr>
      <w:r>
        <w:rPr>
          <w:rFonts w:ascii="Times New Roman" w:cs="Times New Roman" w:eastAsia="Times New Roman" w:hAnsi="Times New Roman"/>
          <w:sz w:val="20"/>
          <w:szCs w:val="20"/>
          <w:color w:val="auto"/>
        </w:rPr>
        <w:t>None, as all information required in these schedules is included in the Notes to the Consolidated Financial Statements.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 Exhibits</w:t>
      </w:r>
    </w:p>
    <w:p>
      <w:pPr>
        <w:spacing w:after="0" w:line="120" w:lineRule="exact"/>
        <w:rPr>
          <w:sz w:val="20"/>
          <w:szCs w:val="20"/>
          <w:color w:val="auto"/>
        </w:rPr>
      </w:pPr>
    </w:p>
    <w:p>
      <w:pPr>
        <w:ind w:firstLine="490"/>
        <w:spacing w:after="0" w:line="279" w:lineRule="auto"/>
        <w:rPr>
          <w:sz w:val="20"/>
          <w:szCs w:val="20"/>
          <w:color w:val="auto"/>
        </w:rPr>
      </w:pPr>
      <w:r>
        <w:rPr>
          <w:rFonts w:ascii="Times New Roman" w:cs="Times New Roman" w:eastAsia="Times New Roman" w:hAnsi="Times New Roman"/>
          <w:sz w:val="20"/>
          <w:szCs w:val="20"/>
          <w:color w:val="auto"/>
        </w:rPr>
        <w:t>Reference is made to the Exhibit Index below for a list of exhibits required by Item 601 of Regulation S-K to be filed as part of this Annual Report.</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exhibits are being filed herewith:</w:t>
      </w:r>
    </w:p>
    <w:p>
      <w:pPr>
        <w:sectPr>
          <w:pgSz w:w="11880" w:h="15480" w:orient="portrait"/>
          <w:cols w:equalWidth="0" w:num="1">
            <w:col w:w="9220"/>
          </w:cols>
          <w:pgMar w:left="1260" w:top="1235" w:right="14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91</w:t>
      </w:r>
    </w:p>
    <w:p>
      <w:pPr>
        <w:sectPr>
          <w:pgSz w:w="11880" w:h="15480" w:orient="portrait"/>
          <w:cols w:equalWidth="0" w:num="1">
            <w:col w:w="9220"/>
          </w:cols>
          <w:pgMar w:left="1260" w:top="1235" w:right="1400" w:bottom="0" w:gutter="0" w:footer="0" w:header="0"/>
          <w:type w:val="continuous"/>
        </w:sectPr>
      </w:pPr>
    </w:p>
    <w:bookmarkStart w:id="93" w:name="page94"/>
    <w:bookmarkEnd w:id="93"/>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EXHIBIT INDEX</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Filed Herewith</w:t>
      </w:r>
    </w:p>
    <w:p>
      <w:pPr>
        <w:spacing w:after="0"/>
        <w:rPr>
          <w:sz w:val="20"/>
          <w:szCs w:val="20"/>
          <w:color w:val="auto"/>
        </w:rPr>
      </w:pPr>
      <w:r>
        <w:rPr>
          <w:rFonts w:ascii="Times New Roman" w:cs="Times New Roman" w:eastAsia="Times New Roman" w:hAnsi="Times New Roman"/>
          <w:sz w:val="20"/>
          <w:szCs w:val="20"/>
          <w:color w:val="auto"/>
        </w:rPr>
        <w:t>+ Certain confidential portions (indicated by brackets and asterisks) have been omitted from this exhibit</w:t>
      </w:r>
    </w:p>
    <w:p>
      <w:pPr>
        <w:spacing w:after="0" w:line="253" w:lineRule="auto"/>
        <w:tabs>
          <w:tab w:leader="none" w:pos="25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herewith. This certification will not be deemed “filed” for purposes of Section 18 of the Securities Exchange Act of 1934, as amended, or otherwise subject to the liability of that section. Such certification will not be deemed to be incorporated by reference into any filing under the Securities Act of 1933, as amended, except to the extent specifically incorporated by reference into such filing.</w:t>
      </w:r>
    </w:p>
    <w:p>
      <w:pPr>
        <w:spacing w:after="0" w:line="218" w:lineRule="exact"/>
        <w:rPr>
          <w:sz w:val="20"/>
          <w:szCs w:val="20"/>
          <w:color w:val="auto"/>
        </w:rPr>
      </w:pPr>
    </w:p>
    <w:p>
      <w:pPr>
        <w:ind w:left="820"/>
        <w:spacing w:after="0"/>
        <w:tabs>
          <w:tab w:leader="none" w:pos="5260" w:val="left"/>
        </w:tabs>
        <w:rPr>
          <w:sz w:val="20"/>
          <w:szCs w:val="20"/>
          <w:color w:val="auto"/>
        </w:rPr>
      </w:pPr>
      <w:r>
        <w:rPr>
          <w:rFonts w:ascii="Times New Roman" w:cs="Times New Roman" w:eastAsia="Times New Roman" w:hAnsi="Times New Roman"/>
          <w:sz w:val="16"/>
          <w:szCs w:val="16"/>
          <w:b w:val="1"/>
          <w:bCs w:val="1"/>
          <w:color w:val="auto"/>
        </w:rPr>
        <w:t>Exhibit No.</w:t>
      </w:r>
      <w:r>
        <w:rPr>
          <w:sz w:val="20"/>
          <w:szCs w:val="20"/>
          <w:color w:val="auto"/>
        </w:rPr>
        <w:tab/>
      </w:r>
      <w:r>
        <w:rPr>
          <w:rFonts w:ascii="Times New Roman" w:cs="Times New Roman" w:eastAsia="Times New Roman" w:hAnsi="Times New Roman"/>
          <w:sz w:val="16"/>
          <w:szCs w:val="16"/>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5943600"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43600" cy="12700"/>
                    </a:xfrm>
                    <a:prstGeom prst="rect">
                      <a:avLst/>
                    </a:prstGeom>
                    <a:noFill/>
                  </pic:spPr>
                </pic:pic>
              </a:graphicData>
            </a:graphic>
          </wp:anchor>
        </w:drawing>
      </w:r>
    </w:p>
    <w:p>
      <w:pPr>
        <w:spacing w:after="0" w:line="110" w:lineRule="exact"/>
        <w:rPr>
          <w:sz w:val="20"/>
          <w:szCs w:val="20"/>
          <w:color w:val="auto"/>
        </w:rPr>
      </w:pPr>
    </w:p>
    <w:p>
      <w:pPr>
        <w:ind w:left="1720" w:right="100" w:hanging="357"/>
        <w:spacing w:after="0" w:line="218" w:lineRule="auto"/>
        <w:rPr>
          <w:sz w:val="20"/>
          <w:szCs w:val="20"/>
          <w:color w:val="auto"/>
        </w:rPr>
      </w:pPr>
      <w:r>
        <w:rPr>
          <w:rFonts w:ascii="Times New Roman" w:cs="Times New Roman" w:eastAsia="Times New Roman" w:hAnsi="Times New Roman"/>
          <w:sz w:val="19"/>
          <w:szCs w:val="19"/>
          <w:color w:val="auto"/>
        </w:rPr>
        <w:t xml:space="preserve">2.1 </w:t>
      </w:r>
      <w:r>
        <w:rPr>
          <w:rFonts w:ascii="Times New Roman" w:cs="Times New Roman" w:eastAsia="Times New Roman" w:hAnsi="Times New Roman"/>
          <w:sz w:val="20"/>
          <w:szCs w:val="20"/>
          <w:color w:val="auto"/>
        </w:rPr>
        <w:t>Agreement and Plan of Merger, dated as of December 17, 2019, by and among Zafgen, Inc.,</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Chondrial Therapeutics, Inc., Chondrial Therapeutics Holdings, LLC, and Zordich Merger Sub, Inc. (incorporated by reference to Exhibit 2.1 of the Company’s Current Report on Form 8-K filed on December 18, 2019).</w:t>
      </w:r>
    </w:p>
    <w:p>
      <w:pPr>
        <w:spacing w:after="0" w:line="2" w:lineRule="exact"/>
        <w:rPr>
          <w:sz w:val="20"/>
          <w:szCs w:val="20"/>
          <w:color w:val="auto"/>
        </w:rPr>
      </w:pPr>
    </w:p>
    <w:p>
      <w:pPr>
        <w:ind w:left="1720" w:hanging="357"/>
        <w:spacing w:after="0" w:line="219" w:lineRule="auto"/>
        <w:rPr>
          <w:sz w:val="20"/>
          <w:szCs w:val="20"/>
          <w:color w:val="auto"/>
        </w:rPr>
      </w:pPr>
      <w:r>
        <w:rPr>
          <w:rFonts w:ascii="Times New Roman" w:cs="Times New Roman" w:eastAsia="Times New Roman" w:hAnsi="Times New Roman"/>
          <w:sz w:val="19"/>
          <w:szCs w:val="19"/>
          <w:color w:val="auto"/>
        </w:rPr>
        <w:t xml:space="preserve">2.2 </w:t>
      </w:r>
      <w:r>
        <w:rPr>
          <w:rFonts w:ascii="Times New Roman" w:cs="Times New Roman" w:eastAsia="Times New Roman" w:hAnsi="Times New Roman"/>
          <w:sz w:val="20"/>
          <w:szCs w:val="20"/>
          <w:color w:val="auto"/>
        </w:rPr>
        <w:t>Amendment No. 1 to Agreement and Plan of Merger, dated as of March 6, 2020, by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among Zafgen, Inc., Chondrial Therapeutics, Inc., Chondrial Therapeutics Holdings, LLC, and Zordich Merger Sub, Inc. (incorporated by reference to Exhibit 2.1 of the Company’s Current Report on Form 8-K filed on March 6, 2020).</w:t>
      </w:r>
    </w:p>
    <w:p>
      <w:pPr>
        <w:spacing w:after="0" w:line="1" w:lineRule="exact"/>
        <w:rPr>
          <w:sz w:val="20"/>
          <w:szCs w:val="20"/>
          <w:color w:val="auto"/>
        </w:rPr>
      </w:pPr>
    </w:p>
    <w:p>
      <w:pPr>
        <w:ind w:left="1720" w:right="140" w:hanging="357"/>
        <w:spacing w:after="0" w:line="261"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9"/>
          <w:szCs w:val="19"/>
          <w:color w:val="auto"/>
        </w:rPr>
        <w:t>Ninth Amended and Restated Certificate of Incorporation of Larimar Therapeutics, Inc.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(formerly known as Zafgen, Inc.) (incorporated by reference to Exhibit 3.1 of the Company’s</w:t>
      </w:r>
    </w:p>
    <w:p>
      <w:pPr>
        <w:ind w:left="1720"/>
        <w:spacing w:after="0" w:line="232" w:lineRule="auto"/>
        <w:rPr>
          <w:sz w:val="20"/>
          <w:szCs w:val="20"/>
          <w:color w:val="auto"/>
        </w:rPr>
      </w:pPr>
      <w:r>
        <w:rPr>
          <w:rFonts w:ascii="Times New Roman" w:cs="Times New Roman" w:eastAsia="Times New Roman" w:hAnsi="Times New Roman"/>
          <w:sz w:val="20"/>
          <w:szCs w:val="20"/>
          <w:color w:val="auto"/>
        </w:rPr>
        <w:t>Current Report on Form 8-K filed on June 24, 2014).</w:t>
      </w:r>
    </w:p>
    <w:p>
      <w:pPr>
        <w:ind w:left="1720" w:right="40" w:hanging="357"/>
        <w:spacing w:after="0" w:line="231"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9"/>
          <w:szCs w:val="19"/>
          <w:color w:val="auto"/>
        </w:rPr>
        <w:t>Certificate of Amendment of Ninth Amended and Restated Certificate of Incorporation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Zafgen, Inc. related to the Reverse Stock Split, dated May 28, 2020 (incorporated by reference to Exhibit 3.1 of the Company’s Current Report on Form 8-K filed on June 2, 2020).</w:t>
      </w:r>
    </w:p>
    <w:p>
      <w:pPr>
        <w:ind w:left="1720" w:right="260" w:hanging="357"/>
        <w:spacing w:after="0" w:line="219" w:lineRule="auto"/>
        <w:rPr>
          <w:sz w:val="20"/>
          <w:szCs w:val="20"/>
          <w:color w:val="auto"/>
        </w:rPr>
      </w:pPr>
      <w:r>
        <w:rPr>
          <w:rFonts w:ascii="Times New Roman" w:cs="Times New Roman" w:eastAsia="Times New Roman" w:hAnsi="Times New Roman"/>
          <w:sz w:val="19"/>
          <w:szCs w:val="19"/>
          <w:color w:val="auto"/>
        </w:rPr>
        <w:t xml:space="preserve">3.3 </w:t>
      </w:r>
      <w:r>
        <w:rPr>
          <w:rFonts w:ascii="Times New Roman" w:cs="Times New Roman" w:eastAsia="Times New Roman" w:hAnsi="Times New Roman"/>
          <w:sz w:val="20"/>
          <w:szCs w:val="20"/>
          <w:color w:val="auto"/>
        </w:rPr>
        <w:t>Certificate of Amendment of Ninth Amended and Restated Certificate of Incorporation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Zafgen, Inc. related to the Name Change, dated May 28, 2020 (incorporated by reference to Exhibit 3.1 of the Company’s Current Report on Form 8-K filed on June 2, 2020).</w:t>
      </w:r>
    </w:p>
    <w:p>
      <w:pPr>
        <w:spacing w:after="0" w:line="1" w:lineRule="exact"/>
        <w:rPr>
          <w:sz w:val="20"/>
          <w:szCs w:val="20"/>
          <w:color w:val="auto"/>
        </w:rPr>
      </w:pPr>
    </w:p>
    <w:p>
      <w:pPr>
        <w:ind w:left="1720" w:right="80" w:hanging="357"/>
        <w:spacing w:after="0" w:line="219"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20"/>
          <w:szCs w:val="20"/>
          <w:color w:val="auto"/>
        </w:rPr>
        <w:t>Amended and Restated By-laws of Larimar Therapeutics, Inc. (formerly known as Zafgen,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Inc.) (incorporated by reference to Exhibit 3.2 of the Company’s Current Report on Form 8-K filed on June 24, 2014).</w:t>
      </w:r>
    </w:p>
    <w:p>
      <w:pPr>
        <w:spacing w:after="0" w:line="1" w:lineRule="exact"/>
        <w:rPr>
          <w:sz w:val="20"/>
          <w:szCs w:val="20"/>
          <w:color w:val="auto"/>
        </w:rPr>
      </w:pPr>
    </w:p>
    <w:p>
      <w:pPr>
        <w:ind w:left="1720" w:right="320" w:hanging="357"/>
        <w:spacing w:after="0" w:line="220" w:lineRule="auto"/>
        <w:rPr>
          <w:sz w:val="20"/>
          <w:szCs w:val="20"/>
          <w:color w:val="auto"/>
        </w:rPr>
      </w:pPr>
      <w:r>
        <w:rPr>
          <w:rFonts w:ascii="Times New Roman" w:cs="Times New Roman" w:eastAsia="Times New Roman" w:hAnsi="Times New Roman"/>
          <w:sz w:val="19"/>
          <w:szCs w:val="19"/>
          <w:color w:val="auto"/>
        </w:rPr>
        <w:t xml:space="preserve">4.1 </w:t>
      </w:r>
      <w:r>
        <w:rPr>
          <w:rFonts w:ascii="Times New Roman" w:cs="Times New Roman" w:eastAsia="Times New Roman" w:hAnsi="Times New Roman"/>
          <w:sz w:val="20"/>
          <w:szCs w:val="20"/>
          <w:color w:val="auto"/>
        </w:rPr>
        <w:t>Form of Company Pre-funded Warrant to Purchase Common Stock by and among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Company and certain investors (incorporated by reference to Exhibit 4.1 of the Company’s Current Report on Form 8-K filed on June 2, 2020).</w:t>
      </w:r>
    </w:p>
    <w:p>
      <w:pPr>
        <w:spacing w:after="0" w:line="1" w:lineRule="exact"/>
        <w:rPr>
          <w:sz w:val="20"/>
          <w:szCs w:val="20"/>
          <w:color w:val="auto"/>
        </w:rPr>
      </w:pPr>
    </w:p>
    <w:p>
      <w:pPr>
        <w:ind w:left="1720" w:right="240" w:hanging="357"/>
        <w:spacing w:after="0" w:line="248" w:lineRule="auto"/>
        <w:rPr>
          <w:sz w:val="20"/>
          <w:szCs w:val="20"/>
          <w:color w:val="auto"/>
        </w:rPr>
      </w:pPr>
      <w:r>
        <w:rPr>
          <w:rFonts w:ascii="Times New Roman" w:cs="Times New Roman" w:eastAsia="Times New Roman" w:hAnsi="Times New Roman"/>
          <w:sz w:val="19"/>
          <w:szCs w:val="19"/>
          <w:color w:val="auto"/>
        </w:rPr>
        <w:t xml:space="preserve">4.2 </w:t>
      </w:r>
      <w:r>
        <w:rPr>
          <w:rFonts w:ascii="Times New Roman" w:cs="Times New Roman" w:eastAsia="Times New Roman" w:hAnsi="Times New Roman"/>
          <w:sz w:val="20"/>
          <w:szCs w:val="20"/>
          <w:color w:val="auto"/>
        </w:rPr>
        <w:t>Description of the Company’s Securities Registered Pursuant to Section 12 of the Securities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Exchange Act of 1934 (incorporated by reference to Exhibit 4.2 of the Company’s Annual</w:t>
      </w:r>
    </w:p>
    <w:p>
      <w:pPr>
        <w:ind w:left="1720"/>
        <w:spacing w:after="0" w:line="232" w:lineRule="auto"/>
        <w:rPr>
          <w:sz w:val="20"/>
          <w:szCs w:val="20"/>
          <w:color w:val="auto"/>
        </w:rPr>
      </w:pPr>
      <w:r>
        <w:rPr>
          <w:rFonts w:ascii="Times New Roman" w:cs="Times New Roman" w:eastAsia="Times New Roman" w:hAnsi="Times New Roman"/>
          <w:sz w:val="20"/>
          <w:szCs w:val="20"/>
          <w:color w:val="auto"/>
        </w:rPr>
        <w:t>Report on Form 10-K filed March 4, 2021).</w:t>
      </w:r>
    </w:p>
    <w:p>
      <w:pPr>
        <w:ind w:left="1280"/>
        <w:spacing w:after="0" w:line="216" w:lineRule="auto"/>
        <w:rPr>
          <w:sz w:val="20"/>
          <w:szCs w:val="20"/>
          <w:color w:val="auto"/>
        </w:rPr>
      </w:pPr>
      <w:r>
        <w:rPr>
          <w:rFonts w:ascii="Times New Roman" w:cs="Times New Roman" w:eastAsia="Times New Roman" w:hAnsi="Times New Roman"/>
          <w:sz w:val="19"/>
          <w:szCs w:val="19"/>
          <w:color w:val="auto"/>
        </w:rPr>
        <w:t xml:space="preserve">10.1 </w:t>
      </w:r>
      <w:r>
        <w:rPr>
          <w:rFonts w:ascii="Times New Roman" w:cs="Times New Roman" w:eastAsia="Times New Roman" w:hAnsi="Times New Roman"/>
          <w:sz w:val="20"/>
          <w:szCs w:val="20"/>
          <w:color w:val="auto"/>
        </w:rPr>
        <w:t>Larimar Therapeutics, Inc. 2020 Equity Incentive Plan (incorporated by reference to Exhibit</w:t>
      </w:r>
    </w:p>
    <w:p>
      <w:pPr>
        <w:ind w:left="1720"/>
        <w:spacing w:after="0" w:line="226" w:lineRule="auto"/>
        <w:rPr>
          <w:sz w:val="20"/>
          <w:szCs w:val="20"/>
          <w:color w:val="auto"/>
        </w:rPr>
      </w:pPr>
      <w:r>
        <w:rPr>
          <w:rFonts w:ascii="Times New Roman" w:cs="Times New Roman" w:eastAsia="Times New Roman" w:hAnsi="Times New Roman"/>
          <w:sz w:val="20"/>
          <w:szCs w:val="20"/>
          <w:color w:val="auto"/>
        </w:rPr>
        <w:t>10.1 of the Company’s Current Report on Form 8-K filed on September 29, 2020).</w:t>
      </w:r>
    </w:p>
    <w:p>
      <w:pPr>
        <w:spacing w:after="0" w:line="1" w:lineRule="exact"/>
        <w:rPr>
          <w:sz w:val="20"/>
          <w:szCs w:val="20"/>
          <w:color w:val="auto"/>
        </w:rPr>
      </w:pPr>
    </w:p>
    <w:p>
      <w:pPr>
        <w:jc w:val="both"/>
        <w:ind w:left="1720" w:right="180" w:hanging="452"/>
        <w:spacing w:after="0" w:line="219" w:lineRule="auto"/>
        <w:rPr>
          <w:sz w:val="20"/>
          <w:szCs w:val="20"/>
          <w:color w:val="auto"/>
        </w:rPr>
      </w:pPr>
      <w:r>
        <w:rPr>
          <w:rFonts w:ascii="Times New Roman" w:cs="Times New Roman" w:eastAsia="Times New Roman" w:hAnsi="Times New Roman"/>
          <w:sz w:val="19"/>
          <w:szCs w:val="19"/>
          <w:color w:val="auto"/>
        </w:rPr>
        <w:t xml:space="preserve">10.2 </w:t>
      </w:r>
      <w:r>
        <w:rPr>
          <w:rFonts w:ascii="Times New Roman" w:cs="Times New Roman" w:eastAsia="Times New Roman" w:hAnsi="Times New Roman"/>
          <w:sz w:val="20"/>
          <w:szCs w:val="20"/>
          <w:color w:val="auto"/>
        </w:rPr>
        <w:t>Larimar Therapeutics, Inc. Form of Stock Option Grant Notice and Award Agreement under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its 2020 Equity Incentive Plan (incorporated by reference to Exhibit 10.2 of the Company’s Current Report on Form 8-K filed on September 29, 2020).</w:t>
      </w:r>
    </w:p>
    <w:p>
      <w:pPr>
        <w:spacing w:after="0" w:line="1" w:lineRule="exact"/>
        <w:rPr>
          <w:sz w:val="20"/>
          <w:szCs w:val="20"/>
          <w:color w:val="auto"/>
        </w:rPr>
      </w:pPr>
    </w:p>
    <w:p>
      <w:pPr>
        <w:ind w:left="1720" w:right="80" w:hanging="547"/>
        <w:spacing w:after="0" w:line="221" w:lineRule="auto"/>
        <w:rPr>
          <w:sz w:val="20"/>
          <w:szCs w:val="20"/>
          <w:color w:val="auto"/>
        </w:rPr>
      </w:pPr>
      <w:r>
        <w:rPr>
          <w:rFonts w:ascii="Times New Roman" w:cs="Times New Roman" w:eastAsia="Times New Roman" w:hAnsi="Times New Roman"/>
          <w:sz w:val="19"/>
          <w:szCs w:val="19"/>
          <w:color w:val="auto"/>
        </w:rPr>
        <w:t xml:space="preserve">10.3* </w:t>
      </w:r>
      <w:r>
        <w:rPr>
          <w:rFonts w:ascii="Times New Roman" w:cs="Times New Roman" w:eastAsia="Times New Roman" w:hAnsi="Times New Roman"/>
          <w:sz w:val="20"/>
          <w:szCs w:val="20"/>
          <w:color w:val="auto"/>
        </w:rPr>
        <w:t>Restricted Stock Award Agreement for Company Employees under the Larimar Therapeutics,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Inc. 2020 Equity Incentive Plan.</w:t>
      </w:r>
    </w:p>
    <w:p>
      <w:pPr>
        <w:ind w:left="1180"/>
        <w:spacing w:after="0" w:line="226"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20"/>
          <w:szCs w:val="20"/>
          <w:color w:val="auto"/>
        </w:rPr>
        <w:t>Non-Qualified Stock Option Grant Notice and Award Agreement.</w:t>
      </w:r>
    </w:p>
    <w:p>
      <w:pPr>
        <w:spacing w:after="0" w:line="1" w:lineRule="exact"/>
        <w:rPr>
          <w:sz w:val="20"/>
          <w:szCs w:val="20"/>
          <w:color w:val="auto"/>
        </w:rPr>
      </w:pPr>
    </w:p>
    <w:p>
      <w:pPr>
        <w:ind w:left="1720" w:right="120" w:hanging="452"/>
        <w:spacing w:after="0" w:line="219" w:lineRule="auto"/>
        <w:rPr>
          <w:sz w:val="20"/>
          <w:szCs w:val="20"/>
          <w:color w:val="auto"/>
        </w:rPr>
      </w:pPr>
      <w:r>
        <w:rPr>
          <w:rFonts w:ascii="Times New Roman" w:cs="Times New Roman" w:eastAsia="Times New Roman" w:hAnsi="Times New Roman"/>
          <w:sz w:val="19"/>
          <w:szCs w:val="19"/>
          <w:color w:val="auto"/>
        </w:rPr>
        <w:t xml:space="preserve">10.5 </w:t>
      </w:r>
      <w:r>
        <w:rPr>
          <w:rFonts w:ascii="Times New Roman" w:cs="Times New Roman" w:eastAsia="Times New Roman" w:hAnsi="Times New Roman"/>
          <w:sz w:val="20"/>
          <w:szCs w:val="20"/>
          <w:color w:val="auto"/>
        </w:rPr>
        <w:t>Registration Rights Agreement, dated as of June 1, 2020, by and among the Company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certain Investors (incorporated by reference to Exhibit 10.2 of the Company’s Current Report on Form 8-K filed on June 2, 2020).</w:t>
      </w:r>
    </w:p>
    <w:p>
      <w:pPr>
        <w:spacing w:after="0" w:line="1" w:lineRule="exact"/>
        <w:rPr>
          <w:sz w:val="20"/>
          <w:szCs w:val="20"/>
          <w:color w:val="auto"/>
        </w:rPr>
      </w:pPr>
    </w:p>
    <w:p>
      <w:pPr>
        <w:jc w:val="both"/>
        <w:ind w:left="1720" w:right="340" w:hanging="452"/>
        <w:spacing w:after="0" w:line="219" w:lineRule="auto"/>
        <w:rPr>
          <w:sz w:val="20"/>
          <w:szCs w:val="20"/>
          <w:color w:val="auto"/>
        </w:rPr>
      </w:pPr>
      <w:r>
        <w:rPr>
          <w:rFonts w:ascii="Times New Roman" w:cs="Times New Roman" w:eastAsia="Times New Roman" w:hAnsi="Times New Roman"/>
          <w:sz w:val="19"/>
          <w:szCs w:val="19"/>
          <w:color w:val="auto"/>
        </w:rPr>
        <w:t xml:space="preserve">10.6 </w:t>
      </w:r>
      <w:r>
        <w:rPr>
          <w:rFonts w:ascii="Times New Roman" w:cs="Times New Roman" w:eastAsia="Times New Roman" w:hAnsi="Times New Roman"/>
          <w:sz w:val="20"/>
          <w:szCs w:val="20"/>
          <w:color w:val="auto"/>
        </w:rPr>
        <w:t>Registration Rights Agreement, dated as of June 8, 2020, by and among the Company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certain Investors (incorporated by reference to Exhibit 10.3 of the Company’s Registration Statement on Form S-3 filed on June 26, 2020).</w:t>
      </w:r>
    </w:p>
    <w:p>
      <w:pPr>
        <w:spacing w:after="0" w:line="1" w:lineRule="exact"/>
        <w:rPr>
          <w:sz w:val="20"/>
          <w:szCs w:val="20"/>
          <w:color w:val="auto"/>
        </w:rPr>
      </w:pPr>
    </w:p>
    <w:p>
      <w:pPr>
        <w:ind w:left="1720" w:right="140" w:hanging="452"/>
        <w:spacing w:after="0" w:line="219" w:lineRule="auto"/>
        <w:rPr>
          <w:sz w:val="20"/>
          <w:szCs w:val="20"/>
          <w:color w:val="auto"/>
        </w:rPr>
      </w:pPr>
      <w:r>
        <w:rPr>
          <w:rFonts w:ascii="Times New Roman" w:cs="Times New Roman" w:eastAsia="Times New Roman" w:hAnsi="Times New Roman"/>
          <w:sz w:val="19"/>
          <w:szCs w:val="19"/>
          <w:color w:val="auto"/>
        </w:rPr>
        <w:t xml:space="preserve">10.7 </w:t>
      </w:r>
      <w:r>
        <w:rPr>
          <w:rFonts w:ascii="Times New Roman" w:cs="Times New Roman" w:eastAsia="Times New Roman" w:hAnsi="Times New Roman"/>
          <w:sz w:val="20"/>
          <w:szCs w:val="20"/>
          <w:color w:val="auto"/>
        </w:rPr>
        <w:t>Form of Indemnification Agreement between the Company and its directors (incorporated by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reference to Exhibit 10.3 of the Company’s Current Report on Form 8-K filed on June 2, 2020).</w:t>
      </w:r>
    </w:p>
    <w:p>
      <w:pPr>
        <w:spacing w:after="0" w:line="1" w:lineRule="exact"/>
        <w:rPr>
          <w:sz w:val="20"/>
          <w:szCs w:val="20"/>
          <w:color w:val="auto"/>
        </w:rPr>
      </w:pPr>
    </w:p>
    <w:p>
      <w:pPr>
        <w:jc w:val="both"/>
        <w:ind w:left="1720" w:right="40" w:hanging="452"/>
        <w:spacing w:after="0" w:line="219" w:lineRule="auto"/>
        <w:rPr>
          <w:sz w:val="20"/>
          <w:szCs w:val="20"/>
          <w:color w:val="auto"/>
        </w:rPr>
      </w:pPr>
      <w:r>
        <w:rPr>
          <w:rFonts w:ascii="Times New Roman" w:cs="Times New Roman" w:eastAsia="Times New Roman" w:hAnsi="Times New Roman"/>
          <w:sz w:val="19"/>
          <w:szCs w:val="19"/>
          <w:color w:val="auto"/>
        </w:rPr>
        <w:t xml:space="preserve">10.8 </w:t>
      </w:r>
      <w:r>
        <w:rPr>
          <w:rFonts w:ascii="Times New Roman" w:cs="Times New Roman" w:eastAsia="Times New Roman" w:hAnsi="Times New Roman"/>
          <w:sz w:val="20"/>
          <w:szCs w:val="20"/>
          <w:color w:val="auto"/>
        </w:rPr>
        <w:t>Employment Agreement, dated July 31, 2020, by and between the Company and Carole Ben-Maimon (incorporated by reference to Exhibit 10.1 of the Company’s Current Report on Form 8-K filed on August 6, 2020).</w:t>
      </w:r>
    </w:p>
    <w:p>
      <w:pPr>
        <w:spacing w:after="0" w:line="1" w:lineRule="exact"/>
        <w:rPr>
          <w:sz w:val="20"/>
          <w:szCs w:val="20"/>
          <w:color w:val="auto"/>
        </w:rPr>
      </w:pPr>
    </w:p>
    <w:p>
      <w:pPr>
        <w:ind w:left="1720" w:right="140" w:hanging="452"/>
        <w:spacing w:after="0" w:line="237" w:lineRule="auto"/>
        <w:rPr>
          <w:sz w:val="20"/>
          <w:szCs w:val="20"/>
          <w:color w:val="auto"/>
        </w:rPr>
      </w:pPr>
      <w:r>
        <w:rPr>
          <w:rFonts w:ascii="Times New Roman" w:cs="Times New Roman" w:eastAsia="Times New Roman" w:hAnsi="Times New Roman"/>
          <w:sz w:val="19"/>
          <w:szCs w:val="19"/>
          <w:color w:val="auto"/>
        </w:rPr>
        <w:t xml:space="preserve">10.9 </w:t>
      </w:r>
      <w:r>
        <w:rPr>
          <w:rFonts w:ascii="Times New Roman" w:cs="Times New Roman" w:eastAsia="Times New Roman" w:hAnsi="Times New Roman"/>
          <w:sz w:val="20"/>
          <w:szCs w:val="20"/>
          <w:color w:val="auto"/>
        </w:rPr>
        <w:t>Employment Agreement, dated June 1, 2020, by and between the Company and Michael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Celano (incorporated by reference to Exhibit 10.4 of the Company’s Current Report on Form 8-K filed on June 2, 2020).</w:t>
      </w:r>
    </w:p>
    <w:p>
      <w:pPr>
        <w:sectPr>
          <w:pgSz w:w="11880" w:h="15480" w:orient="portrait"/>
          <w:cols w:equalWidth="0" w:num="1">
            <w:col w:w="9320"/>
          </w:cols>
          <w:pgMar w:left="1260" w:top="1235" w:right="1300" w:bottom="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92</w:t>
      </w:r>
    </w:p>
    <w:p>
      <w:pPr>
        <w:sectPr>
          <w:pgSz w:w="11880" w:h="15480" w:orient="portrait"/>
          <w:cols w:equalWidth="0" w:num="1">
            <w:col w:w="9320"/>
          </w:cols>
          <w:pgMar w:left="1260" w:top="1235" w:right="1300" w:bottom="0" w:gutter="0" w:footer="0" w:header="0"/>
          <w:type w:val="continuous"/>
        </w:sectPr>
      </w:pPr>
    </w:p>
    <w:bookmarkStart w:id="94" w:name="page95"/>
    <w:bookmarkEnd w:id="94"/>
    <w:p>
      <w:pPr>
        <w:ind w:left="1540" w:right="440" w:hanging="547"/>
        <w:spacing w:after="0" w:line="221" w:lineRule="auto"/>
        <w:rPr>
          <w:sz w:val="20"/>
          <w:szCs w:val="20"/>
          <w:color w:val="auto"/>
        </w:rPr>
      </w:pPr>
      <w:r>
        <w:rPr>
          <w:rFonts w:ascii="Times New Roman" w:cs="Times New Roman" w:eastAsia="Times New Roman" w:hAnsi="Times New Roman"/>
          <w:sz w:val="19"/>
          <w:szCs w:val="19"/>
          <w:color w:val="auto"/>
        </w:rPr>
        <w:t xml:space="preserve">10.10 </w:t>
      </w:r>
      <w:r>
        <w:rPr>
          <w:rFonts w:ascii="Times New Roman" w:cs="Times New Roman" w:eastAsia="Times New Roman" w:hAnsi="Times New Roman"/>
          <w:sz w:val="20"/>
          <w:szCs w:val="20"/>
          <w:color w:val="auto"/>
        </w:rPr>
        <w:t>Employment Agreement, dated February 7, 2023, by and between the Company and Gopi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Shankar.</w:t>
      </w:r>
    </w:p>
    <w:p>
      <w:pPr>
        <w:ind w:left="1540" w:right="80" w:hanging="737"/>
        <w:spacing w:after="0" w:line="219" w:lineRule="auto"/>
        <w:rPr>
          <w:sz w:val="20"/>
          <w:szCs w:val="20"/>
          <w:color w:val="auto"/>
        </w:rPr>
      </w:pPr>
      <w:r>
        <w:rPr>
          <w:rFonts w:ascii="Times New Roman" w:cs="Times New Roman" w:eastAsia="Times New Roman" w:hAnsi="Times New Roman"/>
          <w:sz w:val="19"/>
          <w:szCs w:val="19"/>
          <w:color w:val="auto"/>
        </w:rPr>
        <w:t xml:space="preserve">10.11** </w:t>
      </w:r>
      <w:r>
        <w:rPr>
          <w:rFonts w:ascii="Times New Roman" w:cs="Times New Roman" w:eastAsia="Times New Roman" w:hAnsi="Times New Roman"/>
          <w:sz w:val="20"/>
          <w:szCs w:val="20"/>
          <w:color w:val="auto"/>
        </w:rPr>
        <w:t>License Agreement, by and between the Company and Wake Forest University Health</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Sciences, effective as of November 30, 2016. (incorporated by reference to Exhibit 10.6 of the Company’s Quarterly Report on Form 10-Q filed on August 14, 2020).</w:t>
      </w:r>
    </w:p>
    <w:p>
      <w:pPr>
        <w:spacing w:after="0" w:line="1" w:lineRule="exact"/>
        <w:rPr>
          <w:sz w:val="20"/>
          <w:szCs w:val="20"/>
          <w:color w:val="auto"/>
        </w:rPr>
      </w:pPr>
    </w:p>
    <w:p>
      <w:pPr>
        <w:ind w:left="1540" w:right="200" w:hanging="737"/>
        <w:spacing w:after="0" w:line="219" w:lineRule="auto"/>
        <w:rPr>
          <w:sz w:val="20"/>
          <w:szCs w:val="20"/>
          <w:color w:val="auto"/>
        </w:rPr>
      </w:pPr>
      <w:r>
        <w:rPr>
          <w:rFonts w:ascii="Times New Roman" w:cs="Times New Roman" w:eastAsia="Times New Roman" w:hAnsi="Times New Roman"/>
          <w:sz w:val="19"/>
          <w:szCs w:val="19"/>
          <w:color w:val="auto"/>
        </w:rPr>
        <w:t xml:space="preserve">10.12** </w:t>
      </w:r>
      <w:r>
        <w:rPr>
          <w:rFonts w:ascii="Times New Roman" w:cs="Times New Roman" w:eastAsia="Times New Roman" w:hAnsi="Times New Roman"/>
          <w:sz w:val="20"/>
          <w:szCs w:val="20"/>
          <w:color w:val="auto"/>
        </w:rPr>
        <w:t>Amendment 1 to License Agreement, by and between the Company and Wake Forest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University Health Sciences, effective as of November 28, 2017 (incorporated by reference to Exhibit 10.7 of the Company’s Quarterly Report on Form 10-Q filed on August 14, 2020).</w:t>
      </w:r>
    </w:p>
    <w:p>
      <w:pPr>
        <w:spacing w:after="0" w:line="1" w:lineRule="exact"/>
        <w:rPr>
          <w:sz w:val="20"/>
          <w:szCs w:val="20"/>
          <w:color w:val="auto"/>
        </w:rPr>
      </w:pPr>
    </w:p>
    <w:p>
      <w:pPr>
        <w:ind w:left="1540" w:right="400" w:hanging="737"/>
        <w:spacing w:after="0" w:line="219" w:lineRule="auto"/>
        <w:rPr>
          <w:sz w:val="20"/>
          <w:szCs w:val="20"/>
          <w:color w:val="auto"/>
        </w:rPr>
      </w:pPr>
      <w:r>
        <w:rPr>
          <w:rFonts w:ascii="Times New Roman" w:cs="Times New Roman" w:eastAsia="Times New Roman" w:hAnsi="Times New Roman"/>
          <w:sz w:val="19"/>
          <w:szCs w:val="19"/>
          <w:color w:val="auto"/>
        </w:rPr>
        <w:t xml:space="preserve">10.13** </w:t>
      </w:r>
      <w:r>
        <w:rPr>
          <w:rFonts w:ascii="Times New Roman" w:cs="Times New Roman" w:eastAsia="Times New Roman" w:hAnsi="Times New Roman"/>
          <w:sz w:val="20"/>
          <w:szCs w:val="20"/>
          <w:color w:val="auto"/>
        </w:rPr>
        <w:t>Amendment 2 to License Agreement, by and between the Company and Wake Forest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University Health Sciences, effective as of March 29, 2019 (incorporated by reference to Exhibit 10.8 of the Company’s Quarterly Report on Form 10-Q filed on August 14, 2020).</w:t>
      </w:r>
    </w:p>
    <w:p>
      <w:pPr>
        <w:spacing w:after="0" w:line="1" w:lineRule="exact"/>
        <w:rPr>
          <w:sz w:val="20"/>
          <w:szCs w:val="20"/>
          <w:color w:val="auto"/>
        </w:rPr>
      </w:pPr>
    </w:p>
    <w:p>
      <w:pPr>
        <w:ind w:left="1540" w:right="400" w:hanging="737"/>
        <w:spacing w:after="0" w:line="219" w:lineRule="auto"/>
        <w:rPr>
          <w:sz w:val="20"/>
          <w:szCs w:val="20"/>
          <w:color w:val="auto"/>
        </w:rPr>
      </w:pPr>
      <w:r>
        <w:rPr>
          <w:rFonts w:ascii="Times New Roman" w:cs="Times New Roman" w:eastAsia="Times New Roman" w:hAnsi="Times New Roman"/>
          <w:sz w:val="19"/>
          <w:szCs w:val="19"/>
          <w:color w:val="auto"/>
        </w:rPr>
        <w:t xml:space="preserve">10.14** </w:t>
      </w:r>
      <w:r>
        <w:rPr>
          <w:rFonts w:ascii="Times New Roman" w:cs="Times New Roman" w:eastAsia="Times New Roman" w:hAnsi="Times New Roman"/>
          <w:sz w:val="20"/>
          <w:szCs w:val="20"/>
          <w:color w:val="auto"/>
        </w:rPr>
        <w:t>License Agreement, by and between the Company and Indiana University Research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Technology Corporation, effective as of November 30, 2016 (incorporated by reference to Exhibit 10.9 of the Company’s Quarterly Report on Form 10-Q filed on August 14, 2020).</w:t>
      </w:r>
    </w:p>
    <w:p>
      <w:pPr>
        <w:spacing w:after="0" w:line="1" w:lineRule="exact"/>
        <w:rPr>
          <w:sz w:val="20"/>
          <w:szCs w:val="20"/>
          <w:color w:val="auto"/>
        </w:rPr>
      </w:pPr>
    </w:p>
    <w:p>
      <w:pPr>
        <w:ind w:left="1540" w:right="80" w:hanging="737"/>
        <w:spacing w:after="0" w:line="218" w:lineRule="auto"/>
        <w:rPr>
          <w:sz w:val="20"/>
          <w:szCs w:val="20"/>
          <w:color w:val="auto"/>
        </w:rPr>
      </w:pPr>
      <w:r>
        <w:rPr>
          <w:rFonts w:ascii="Times New Roman" w:cs="Times New Roman" w:eastAsia="Times New Roman" w:hAnsi="Times New Roman"/>
          <w:sz w:val="19"/>
          <w:szCs w:val="19"/>
          <w:color w:val="auto"/>
        </w:rPr>
        <w:t xml:space="preserve">10.15** </w:t>
      </w:r>
      <w:r>
        <w:rPr>
          <w:rFonts w:ascii="Times New Roman" w:cs="Times New Roman" w:eastAsia="Times New Roman" w:hAnsi="Times New Roman"/>
          <w:sz w:val="20"/>
          <w:szCs w:val="20"/>
          <w:color w:val="auto"/>
        </w:rPr>
        <w:t>First Amendment to License Agreement, by and between the Company, the Trustee of Indiana</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University and Indiana University Research and Technology Corporation, effective as of August 16, 2019 (incorporated by reference to Exhibit 10.10 of the Company’s Quarterly Report on Form 10-Q filed on August 14, 2020).</w:t>
      </w:r>
    </w:p>
    <w:p>
      <w:pPr>
        <w:spacing w:after="0" w:line="2" w:lineRule="exact"/>
        <w:rPr>
          <w:sz w:val="20"/>
          <w:szCs w:val="20"/>
          <w:color w:val="auto"/>
        </w:rPr>
      </w:pPr>
    </w:p>
    <w:p>
      <w:pPr>
        <w:jc w:val="both"/>
        <w:ind w:left="1540" w:right="80" w:hanging="547"/>
        <w:spacing w:after="0" w:line="219" w:lineRule="auto"/>
        <w:rPr>
          <w:sz w:val="20"/>
          <w:szCs w:val="20"/>
          <w:color w:val="auto"/>
        </w:rPr>
      </w:pPr>
      <w:r>
        <w:rPr>
          <w:rFonts w:ascii="Times New Roman" w:cs="Times New Roman" w:eastAsia="Times New Roman" w:hAnsi="Times New Roman"/>
          <w:sz w:val="19"/>
          <w:szCs w:val="19"/>
          <w:color w:val="auto"/>
        </w:rPr>
        <w:t xml:space="preserve">10.16 </w:t>
      </w:r>
      <w:r>
        <w:rPr>
          <w:rFonts w:ascii="Times New Roman" w:cs="Times New Roman" w:eastAsia="Times New Roman" w:hAnsi="Times New Roman"/>
          <w:sz w:val="20"/>
          <w:szCs w:val="20"/>
          <w:color w:val="auto"/>
        </w:rPr>
        <w:t>Second Amendment to License Agreement, by and between the Company and The Trustees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Indiana University, effective as of May 28, 2020 (incorporated by reference to Exhibit 10.1 to the Company’s Quarterly Report on Form 10-Q filed on August 11, 2022).</w:t>
      </w:r>
    </w:p>
    <w:p>
      <w:pPr>
        <w:spacing w:after="0" w:line="1" w:lineRule="exact"/>
        <w:rPr>
          <w:sz w:val="20"/>
          <w:szCs w:val="20"/>
          <w:color w:val="auto"/>
        </w:rPr>
      </w:pPr>
    </w:p>
    <w:p>
      <w:pPr>
        <w:jc w:val="both"/>
        <w:ind w:left="1540" w:right="220" w:hanging="547"/>
        <w:spacing w:after="0" w:line="219" w:lineRule="auto"/>
        <w:rPr>
          <w:sz w:val="20"/>
          <w:szCs w:val="20"/>
          <w:color w:val="auto"/>
        </w:rPr>
      </w:pPr>
      <w:r>
        <w:rPr>
          <w:rFonts w:ascii="Times New Roman" w:cs="Times New Roman" w:eastAsia="Times New Roman" w:hAnsi="Times New Roman"/>
          <w:sz w:val="19"/>
          <w:szCs w:val="19"/>
          <w:color w:val="auto"/>
        </w:rPr>
        <w:t xml:space="preserve">10.17 </w:t>
      </w:r>
      <w:r>
        <w:rPr>
          <w:rFonts w:ascii="Times New Roman" w:cs="Times New Roman" w:eastAsia="Times New Roman" w:hAnsi="Times New Roman"/>
          <w:sz w:val="20"/>
          <w:szCs w:val="20"/>
          <w:color w:val="auto"/>
        </w:rPr>
        <w:t>Third Amendment to License Agreement, by and between the Company and The Trustees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Indiana University, effective as of June 9, 2022 (incorporated by reference to Exhibit 10.2 to the Company’s Quarterly Report on Form 10-Q filed on August 11, 2022).</w:t>
      </w:r>
    </w:p>
    <w:p>
      <w:pPr>
        <w:spacing w:after="0" w:line="1" w:lineRule="exact"/>
        <w:rPr>
          <w:sz w:val="20"/>
          <w:szCs w:val="20"/>
          <w:color w:val="auto"/>
        </w:rPr>
      </w:pPr>
    </w:p>
    <w:p>
      <w:pPr>
        <w:ind w:left="1540" w:right="100" w:hanging="547"/>
        <w:spacing w:after="0" w:line="219" w:lineRule="auto"/>
        <w:rPr>
          <w:sz w:val="20"/>
          <w:szCs w:val="20"/>
          <w:color w:val="auto"/>
        </w:rPr>
      </w:pPr>
      <w:r>
        <w:rPr>
          <w:rFonts w:ascii="Times New Roman" w:cs="Times New Roman" w:eastAsia="Times New Roman" w:hAnsi="Times New Roman"/>
          <w:sz w:val="19"/>
          <w:szCs w:val="19"/>
          <w:color w:val="auto"/>
        </w:rPr>
        <w:t xml:space="preserve">10.18 </w:t>
      </w:r>
      <w:r>
        <w:rPr>
          <w:rFonts w:ascii="Times New Roman" w:cs="Times New Roman" w:eastAsia="Times New Roman" w:hAnsi="Times New Roman"/>
          <w:sz w:val="20"/>
          <w:szCs w:val="20"/>
          <w:color w:val="auto"/>
        </w:rPr>
        <w:t>Notice of Substitute Option Grant between the Company and a certain Optionee (incorporated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by reference to Exhibit 4.5 of the Company’s Registration Statement on Form S-8 filed on June 26, 2020).</w:t>
      </w:r>
    </w:p>
    <w:p>
      <w:pPr>
        <w:spacing w:after="0" w:line="1" w:lineRule="exact"/>
        <w:rPr>
          <w:sz w:val="20"/>
          <w:szCs w:val="20"/>
          <w:color w:val="auto"/>
        </w:rPr>
      </w:pPr>
    </w:p>
    <w:p>
      <w:pPr>
        <w:ind w:left="1540" w:right="20" w:hanging="620"/>
        <w:spacing w:after="0" w:line="219" w:lineRule="auto"/>
        <w:rPr>
          <w:sz w:val="20"/>
          <w:szCs w:val="20"/>
          <w:color w:val="auto"/>
        </w:rPr>
      </w:pPr>
      <w:r>
        <w:rPr>
          <w:rFonts w:ascii="Times New Roman" w:cs="Times New Roman" w:eastAsia="Times New Roman" w:hAnsi="Times New Roman"/>
          <w:sz w:val="19"/>
          <w:szCs w:val="19"/>
          <w:color w:val="auto"/>
        </w:rPr>
        <w:t>10.19</w:t>
      </w:r>
      <w:r>
        <w:rPr>
          <w:rFonts w:ascii="Times New Roman" w:cs="Times New Roman" w:eastAsia="Times New Roman" w:hAnsi="Times New Roman"/>
          <w:sz w:val="13"/>
          <w:szCs w:val="13"/>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Commercial Lease by and between the Company and Shigo Center Plaza Owner, LLC dated as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of February 12, 2019 (incorporated herein by reference to Exhibit 10.4 of the Registrant’s Form 10-Q filed on May 9, 2019)</w:t>
      </w:r>
      <w:r>
        <w:rPr>
          <w:rFonts w:ascii="Times New Roman" w:cs="Times New Roman" w:eastAsia="Times New Roman" w:hAnsi="Times New Roman"/>
          <w:sz w:val="20"/>
          <w:szCs w:val="20"/>
          <w:u w:val="single" w:color="auto"/>
          <w:color w:val="434343"/>
        </w:rPr>
        <w:t>.</w:t>
      </w:r>
    </w:p>
    <w:p>
      <w:pPr>
        <w:spacing w:after="0" w:line="1" w:lineRule="exact"/>
        <w:rPr>
          <w:sz w:val="20"/>
          <w:szCs w:val="20"/>
          <w:color w:val="auto"/>
        </w:rPr>
      </w:pPr>
    </w:p>
    <w:p>
      <w:pPr>
        <w:jc w:val="both"/>
        <w:ind w:left="1540" w:right="100" w:hanging="620"/>
        <w:spacing w:after="0" w:line="219" w:lineRule="auto"/>
        <w:rPr>
          <w:sz w:val="20"/>
          <w:szCs w:val="20"/>
          <w:color w:val="auto"/>
        </w:rPr>
      </w:pPr>
      <w:r>
        <w:rPr>
          <w:rFonts w:ascii="Times New Roman" w:cs="Times New Roman" w:eastAsia="Times New Roman" w:hAnsi="Times New Roman"/>
          <w:sz w:val="19"/>
          <w:szCs w:val="19"/>
          <w:color w:val="auto"/>
        </w:rPr>
        <w:t>10.20</w:t>
      </w:r>
      <w:r>
        <w:rPr>
          <w:rFonts w:ascii="Times New Roman" w:cs="Times New Roman" w:eastAsia="Times New Roman" w:hAnsi="Times New Roman"/>
          <w:sz w:val="13"/>
          <w:szCs w:val="13"/>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Sublease, dated October 27, 2020 by and between the Company and Massachusetts Municipal</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Association, Inc. (incorporated by reference to Exhibit 10.1 to the Company’s Current Report on Form 8-K filed on October 30, 2020).</w:t>
      </w:r>
    </w:p>
    <w:p>
      <w:pPr>
        <w:spacing w:after="0" w:line="1" w:lineRule="exact"/>
        <w:rPr>
          <w:sz w:val="20"/>
          <w:szCs w:val="20"/>
          <w:color w:val="auto"/>
        </w:rPr>
      </w:pPr>
    </w:p>
    <w:p>
      <w:pPr>
        <w:ind w:left="1540" w:right="320" w:hanging="620"/>
        <w:spacing w:after="0" w:line="219" w:lineRule="auto"/>
        <w:rPr>
          <w:sz w:val="20"/>
          <w:szCs w:val="20"/>
          <w:color w:val="auto"/>
        </w:rPr>
      </w:pPr>
      <w:r>
        <w:rPr>
          <w:rFonts w:ascii="Times New Roman" w:cs="Times New Roman" w:eastAsia="Times New Roman" w:hAnsi="Times New Roman"/>
          <w:sz w:val="19"/>
          <w:szCs w:val="19"/>
          <w:color w:val="auto"/>
        </w:rPr>
        <w:t>10.21</w:t>
      </w:r>
      <w:r>
        <w:rPr>
          <w:rFonts w:ascii="Times New Roman" w:cs="Times New Roman" w:eastAsia="Times New Roman" w:hAnsi="Times New Roman"/>
          <w:sz w:val="13"/>
          <w:szCs w:val="13"/>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Master Services Agreement, dated as of September 20, 2017, by and between the Company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and KBI Biopharma, Inc. (incorporated by reference to Exhibit 10.1 to the Company’s Quarterly Report on Form 10-Q filed on May 10, 2021).</w:t>
      </w:r>
    </w:p>
    <w:p>
      <w:pPr>
        <w:spacing w:after="0" w:line="1" w:lineRule="exact"/>
        <w:rPr>
          <w:sz w:val="20"/>
          <w:szCs w:val="20"/>
          <w:color w:val="auto"/>
        </w:rPr>
      </w:pPr>
    </w:p>
    <w:p>
      <w:pPr>
        <w:ind w:left="1540" w:right="140" w:hanging="620"/>
        <w:spacing w:after="0" w:line="219" w:lineRule="auto"/>
        <w:rPr>
          <w:sz w:val="20"/>
          <w:szCs w:val="20"/>
          <w:color w:val="auto"/>
        </w:rPr>
      </w:pPr>
      <w:r>
        <w:rPr>
          <w:rFonts w:ascii="Times New Roman" w:cs="Times New Roman" w:eastAsia="Times New Roman" w:hAnsi="Times New Roman"/>
          <w:sz w:val="19"/>
          <w:szCs w:val="19"/>
          <w:color w:val="auto"/>
        </w:rPr>
        <w:t>10.22</w:t>
      </w:r>
      <w:r>
        <w:rPr>
          <w:rFonts w:ascii="Times New Roman" w:cs="Times New Roman" w:eastAsia="Times New Roman" w:hAnsi="Times New Roman"/>
          <w:sz w:val="13"/>
          <w:szCs w:val="13"/>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First Amendment to Master Services Agreement, dated as of November 9, 2018, by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between the Company and KBI Biopharma, Inc. (incorporated by reference to Exhibit 10.2 to the Company’s Quarterly Report on Form 10-Q filed on May 10, 2021).</w:t>
      </w:r>
    </w:p>
    <w:p>
      <w:pPr>
        <w:spacing w:after="0" w:line="1" w:lineRule="exact"/>
        <w:rPr>
          <w:sz w:val="20"/>
          <w:szCs w:val="20"/>
          <w:color w:val="auto"/>
        </w:rPr>
      </w:pPr>
    </w:p>
    <w:p>
      <w:pPr>
        <w:ind w:left="1540" w:right="280" w:hanging="685"/>
        <w:spacing w:after="0" w:line="221" w:lineRule="auto"/>
        <w:rPr>
          <w:sz w:val="20"/>
          <w:szCs w:val="20"/>
          <w:color w:val="auto"/>
        </w:rPr>
      </w:pPr>
      <w:r>
        <w:rPr>
          <w:rFonts w:ascii="Times New Roman" w:cs="Times New Roman" w:eastAsia="Times New Roman" w:hAnsi="Times New Roman"/>
          <w:sz w:val="19"/>
          <w:szCs w:val="19"/>
          <w:color w:val="auto"/>
        </w:rPr>
        <w:t>10.23</w:t>
      </w:r>
      <w:r>
        <w:rPr>
          <w:rFonts w:ascii="Times New Roman" w:cs="Times New Roman" w:eastAsia="Times New Roman" w:hAnsi="Times New Roman"/>
          <w:sz w:val="13"/>
          <w:szCs w:val="13"/>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Second Amendment to Master Services Agreement, dated as of September 20, 2022, by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between the Company and KBI Biopharma, Inc.</w:t>
      </w:r>
    </w:p>
    <w:p>
      <w:pPr>
        <w:ind w:left="1000"/>
        <w:spacing w:after="0" w:line="226" w:lineRule="auto"/>
        <w:rPr>
          <w:sz w:val="20"/>
          <w:szCs w:val="20"/>
          <w:color w:val="auto"/>
        </w:rPr>
      </w:pPr>
      <w:r>
        <w:rPr>
          <w:rFonts w:ascii="Times New Roman" w:cs="Times New Roman" w:eastAsia="Times New Roman" w:hAnsi="Times New Roman"/>
          <w:sz w:val="19"/>
          <w:szCs w:val="19"/>
          <w:color w:val="auto"/>
        </w:rPr>
        <w:t xml:space="preserve">21.1* </w:t>
      </w:r>
      <w:r>
        <w:rPr>
          <w:rFonts w:ascii="Times New Roman" w:cs="Times New Roman" w:eastAsia="Times New Roman" w:hAnsi="Times New Roman"/>
          <w:sz w:val="20"/>
          <w:szCs w:val="20"/>
          <w:color w:val="auto"/>
        </w:rPr>
        <w:t>Subsidiaries of Larimar Therapeutics, Inc.</w:t>
      </w:r>
    </w:p>
    <w:p>
      <w:pPr>
        <w:ind w:left="1000"/>
        <w:spacing w:after="0" w:line="227" w:lineRule="auto"/>
        <w:rPr>
          <w:sz w:val="20"/>
          <w:szCs w:val="20"/>
          <w:color w:val="auto"/>
        </w:rPr>
      </w:pPr>
      <w:r>
        <w:rPr>
          <w:rFonts w:ascii="Times New Roman" w:cs="Times New Roman" w:eastAsia="Times New Roman" w:hAnsi="Times New Roman"/>
          <w:sz w:val="19"/>
          <w:szCs w:val="19"/>
          <w:color w:val="auto"/>
        </w:rPr>
        <w:t xml:space="preserve">23.1* </w:t>
      </w:r>
      <w:r>
        <w:rPr>
          <w:rFonts w:ascii="Times New Roman" w:cs="Times New Roman" w:eastAsia="Times New Roman" w:hAnsi="Times New Roman"/>
          <w:sz w:val="20"/>
          <w:szCs w:val="20"/>
          <w:color w:val="auto"/>
        </w:rPr>
        <w:t>Consent of PricewaterhouseCoopers LLP, independent registered public accounting firm.</w:t>
      </w:r>
    </w:p>
    <w:p>
      <w:pPr>
        <w:ind w:left="1000"/>
        <w:spacing w:after="0" w:line="226" w:lineRule="auto"/>
        <w:rPr>
          <w:sz w:val="20"/>
          <w:szCs w:val="20"/>
          <w:color w:val="auto"/>
        </w:rPr>
      </w:pPr>
      <w:r>
        <w:rPr>
          <w:rFonts w:ascii="Times New Roman" w:cs="Times New Roman" w:eastAsia="Times New Roman" w:hAnsi="Times New Roman"/>
          <w:sz w:val="19"/>
          <w:szCs w:val="19"/>
          <w:color w:val="auto"/>
        </w:rPr>
        <w:t xml:space="preserve">31.1* </w:t>
      </w:r>
      <w:r>
        <w:rPr>
          <w:rFonts w:ascii="Times New Roman" w:cs="Times New Roman" w:eastAsia="Times New Roman" w:hAnsi="Times New Roman"/>
          <w:sz w:val="20"/>
          <w:szCs w:val="20"/>
          <w:color w:val="auto"/>
        </w:rPr>
        <w:t>Rule 13a-14(a)/15d-14(a) certification of Principal Executive Officer.</w:t>
      </w:r>
    </w:p>
    <w:p>
      <w:pPr>
        <w:ind w:left="1000"/>
        <w:spacing w:after="0" w:line="227" w:lineRule="auto"/>
        <w:rPr>
          <w:sz w:val="20"/>
          <w:szCs w:val="20"/>
          <w:color w:val="auto"/>
        </w:rPr>
      </w:pPr>
      <w:r>
        <w:rPr>
          <w:rFonts w:ascii="Times New Roman" w:cs="Times New Roman" w:eastAsia="Times New Roman" w:hAnsi="Times New Roman"/>
          <w:sz w:val="19"/>
          <w:szCs w:val="19"/>
          <w:color w:val="auto"/>
        </w:rPr>
        <w:t xml:space="preserve">31.2* </w:t>
      </w:r>
      <w:r>
        <w:rPr>
          <w:rFonts w:ascii="Times New Roman" w:cs="Times New Roman" w:eastAsia="Times New Roman" w:hAnsi="Times New Roman"/>
          <w:sz w:val="20"/>
          <w:szCs w:val="20"/>
          <w:color w:val="auto"/>
        </w:rPr>
        <w:t>Rule 13a-14(a)/15d-14(a) certification of Principal Financial Officer.</w:t>
      </w:r>
    </w:p>
    <w:p>
      <w:pPr>
        <w:ind w:left="1540" w:hanging="642"/>
        <w:spacing w:after="0" w:line="221" w:lineRule="auto"/>
        <w:rPr>
          <w:sz w:val="20"/>
          <w:szCs w:val="20"/>
          <w:color w:val="auto"/>
        </w:rPr>
      </w:pPr>
      <w:r>
        <w:rPr>
          <w:rFonts w:ascii="Times New Roman" w:cs="Times New Roman" w:eastAsia="Times New Roman" w:hAnsi="Times New Roman"/>
          <w:sz w:val="19"/>
          <w:szCs w:val="19"/>
          <w:color w:val="auto"/>
        </w:rPr>
        <w:t xml:space="preserve">32.1** </w:t>
      </w:r>
      <w:r>
        <w:rPr>
          <w:rFonts w:ascii="Times New Roman" w:cs="Times New Roman" w:eastAsia="Times New Roman" w:hAnsi="Times New Roman"/>
          <w:sz w:val="20"/>
          <w:szCs w:val="20"/>
          <w:color w:val="auto"/>
        </w:rPr>
        <w:t>Section 1350 certification of the Principal Executive Officer and Principal Financial Officer, as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adopted pursuant to Section 906 of the Sarbanes-Oxley Act of 2002 (furnished herewith).</w:t>
      </w:r>
    </w:p>
    <w:p>
      <w:pPr>
        <w:ind w:left="760"/>
        <w:spacing w:after="0" w:line="226" w:lineRule="auto"/>
        <w:rPr>
          <w:sz w:val="20"/>
          <w:szCs w:val="20"/>
          <w:color w:val="auto"/>
        </w:rPr>
      </w:pPr>
      <w:r>
        <w:rPr>
          <w:rFonts w:ascii="Times New Roman" w:cs="Times New Roman" w:eastAsia="Times New Roman" w:hAnsi="Times New Roman"/>
          <w:sz w:val="20"/>
          <w:szCs w:val="20"/>
          <w:color w:val="auto"/>
        </w:rPr>
        <w:t>101.INS Inline XBRL Instance Document</w:t>
      </w:r>
    </w:p>
    <w:p>
      <w:pPr>
        <w:ind w:left="680"/>
        <w:spacing w:after="0" w:line="227" w:lineRule="auto"/>
        <w:rPr>
          <w:sz w:val="20"/>
          <w:szCs w:val="20"/>
          <w:color w:val="auto"/>
        </w:rPr>
      </w:pPr>
      <w:r>
        <w:rPr>
          <w:rFonts w:ascii="Times New Roman" w:cs="Times New Roman" w:eastAsia="Times New Roman" w:hAnsi="Times New Roman"/>
          <w:sz w:val="20"/>
          <w:szCs w:val="20"/>
          <w:color w:val="auto"/>
        </w:rPr>
        <w:t>101.SCH Inline XBRL Taxonomy Extension Schema Document</w:t>
      </w:r>
    </w:p>
    <w:p>
      <w:pPr>
        <w:ind w:left="680"/>
        <w:spacing w:after="0" w:line="226" w:lineRule="auto"/>
        <w:rPr>
          <w:sz w:val="20"/>
          <w:szCs w:val="20"/>
          <w:color w:val="auto"/>
        </w:rPr>
      </w:pPr>
      <w:r>
        <w:rPr>
          <w:rFonts w:ascii="Times New Roman" w:cs="Times New Roman" w:eastAsia="Times New Roman" w:hAnsi="Times New Roman"/>
          <w:sz w:val="20"/>
          <w:szCs w:val="20"/>
          <w:color w:val="auto"/>
        </w:rPr>
        <w:t>101.CAL Inline XBRL Taxonomy Extension Calculation Linkbase Document</w:t>
      </w:r>
    </w:p>
    <w:p>
      <w:pPr>
        <w:ind w:left="700"/>
        <w:spacing w:after="0" w:line="227" w:lineRule="auto"/>
        <w:rPr>
          <w:sz w:val="20"/>
          <w:szCs w:val="20"/>
          <w:color w:val="auto"/>
        </w:rPr>
      </w:pPr>
      <w:r>
        <w:rPr>
          <w:rFonts w:ascii="Times New Roman" w:cs="Times New Roman" w:eastAsia="Times New Roman" w:hAnsi="Times New Roman"/>
          <w:sz w:val="20"/>
          <w:szCs w:val="20"/>
          <w:color w:val="auto"/>
        </w:rPr>
        <w:t>101.DEF Inline XBRL Taxonomy Extension Definition Linkbase Document</w:t>
      </w:r>
    </w:p>
    <w:p>
      <w:pPr>
        <w:ind w:left="680"/>
        <w:spacing w:after="0" w:line="226" w:lineRule="auto"/>
        <w:rPr>
          <w:sz w:val="20"/>
          <w:szCs w:val="20"/>
          <w:color w:val="auto"/>
        </w:rPr>
      </w:pPr>
      <w:r>
        <w:rPr>
          <w:rFonts w:ascii="Times New Roman" w:cs="Times New Roman" w:eastAsia="Times New Roman" w:hAnsi="Times New Roman"/>
          <w:sz w:val="20"/>
          <w:szCs w:val="20"/>
          <w:color w:val="auto"/>
        </w:rPr>
        <w:t>101.LAB Inline XBRL Taxonomy Extension Label Linkbase Document</w:t>
      </w:r>
    </w:p>
    <w:p>
      <w:pPr>
        <w:ind w:left="700"/>
        <w:spacing w:after="0"/>
        <w:rPr>
          <w:sz w:val="20"/>
          <w:szCs w:val="20"/>
          <w:color w:val="auto"/>
        </w:rPr>
      </w:pPr>
      <w:r>
        <w:rPr>
          <w:rFonts w:ascii="Times New Roman" w:cs="Times New Roman" w:eastAsia="Times New Roman" w:hAnsi="Times New Roman"/>
          <w:sz w:val="20"/>
          <w:szCs w:val="20"/>
          <w:color w:val="auto"/>
        </w:rPr>
        <w:t>101.PRE Inline XBRL Taxonomy Extension Presentation Linkbase Document</w:t>
      </w:r>
    </w:p>
    <w:p>
      <w:pPr>
        <w:spacing w:after="0" w:line="6" w:lineRule="exact"/>
        <w:rPr>
          <w:sz w:val="20"/>
          <w:szCs w:val="20"/>
          <w:color w:val="auto"/>
        </w:rPr>
      </w:pPr>
    </w:p>
    <w:p>
      <w:pPr>
        <w:ind w:left="1540" w:hanging="417"/>
        <w:spacing w:after="0"/>
        <w:tabs>
          <w:tab w:leader="none" w:pos="15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39" w:lineRule="exact"/>
        <w:rPr>
          <w:rFonts w:ascii="Times New Roman" w:cs="Times New Roman" w:eastAsia="Times New Roman" w:hAnsi="Times New Roman"/>
          <w:sz w:val="20"/>
          <w:szCs w:val="20"/>
          <w:color w:val="auto"/>
        </w:rPr>
      </w:pPr>
    </w:p>
    <w:p>
      <w:pPr>
        <w:ind w:left="800" w:right="6640" w:hanging="980"/>
        <w:spacing w:after="0" w:line="4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ITEM 16. Form 10-K Summary </w:t>
      </w:r>
      <w:r>
        <w:rPr>
          <w:rFonts w:ascii="Times New Roman" w:cs="Times New Roman" w:eastAsia="Times New Roman" w:hAnsi="Times New Roman"/>
          <w:sz w:val="20"/>
          <w:szCs w:val="20"/>
          <w:color w:val="auto"/>
        </w:rPr>
        <w:t>None.</w:t>
      </w:r>
    </w:p>
    <w:p>
      <w:pPr>
        <w:sectPr>
          <w:pgSz w:w="11880" w:h="15480" w:orient="portrait"/>
          <w:cols w:equalWidth="0" w:num="1">
            <w:col w:w="9180"/>
          </w:cols>
          <w:pgMar w:left="1440" w:top="1225"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93</w:t>
      </w:r>
    </w:p>
    <w:p>
      <w:pPr>
        <w:sectPr>
          <w:pgSz w:w="11880" w:h="15480" w:orient="portrait"/>
          <w:cols w:equalWidth="0" w:num="1">
            <w:col w:w="9180"/>
          </w:cols>
          <w:pgMar w:left="1440" w:top="1225" w:right="1260" w:bottom="0" w:gutter="0" w:footer="0" w:header="0"/>
          <w:type w:val="continuous"/>
        </w:sectPr>
      </w:pPr>
    </w:p>
    <w:bookmarkStart w:id="95" w:name="page96"/>
    <w:bookmarkEnd w:id="95"/>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3" w:lineRule="exact"/>
        <w:rPr>
          <w:sz w:val="20"/>
          <w:szCs w:val="20"/>
          <w:color w:val="auto"/>
        </w:rPr>
      </w:pPr>
    </w:p>
    <w:p>
      <w:pPr>
        <w:ind w:right="20" w:firstLine="49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23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LARIMAR THERAPEUTICS, INC.</w:t>
      </w:r>
    </w:p>
    <w:p>
      <w:pPr>
        <w:spacing w:after="0" w:line="25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By: /s/ Carole Ben-Maimon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3196590</wp:posOffset>
            </wp:positionH>
            <wp:positionV relativeFrom="paragraph">
              <wp:posOffset>19685</wp:posOffset>
            </wp:positionV>
            <wp:extent cx="2747010"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47010" cy="12700"/>
                    </a:xfrm>
                    <a:prstGeom prst="rect">
                      <a:avLst/>
                    </a:prstGeom>
                    <a:noFill/>
                  </pic:spPr>
                </pic:pic>
              </a:graphicData>
            </a:graphic>
          </wp:anchor>
        </w:drawing>
      </w:r>
    </w:p>
    <w:p>
      <w:pPr>
        <w:spacing w:after="0" w:line="2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Name: Carole Ben-Maimon</w:t>
      </w:r>
    </w:p>
    <w:p>
      <w:pPr>
        <w:spacing w:after="0" w:line="1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color w:val="auto"/>
        </w:rPr>
        <w:t>Title: President and Chief Executive Officer</w:t>
      </w:r>
    </w:p>
    <w:p>
      <w:pPr>
        <w:spacing w:after="0" w:line="143" w:lineRule="exact"/>
        <w:rPr>
          <w:sz w:val="20"/>
          <w:szCs w:val="20"/>
          <w:color w:val="auto"/>
        </w:rPr>
      </w:pPr>
    </w:p>
    <w:p>
      <w:pPr>
        <w:ind w:right="520" w:firstLine="490"/>
        <w:spacing w:after="0" w:line="27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by the following persons on behalf of the registrant and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Signature</w:t>
            </w:r>
          </w:p>
        </w:tc>
        <w:tc>
          <w:tcPr>
            <w:tcW w:w="240" w:type="dxa"/>
            <w:vAlign w:val="bottom"/>
          </w:tcPr>
          <w:p>
            <w:pPr>
              <w:spacing w:after="0"/>
              <w:rPr>
                <w:sz w:val="22"/>
                <w:szCs w:val="22"/>
                <w:color w:val="auto"/>
              </w:rPr>
            </w:pP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240" w:type="dxa"/>
            <w:vAlign w:val="bottom"/>
          </w:tcPr>
          <w:p>
            <w:pPr>
              <w:spacing w:after="0"/>
              <w:rPr>
                <w:sz w:val="22"/>
                <w:szCs w:val="22"/>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Date</w:t>
            </w:r>
          </w:p>
        </w:tc>
        <w:tc>
          <w:tcPr>
            <w:tcW w:w="0" w:type="dxa"/>
            <w:vAlign w:val="bottom"/>
          </w:tcPr>
          <w:p>
            <w:pPr>
              <w:spacing w:after="0"/>
              <w:rPr>
                <w:sz w:val="1"/>
                <w:szCs w:val="1"/>
                <w:color w:val="auto"/>
              </w:rPr>
            </w:pPr>
          </w:p>
        </w:tc>
      </w:tr>
      <w:tr>
        <w:trPr>
          <w:trHeight w:val="490"/>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Carole Ben-Maimon</w:t>
            </w:r>
          </w:p>
        </w:tc>
        <w:tc>
          <w:tcPr>
            <w:tcW w:w="24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President, Chief Executive Officer and</w:t>
            </w:r>
          </w:p>
        </w:tc>
        <w:tc>
          <w:tcPr>
            <w:tcW w:w="24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14, 2023</w:t>
            </w:r>
          </w:p>
        </w:tc>
        <w:tc>
          <w:tcPr>
            <w:tcW w:w="0" w:type="dxa"/>
            <w:vAlign w:val="bottom"/>
          </w:tcPr>
          <w:p>
            <w:pPr>
              <w:spacing w:after="0"/>
              <w:rPr>
                <w:sz w:val="1"/>
                <w:szCs w:val="1"/>
                <w:color w:val="auto"/>
              </w:rPr>
            </w:pPr>
          </w:p>
        </w:tc>
      </w:tr>
      <w:tr>
        <w:trPr>
          <w:trHeight w:val="122"/>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Carole Ben-Maimon</w:t>
            </w:r>
          </w:p>
        </w:tc>
        <w:tc>
          <w:tcPr>
            <w:tcW w:w="240" w:type="dxa"/>
            <w:vAlign w:val="bottom"/>
          </w:tcPr>
          <w:p>
            <w:pPr>
              <w:spacing w:after="0"/>
              <w:rPr>
                <w:sz w:val="10"/>
                <w:szCs w:val="10"/>
                <w:color w:val="auto"/>
              </w:rPr>
            </w:pPr>
          </w:p>
        </w:tc>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Director (principal executive officer)</w:t>
            </w:r>
          </w:p>
        </w:tc>
        <w:tc>
          <w:tcPr>
            <w:tcW w:w="2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2"/>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Michael Celano</w:t>
            </w:r>
          </w:p>
        </w:tc>
        <w:tc>
          <w:tcPr>
            <w:tcW w:w="240" w:type="dxa"/>
            <w:vAlign w:val="bottom"/>
          </w:tcPr>
          <w:p>
            <w:pPr>
              <w:spacing w:after="0"/>
              <w:rPr>
                <w:sz w:val="24"/>
                <w:szCs w:val="24"/>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Financial Officer</w:t>
            </w:r>
          </w:p>
        </w:tc>
        <w:tc>
          <w:tcPr>
            <w:tcW w:w="24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14, 2023</w:t>
            </w:r>
          </w:p>
        </w:tc>
        <w:tc>
          <w:tcPr>
            <w:tcW w:w="0" w:type="dxa"/>
            <w:vAlign w:val="bottom"/>
          </w:tcPr>
          <w:p>
            <w:pPr>
              <w:spacing w:after="0"/>
              <w:rPr>
                <w:sz w:val="1"/>
                <w:szCs w:val="1"/>
                <w:color w:val="auto"/>
              </w:rPr>
            </w:pPr>
          </w:p>
        </w:tc>
      </w:tr>
      <w:tr>
        <w:trPr>
          <w:trHeight w:val="122"/>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Michael Celano</w:t>
            </w:r>
          </w:p>
        </w:tc>
        <w:tc>
          <w:tcPr>
            <w:tcW w:w="240" w:type="dxa"/>
            <w:vAlign w:val="bottom"/>
          </w:tcPr>
          <w:p>
            <w:pPr>
              <w:spacing w:after="0"/>
              <w:rPr>
                <w:sz w:val="10"/>
                <w:szCs w:val="10"/>
                <w:color w:val="auto"/>
              </w:rPr>
            </w:pPr>
          </w:p>
        </w:tc>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(principal financial and accounting officer)</w:t>
            </w:r>
          </w:p>
        </w:tc>
        <w:tc>
          <w:tcPr>
            <w:tcW w:w="2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2"/>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Joseph Truitt</w:t>
            </w:r>
          </w:p>
        </w:tc>
        <w:tc>
          <w:tcPr>
            <w:tcW w:w="240" w:type="dxa"/>
            <w:vAlign w:val="bottom"/>
          </w:tcPr>
          <w:p>
            <w:pPr>
              <w:spacing w:after="0"/>
              <w:rPr>
                <w:sz w:val="24"/>
                <w:szCs w:val="24"/>
                <w:color w:val="auto"/>
              </w:rPr>
            </w:pPr>
          </w:p>
        </w:tc>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Chairman, Board of Directors</w:t>
            </w:r>
          </w:p>
        </w:tc>
        <w:tc>
          <w:tcPr>
            <w:tcW w:w="24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14, 2023</w:t>
            </w:r>
          </w:p>
        </w:tc>
        <w:tc>
          <w:tcPr>
            <w:tcW w:w="0" w:type="dxa"/>
            <w:vAlign w:val="bottom"/>
          </w:tcPr>
          <w:p>
            <w:pPr>
              <w:spacing w:after="0"/>
              <w:rPr>
                <w:sz w:val="1"/>
                <w:szCs w:val="1"/>
                <w:color w:val="auto"/>
              </w:rPr>
            </w:pPr>
          </w:p>
        </w:tc>
      </w:tr>
      <w:tr>
        <w:trPr>
          <w:trHeight w:val="122"/>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Joseph Truitt</w:t>
            </w:r>
          </w:p>
        </w:tc>
        <w:tc>
          <w:tcPr>
            <w:tcW w:w="24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2"/>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/s/ Peter Barrett</w:t>
            </w:r>
          </w:p>
        </w:tc>
        <w:tc>
          <w:tcPr>
            <w:tcW w:w="240" w:type="dxa"/>
            <w:vAlign w:val="bottom"/>
          </w:tcPr>
          <w:p>
            <w:pPr>
              <w:spacing w:after="0"/>
              <w:rPr>
                <w:sz w:val="24"/>
                <w:szCs w:val="24"/>
                <w:color w:val="auto"/>
              </w:rPr>
            </w:pPr>
          </w:p>
        </w:tc>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14, 2023</w:t>
            </w:r>
          </w:p>
        </w:tc>
        <w:tc>
          <w:tcPr>
            <w:tcW w:w="0" w:type="dxa"/>
            <w:vAlign w:val="bottom"/>
          </w:tcPr>
          <w:p>
            <w:pPr>
              <w:spacing w:after="0"/>
              <w:rPr>
                <w:sz w:val="1"/>
                <w:szCs w:val="1"/>
                <w:color w:val="auto"/>
              </w:rPr>
            </w:pPr>
          </w:p>
        </w:tc>
      </w:tr>
      <w:tr>
        <w:trPr>
          <w:trHeight w:val="122"/>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Peter Barrett</w:t>
            </w:r>
          </w:p>
        </w:tc>
        <w:tc>
          <w:tcPr>
            <w:tcW w:w="24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2"/>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Frank E. Thomas</w:t>
            </w:r>
          </w:p>
        </w:tc>
        <w:tc>
          <w:tcPr>
            <w:tcW w:w="240" w:type="dxa"/>
            <w:vAlign w:val="bottom"/>
          </w:tcPr>
          <w:p>
            <w:pPr>
              <w:spacing w:after="0"/>
              <w:rPr>
                <w:sz w:val="24"/>
                <w:szCs w:val="24"/>
                <w:color w:val="auto"/>
              </w:rPr>
            </w:pPr>
          </w:p>
        </w:tc>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14, 2023</w:t>
            </w:r>
          </w:p>
        </w:tc>
        <w:tc>
          <w:tcPr>
            <w:tcW w:w="0" w:type="dxa"/>
            <w:vAlign w:val="bottom"/>
          </w:tcPr>
          <w:p>
            <w:pPr>
              <w:spacing w:after="0"/>
              <w:rPr>
                <w:sz w:val="1"/>
                <w:szCs w:val="1"/>
                <w:color w:val="auto"/>
              </w:rPr>
            </w:pPr>
          </w:p>
        </w:tc>
      </w:tr>
      <w:tr>
        <w:trPr>
          <w:trHeight w:val="122"/>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Frank E. Thomas</w:t>
            </w:r>
          </w:p>
        </w:tc>
        <w:tc>
          <w:tcPr>
            <w:tcW w:w="24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2"/>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Jonathan Leff</w:t>
            </w:r>
          </w:p>
        </w:tc>
        <w:tc>
          <w:tcPr>
            <w:tcW w:w="240" w:type="dxa"/>
            <w:vAlign w:val="bottom"/>
          </w:tcPr>
          <w:p>
            <w:pPr>
              <w:spacing w:after="0"/>
              <w:rPr>
                <w:sz w:val="24"/>
                <w:szCs w:val="24"/>
                <w:color w:val="auto"/>
              </w:rPr>
            </w:pPr>
          </w:p>
        </w:tc>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14, 2023</w:t>
            </w:r>
          </w:p>
        </w:tc>
        <w:tc>
          <w:tcPr>
            <w:tcW w:w="0" w:type="dxa"/>
            <w:vAlign w:val="bottom"/>
          </w:tcPr>
          <w:p>
            <w:pPr>
              <w:spacing w:after="0"/>
              <w:rPr>
                <w:sz w:val="1"/>
                <w:szCs w:val="1"/>
                <w:color w:val="auto"/>
              </w:rPr>
            </w:pPr>
          </w:p>
        </w:tc>
      </w:tr>
      <w:tr>
        <w:trPr>
          <w:trHeight w:val="122"/>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Jonathan Leff</w:t>
            </w:r>
          </w:p>
        </w:tc>
        <w:tc>
          <w:tcPr>
            <w:tcW w:w="24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2"/>
        </w:trPr>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Thomas E. Hamilton</w:t>
            </w:r>
          </w:p>
        </w:tc>
        <w:tc>
          <w:tcPr>
            <w:tcW w:w="240" w:type="dxa"/>
            <w:vAlign w:val="bottom"/>
          </w:tcPr>
          <w:p>
            <w:pPr>
              <w:spacing w:after="0"/>
              <w:rPr>
                <w:sz w:val="24"/>
                <w:szCs w:val="24"/>
                <w:color w:val="auto"/>
              </w:rPr>
            </w:pPr>
          </w:p>
        </w:tc>
        <w:tc>
          <w:tcPr>
            <w:tcW w:w="3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240" w:type="dxa"/>
            <w:vAlign w:val="bottom"/>
          </w:tcPr>
          <w:p>
            <w:pPr>
              <w:spacing w:after="0"/>
              <w:rPr>
                <w:sz w:val="24"/>
                <w:szCs w:val="24"/>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March 14, 2023</w:t>
            </w:r>
          </w:p>
        </w:tc>
        <w:tc>
          <w:tcPr>
            <w:tcW w:w="0" w:type="dxa"/>
            <w:vAlign w:val="bottom"/>
          </w:tcPr>
          <w:p>
            <w:pPr>
              <w:spacing w:after="0"/>
              <w:rPr>
                <w:sz w:val="1"/>
                <w:szCs w:val="1"/>
                <w:color w:val="auto"/>
              </w:rPr>
            </w:pPr>
          </w:p>
        </w:tc>
      </w:tr>
      <w:tr>
        <w:trPr>
          <w:trHeight w:val="122"/>
        </w:trPr>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Thomas E. Hamilton</w:t>
            </w:r>
          </w:p>
        </w:tc>
        <w:tc>
          <w:tcPr>
            <w:tcW w:w="240" w:type="dxa"/>
            <w:vAlign w:val="bottom"/>
          </w:tcPr>
          <w:p>
            <w:pPr>
              <w:spacing w:after="0"/>
              <w:rPr>
                <w:sz w:val="10"/>
                <w:szCs w:val="10"/>
                <w:color w:val="auto"/>
              </w:rPr>
            </w:pPr>
          </w:p>
        </w:tc>
        <w:tc>
          <w:tcPr>
            <w:tcW w:w="3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30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1953260</wp:posOffset>
            </wp:positionH>
            <wp:positionV relativeFrom="paragraph">
              <wp:posOffset>-3363595</wp:posOffset>
            </wp:positionV>
            <wp:extent cx="158750"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8750" cy="12700"/>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-3363595</wp:posOffset>
            </wp:positionV>
            <wp:extent cx="158750"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8750" cy="1270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-3039745</wp:posOffset>
            </wp:positionV>
            <wp:extent cx="158750"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8750" cy="1270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-2563495</wp:posOffset>
            </wp:positionV>
            <wp:extent cx="158750"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750" cy="1270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-2087245</wp:posOffset>
            </wp:positionV>
            <wp:extent cx="158750"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8750" cy="1270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-1610995</wp:posOffset>
            </wp:positionV>
            <wp:extent cx="158750"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8750" cy="1270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-1134745</wp:posOffset>
            </wp:positionV>
            <wp:extent cx="158750"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8750" cy="1270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-658495</wp:posOffset>
            </wp:positionV>
            <wp:extent cx="158750"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8750" cy="12700"/>
                    </a:xfrm>
                    <a:prstGeom prst="rect">
                      <a:avLst/>
                    </a:prstGeom>
                    <a:noFill/>
                  </pic:spPr>
                </pic:pic>
              </a:graphicData>
            </a:graphic>
          </wp:anchor>
        </w:drawing>
        <w:drawing>
          <wp:anchor simplePos="0" relativeHeight="251657728" behindDoc="1" locked="0" layoutInCell="0" allowOverlap="1">
            <wp:simplePos x="0" y="0"/>
            <wp:positionH relativeFrom="column">
              <wp:posOffset>1953260</wp:posOffset>
            </wp:positionH>
            <wp:positionV relativeFrom="paragraph">
              <wp:posOffset>-182245</wp:posOffset>
            </wp:positionV>
            <wp:extent cx="158750"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8750" cy="12700"/>
                    </a:xfrm>
                    <a:prstGeom prst="rect">
                      <a:avLst/>
                    </a:prstGeom>
                    <a:noFill/>
                  </pic:spPr>
                </pic:pic>
              </a:graphicData>
            </a:graphic>
          </wp:anchor>
        </w:drawing>
      </w:r>
    </w:p>
    <w:p>
      <w:pPr>
        <w:sectPr>
          <w:pgSz w:w="11880" w:h="15480" w:orient="portrait"/>
          <w:cols w:equalWidth="0" w:num="1">
            <w:col w:w="9280"/>
          </w:cols>
          <w:pgMar w:left="1260" w:top="1235" w:right="13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94</w:t>
      </w:r>
    </w:p>
    <w:p>
      <w:pPr>
        <w:sectPr>
          <w:pgSz w:w="11880" w:h="15480" w:orient="portrait"/>
          <w:cols w:equalWidth="0" w:num="1">
            <w:col w:w="9280"/>
          </w:cols>
          <w:pgMar w:left="1260" w:top="1235" w:right="1340" w:bottom="0" w:gutter="0" w:footer="0" w:header="0"/>
          <w:type w:val="continuous"/>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color w:val="auto"/>
        </w:rPr>
        <w:t>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800" w:type="dxa"/>
            <w:vAlign w:val="bottom"/>
          </w:tcPr>
          <w:p>
            <w:pPr>
              <w:spacing w:after="0"/>
              <w:rPr>
                <w:sz w:val="17"/>
                <w:szCs w:val="17"/>
                <w:color w:val="auto"/>
              </w:rPr>
            </w:pPr>
          </w:p>
        </w:tc>
        <w:tc>
          <w:tcPr>
            <w:tcW w:w="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352"/>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(PCAOB ID 238)</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F-1</w:t>
            </w:r>
          </w:p>
        </w:tc>
      </w:tr>
      <w:tr>
        <w:trPr>
          <w:trHeight w:val="4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Balance Sheets as of December 31, 2022 and 2021</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F-3</w:t>
            </w:r>
          </w:p>
        </w:tc>
      </w:tr>
      <w:tr>
        <w:trPr>
          <w:trHeight w:val="422"/>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for the years ended December 31, 2022 and</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F-4</w:t>
            </w:r>
          </w:p>
        </w:tc>
      </w:tr>
      <w:tr>
        <w:trPr>
          <w:trHeight w:val="268"/>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2021</w:t>
            </w:r>
          </w:p>
        </w:tc>
        <w:tc>
          <w:tcPr>
            <w:tcW w:w="560" w:type="dxa"/>
            <w:vAlign w:val="bottom"/>
          </w:tcPr>
          <w:p>
            <w:pPr>
              <w:spacing w:after="0"/>
              <w:rPr>
                <w:sz w:val="23"/>
                <w:szCs w:val="23"/>
                <w:color w:val="auto"/>
              </w:rPr>
            </w:pPr>
          </w:p>
        </w:tc>
      </w:tr>
      <w:tr>
        <w:trPr>
          <w:trHeight w:val="422"/>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Changes in Stockholders Equity for the years ended December 31, 2022 and</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F-5</w:t>
            </w:r>
          </w:p>
        </w:tc>
      </w:tr>
      <w:tr>
        <w:trPr>
          <w:trHeight w:val="268"/>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2021</w:t>
            </w:r>
          </w:p>
        </w:tc>
        <w:tc>
          <w:tcPr>
            <w:tcW w:w="560" w:type="dxa"/>
            <w:vAlign w:val="bottom"/>
          </w:tcPr>
          <w:p>
            <w:pPr>
              <w:spacing w:after="0"/>
              <w:rPr>
                <w:sz w:val="23"/>
                <w:szCs w:val="23"/>
                <w:color w:val="auto"/>
              </w:rPr>
            </w:pPr>
          </w:p>
        </w:tc>
      </w:tr>
      <w:tr>
        <w:trPr>
          <w:trHeight w:val="4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Consolidated Statements of Cash Flows for the years ended December 31, 2022 and 2021</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F-6</w:t>
            </w:r>
          </w:p>
        </w:tc>
      </w:tr>
      <w:tr>
        <w:trPr>
          <w:trHeight w:val="460"/>
        </w:trPr>
        <w:tc>
          <w:tcPr>
            <w:tcW w:w="8800" w:type="dxa"/>
            <w:vAlign w:val="bottom"/>
          </w:tcPr>
          <w:p>
            <w:pPr>
              <w:spacing w:after="0"/>
              <w:rPr>
                <w:sz w:val="20"/>
                <w:szCs w:val="20"/>
                <w:color w:val="auto"/>
              </w:rPr>
            </w:pPr>
            <w:r>
              <w:rPr>
                <w:rFonts w:ascii="Times New Roman" w:cs="Times New Roman" w:eastAsia="Times New Roman" w:hAnsi="Times New Roman"/>
                <w:sz w:val="20"/>
                <w:szCs w:val="20"/>
                <w:color w:val="auto"/>
              </w:rPr>
              <w:t>Notes to Consolidated Financial Statements</w:t>
            </w:r>
          </w:p>
        </w:tc>
        <w:tc>
          <w:tcPr>
            <w:tcW w:w="560" w:type="dxa"/>
            <w:vAlign w:val="bottom"/>
          </w:tcPr>
          <w:p>
            <w:pPr>
              <w:ind w:left="280"/>
              <w:spacing w:after="0"/>
              <w:rPr>
                <w:sz w:val="20"/>
                <w:szCs w:val="20"/>
                <w:color w:val="auto"/>
              </w:rPr>
            </w:pPr>
            <w:r>
              <w:rPr>
                <w:rFonts w:ascii="Times New Roman" w:cs="Times New Roman" w:eastAsia="Times New Roman" w:hAnsi="Times New Roman"/>
                <w:sz w:val="20"/>
                <w:szCs w:val="20"/>
                <w:color w:val="auto"/>
                <w:w w:val="93"/>
              </w:rPr>
              <w:t>F-7</w:t>
            </w:r>
          </w:p>
        </w:tc>
      </w:tr>
    </w:tbl>
    <w:p>
      <w:pPr>
        <w:spacing w:after="0" w:line="200" w:lineRule="exact"/>
        <w:rPr>
          <w:sz w:val="20"/>
          <w:szCs w:val="20"/>
          <w:color w:val="auto"/>
        </w:rPr>
      </w:pPr>
    </w:p>
    <w:p>
      <w:pPr>
        <w:sectPr>
          <w:pgSz w:w="11880" w:h="15480" w:orient="portrait"/>
          <w:cols w:equalWidth="0" w:num="1">
            <w:col w:w="9360"/>
          </w:cols>
          <w:pgMar w:left="1260" w:top="1235"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95</w:t>
      </w:r>
    </w:p>
    <w:p>
      <w:pPr>
        <w:sectPr>
          <w:pgSz w:w="11880" w:h="15480" w:orient="portrait"/>
          <w:cols w:equalWidth="0" w:num="1">
            <w:col w:w="9360"/>
          </w:cols>
          <w:pgMar w:left="1260" w:top="1235" w:right="1260" w:bottom="0" w:gutter="0" w:footer="0" w:header="0"/>
          <w:type w:val="continuous"/>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[THIS PAGE INTENTIONALLY LEFT BLANK]</w:t>
      </w:r>
    </w:p>
    <w:p>
      <w:pPr>
        <w:sectPr>
          <w:pgSz w:w="11880" w:h="15480" w:orient="portrait"/>
          <w:cols w:equalWidth="0" w:num="1">
            <w:col w:w="9000"/>
          </w:cols>
          <w:pgMar w:left="1440" w:top="1440" w:right="1440" w:bottom="1440" w:gutter="0" w:footer="0" w:header="0"/>
        </w:sectPr>
      </w:pPr>
    </w:p>
    <w:bookmarkStart w:id="98" w:name="page99"/>
    <w:bookmarkEnd w:id="98"/>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365" w:lineRule="exact"/>
        <w:rPr>
          <w:sz w:val="20"/>
          <w:szCs w:val="20"/>
          <w:color w:val="auto"/>
        </w:rPr>
      </w:pPr>
    </w:p>
    <w:p>
      <w:pPr>
        <w:spacing w:after="0"/>
        <w:rPr>
          <w:sz w:val="20"/>
          <w:szCs w:val="20"/>
          <w:color w:val="auto"/>
        </w:rPr>
      </w:pPr>
      <w:r>
        <w:rPr>
          <w:rFonts w:ascii="Georgia" w:cs="Georgia" w:eastAsia="Georgia" w:hAnsi="Georgia"/>
          <w:sz w:val="20"/>
          <w:szCs w:val="20"/>
          <w:color w:val="auto"/>
        </w:rPr>
        <w:t>To the Board of Directors and Stockholders of Larimar Therapeutics, Inc.</w:t>
      </w:r>
    </w:p>
    <w:p>
      <w:pPr>
        <w:spacing w:after="0" w:line="111"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Opinion on the Financial Statements</w:t>
      </w:r>
    </w:p>
    <w:p>
      <w:pPr>
        <w:spacing w:after="0" w:line="129" w:lineRule="exact"/>
        <w:rPr>
          <w:sz w:val="20"/>
          <w:szCs w:val="20"/>
          <w:color w:val="auto"/>
        </w:rPr>
      </w:pPr>
    </w:p>
    <w:p>
      <w:pPr>
        <w:ind w:right="60"/>
        <w:spacing w:after="0" w:line="243" w:lineRule="auto"/>
        <w:rPr>
          <w:sz w:val="20"/>
          <w:szCs w:val="20"/>
          <w:color w:val="auto"/>
        </w:rPr>
      </w:pPr>
      <w:r>
        <w:rPr>
          <w:rFonts w:ascii="Georgia" w:cs="Georgia" w:eastAsia="Georgia" w:hAnsi="Georgia"/>
          <w:sz w:val="20"/>
          <w:szCs w:val="20"/>
          <w:color w:val="auto"/>
        </w:rPr>
        <w:t>We have audited the accompanying consolidated balance sheets of Larimar Therapeutics, Inc. and its subsidiary (the “Company”) as of December 31, 2022 and 2021, and the related consolidated statements of operations and comprehensive loss, of changes in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the years then ended in conformity with accounting principles generally accepted in the United States of America.</w:t>
      </w:r>
    </w:p>
    <w:p>
      <w:pPr>
        <w:spacing w:after="0" w:line="88"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Basis for Opinion</w:t>
      </w:r>
    </w:p>
    <w:p>
      <w:pPr>
        <w:spacing w:after="0" w:line="129" w:lineRule="exact"/>
        <w:rPr>
          <w:sz w:val="20"/>
          <w:szCs w:val="20"/>
          <w:color w:val="auto"/>
        </w:rPr>
      </w:pPr>
    </w:p>
    <w:p>
      <w:pPr>
        <w:ind w:right="140"/>
        <w:spacing w:after="0" w:line="244" w:lineRule="auto"/>
        <w:rPr>
          <w:sz w:val="20"/>
          <w:szCs w:val="20"/>
          <w:color w:val="auto"/>
        </w:rPr>
      </w:pPr>
      <w:r>
        <w:rPr>
          <w:rFonts w:ascii="Georgia" w:cs="Georgia" w:eastAsia="Georgia" w:hAnsi="Georgia"/>
          <w:sz w:val="20"/>
          <w:szCs w:val="20"/>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60"/>
        <w:spacing w:after="0" w:line="243" w:lineRule="auto"/>
        <w:rPr>
          <w:sz w:val="20"/>
          <w:szCs w:val="20"/>
          <w:color w:val="auto"/>
        </w:rPr>
      </w:pPr>
      <w:r>
        <w:rPr>
          <w:rFonts w:ascii="Georgia" w:cs="Georgia" w:eastAsia="Georgia" w:hAnsi="Georgia"/>
          <w:sz w:val="20"/>
          <w:szCs w:val="20"/>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97" w:lineRule="exact"/>
        <w:rPr>
          <w:sz w:val="20"/>
          <w:szCs w:val="20"/>
          <w:color w:val="auto"/>
        </w:rPr>
      </w:pPr>
    </w:p>
    <w:p>
      <w:pPr>
        <w:spacing w:after="0" w:line="243" w:lineRule="auto"/>
        <w:rPr>
          <w:sz w:val="20"/>
          <w:szCs w:val="20"/>
          <w:color w:val="auto"/>
        </w:rPr>
      </w:pPr>
      <w:r>
        <w:rPr>
          <w:rFonts w:ascii="Georgia" w:cs="Georgia" w:eastAsia="Georgia" w:hAnsi="Georgia"/>
          <w:sz w:val="20"/>
          <w:szCs w:val="20"/>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91" w:lineRule="exact"/>
        <w:rPr>
          <w:sz w:val="20"/>
          <w:szCs w:val="20"/>
          <w:color w:val="auto"/>
        </w:rPr>
      </w:pPr>
    </w:p>
    <w:p>
      <w:pPr>
        <w:spacing w:after="0"/>
        <w:rPr>
          <w:sz w:val="20"/>
          <w:szCs w:val="20"/>
          <w:color w:val="auto"/>
        </w:rPr>
      </w:pPr>
      <w:r>
        <w:rPr>
          <w:rFonts w:ascii="Georgia" w:cs="Georgia" w:eastAsia="Georgia" w:hAnsi="Georgia"/>
          <w:sz w:val="20"/>
          <w:szCs w:val="20"/>
          <w:b w:val="1"/>
          <w:bCs w:val="1"/>
          <w:i w:val="1"/>
          <w:iCs w:val="1"/>
          <w:color w:val="auto"/>
        </w:rPr>
        <w:t>Critical Audit Matters</w:t>
      </w:r>
    </w:p>
    <w:p>
      <w:pPr>
        <w:spacing w:after="0" w:line="129" w:lineRule="exact"/>
        <w:rPr>
          <w:sz w:val="20"/>
          <w:szCs w:val="20"/>
          <w:color w:val="auto"/>
        </w:rPr>
      </w:pPr>
    </w:p>
    <w:p>
      <w:pPr>
        <w:ind w:right="100"/>
        <w:spacing w:after="0" w:line="243" w:lineRule="auto"/>
        <w:rPr>
          <w:sz w:val="20"/>
          <w:szCs w:val="20"/>
          <w:color w:val="auto"/>
        </w:rPr>
      </w:pPr>
      <w:r>
        <w:rPr>
          <w:rFonts w:ascii="Georgia" w:cs="Georgia" w:eastAsia="Georgia" w:hAnsi="Georgia"/>
          <w:sz w:val="20"/>
          <w:szCs w:val="20"/>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92" w:lineRule="exact"/>
        <w:rPr>
          <w:sz w:val="20"/>
          <w:szCs w:val="20"/>
          <w:color w:val="auto"/>
        </w:rPr>
      </w:pPr>
    </w:p>
    <w:p>
      <w:pPr>
        <w:spacing w:after="0"/>
        <w:rPr>
          <w:sz w:val="20"/>
          <w:szCs w:val="20"/>
          <w:color w:val="auto"/>
        </w:rPr>
      </w:pPr>
      <w:r>
        <w:rPr>
          <w:rFonts w:ascii="Georgia" w:cs="Georgia" w:eastAsia="Georgia" w:hAnsi="Georgia"/>
          <w:sz w:val="20"/>
          <w:szCs w:val="20"/>
          <w:i w:val="1"/>
          <w:iCs w:val="1"/>
          <w:color w:val="auto"/>
        </w:rPr>
        <w:t>Accrued Research and Development Expenses</w:t>
      </w:r>
    </w:p>
    <w:p>
      <w:pPr>
        <w:spacing w:after="0" w:line="125" w:lineRule="exact"/>
        <w:rPr>
          <w:sz w:val="20"/>
          <w:szCs w:val="20"/>
          <w:color w:val="auto"/>
        </w:rPr>
      </w:pPr>
    </w:p>
    <w:p>
      <w:pPr>
        <w:ind w:right="60"/>
        <w:spacing w:after="0" w:line="244" w:lineRule="auto"/>
        <w:rPr>
          <w:sz w:val="20"/>
          <w:szCs w:val="20"/>
          <w:color w:val="auto"/>
        </w:rPr>
      </w:pPr>
      <w:r>
        <w:rPr>
          <w:rFonts w:ascii="Georgia" w:cs="Georgia" w:eastAsia="Georgia" w:hAnsi="Georgia"/>
          <w:sz w:val="20"/>
          <w:szCs w:val="20"/>
          <w:color w:val="auto"/>
        </w:rPr>
        <w:t>As described in Notes 2 and 6 to the consolidated financial statements, the Company recognizes external research and development costs based on an evaluation of the progress to completion of specific tasks using information provided to the Company by its key service providers. Within accrued expenses, total accrued research and development expenses amounted to $5.9 million as of December 31, 2022. As disclosed, management’s process involves reviewing open contracts and purchase orders, communicating with personnel and outside vendors to identify services that have been performed, and estimating the</w:t>
      </w:r>
    </w:p>
    <w:p>
      <w:pPr>
        <w:sectPr>
          <w:pgSz w:w="11880" w:h="15480" w:orient="portrait"/>
          <w:cols w:equalWidth="0" w:num="1">
            <w:col w:w="9340"/>
          </w:cols>
          <w:pgMar w:left="1260" w:top="1235"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9340"/>
          </w:cols>
          <w:pgMar w:left="1260" w:top="1235" w:right="1280" w:bottom="0" w:gutter="0" w:footer="0" w:header="0"/>
          <w:type w:val="continuous"/>
        </w:sectPr>
      </w:pPr>
    </w:p>
    <w:bookmarkStart w:id="99" w:name="page100"/>
    <w:bookmarkEnd w:id="99"/>
    <w:p>
      <w:pPr>
        <w:ind w:right="660"/>
        <w:spacing w:after="0" w:line="264" w:lineRule="auto"/>
        <w:rPr>
          <w:sz w:val="20"/>
          <w:szCs w:val="20"/>
          <w:color w:val="auto"/>
        </w:rPr>
      </w:pPr>
      <w:r>
        <w:rPr>
          <w:rFonts w:ascii="Georgia" w:cs="Georgia" w:eastAsia="Georgia" w:hAnsi="Georgia"/>
          <w:sz w:val="20"/>
          <w:szCs w:val="20"/>
          <w:color w:val="auto"/>
        </w:rPr>
        <w:t>level of service performed and the associated costs incurred for the services when invoices or other notification of actual costs have not been received.</w:t>
      </w:r>
    </w:p>
    <w:p>
      <w:pPr>
        <w:spacing w:after="0" w:line="75" w:lineRule="exact"/>
        <w:rPr>
          <w:sz w:val="20"/>
          <w:szCs w:val="20"/>
          <w:color w:val="auto"/>
        </w:rPr>
      </w:pPr>
    </w:p>
    <w:p>
      <w:pPr>
        <w:spacing w:after="0" w:line="244" w:lineRule="auto"/>
        <w:rPr>
          <w:sz w:val="20"/>
          <w:szCs w:val="20"/>
          <w:color w:val="auto"/>
        </w:rPr>
      </w:pPr>
      <w:r>
        <w:rPr>
          <w:rFonts w:ascii="Georgia" w:cs="Georgia" w:eastAsia="Georgia" w:hAnsi="Georgia"/>
          <w:sz w:val="20"/>
          <w:szCs w:val="20"/>
          <w:color w:val="auto"/>
        </w:rPr>
        <w:t>The principal considerations for our determination that performing procedures relating to accrued research and development expenses is a critical audit matter are the significant judgment by management in developing the estimates of accrued research and development expenses, which in turn led to a high degree of auditor judgment, subjectivity and effort in performing procedures and evaluating management’s estimates of the level of service performed and the associated costs incurred for the services when invoices or other notification of actual costs have not yet been received.</w:t>
      </w:r>
    </w:p>
    <w:p>
      <w:pPr>
        <w:spacing w:after="0" w:line="97" w:lineRule="exact"/>
        <w:rPr>
          <w:sz w:val="20"/>
          <w:szCs w:val="20"/>
          <w:color w:val="auto"/>
        </w:rPr>
      </w:pPr>
    </w:p>
    <w:p>
      <w:pPr>
        <w:ind w:right="40"/>
        <w:spacing w:after="0" w:line="242" w:lineRule="auto"/>
        <w:rPr>
          <w:sz w:val="20"/>
          <w:szCs w:val="20"/>
          <w:color w:val="auto"/>
        </w:rPr>
      </w:pPr>
      <w:r>
        <w:rPr>
          <w:rFonts w:ascii="Georgia" w:cs="Georgia" w:eastAsia="Georgia" w:hAnsi="Georgia"/>
          <w:sz w:val="20"/>
          <w:szCs w:val="20"/>
          <w:color w:val="auto"/>
        </w:rPr>
        <w:t>Addressing the matter involved performing procedures and evaluating audit evidence in connection with forming our overall opinion on the consolidated financial statements. These procedures included, among others, testing management’s process for developing the estimates of accrued research and development expenses, which included (i) evaluating the reasonableness of management’s estimates of the level of service performed and the associated costs incurred for the services when invoices or other notification of actual costs have not yet been received; and (ii) testing the completeness and accuracy of data used by management in accrued research and development expenses calculations by comparing amounts, on a test basis, to contracts and invoices. Evaluating the reasonableness of management’s estimate of the level of service performed and the associated costs incurred involved assessing management’s ability to reasonably estimate the level of service and associated costs by comparing such estimates to invoices received, provisions in the contracts and other evidence including communications the company received from third-party vendors.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Georgia" w:cs="Georgia" w:eastAsia="Georgia" w:hAnsi="Georgia"/>
          <w:sz w:val="20"/>
          <w:szCs w:val="20"/>
          <w:color w:val="auto"/>
        </w:rPr>
        <w:t>/s/ PricewaterhouseCoopers LLP</w:t>
      </w:r>
    </w:p>
    <w:p>
      <w:pPr>
        <w:spacing w:after="0"/>
        <w:rPr>
          <w:sz w:val="20"/>
          <w:szCs w:val="20"/>
          <w:color w:val="auto"/>
        </w:rPr>
      </w:pPr>
      <w:r>
        <w:rPr>
          <w:rFonts w:ascii="Georgia" w:cs="Georgia" w:eastAsia="Georgia" w:hAnsi="Georgia"/>
          <w:sz w:val="20"/>
          <w:szCs w:val="20"/>
          <w:color w:val="auto"/>
        </w:rPr>
        <w:t>Philadelphia, Pennsylvania</w:t>
      </w:r>
    </w:p>
    <w:p>
      <w:pPr>
        <w:spacing w:after="0"/>
        <w:rPr>
          <w:sz w:val="20"/>
          <w:szCs w:val="20"/>
          <w:color w:val="auto"/>
        </w:rPr>
      </w:pPr>
      <w:r>
        <w:rPr>
          <w:rFonts w:ascii="Georgia" w:cs="Georgia" w:eastAsia="Georgia" w:hAnsi="Georgia"/>
          <w:sz w:val="20"/>
          <w:szCs w:val="20"/>
          <w:color w:val="auto"/>
        </w:rPr>
        <w:t>March 14, 2023</w:t>
      </w:r>
    </w:p>
    <w:p>
      <w:pPr>
        <w:spacing w:after="0" w:line="136" w:lineRule="exact"/>
        <w:rPr>
          <w:sz w:val="20"/>
          <w:szCs w:val="20"/>
          <w:color w:val="auto"/>
        </w:rPr>
      </w:pPr>
    </w:p>
    <w:p>
      <w:pPr>
        <w:spacing w:after="0"/>
        <w:rPr>
          <w:sz w:val="20"/>
          <w:szCs w:val="20"/>
          <w:color w:val="auto"/>
        </w:rPr>
      </w:pPr>
      <w:r>
        <w:rPr>
          <w:rFonts w:ascii="Georgia" w:cs="Georgia" w:eastAsia="Georgia" w:hAnsi="Georgia"/>
          <w:sz w:val="20"/>
          <w:szCs w:val="20"/>
          <w:color w:val="auto"/>
        </w:rPr>
        <w:t>We have served as the Company’s auditor since 2020.</w:t>
      </w:r>
    </w:p>
    <w:p>
      <w:pPr>
        <w:sectPr>
          <w:pgSz w:w="11880" w:h="15480" w:orient="portrait"/>
          <w:cols w:equalWidth="0" w:num="1">
            <w:col w:w="9320"/>
          </w:cols>
          <w:pgMar w:left="1260" w:top="1253" w:right="13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9320"/>
          </w:cols>
          <w:pgMar w:left="1260" w:top="1253" w:right="1300" w:bottom="0" w:gutter="0" w:footer="0" w:header="0"/>
          <w:type w:val="continuous"/>
        </w:sectPr>
      </w:pPr>
    </w:p>
    <w:bookmarkStart w:id="100" w:name="page101"/>
    <w:bookmarkEnd w:id="100"/>
    <w:p>
      <w:pPr>
        <w:ind w:left="3120"/>
        <w:spacing w:after="0"/>
        <w:rPr>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24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4"/>
        </w:trPr>
        <w:tc>
          <w:tcPr>
            <w:tcW w:w="6420" w:type="dxa"/>
            <w:vAlign w:val="bottom"/>
            <w:tcBorders>
              <w:bottom w:val="single" w:sz="8" w:color="E4E4E4"/>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E4E4E4"/>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E4E4E4"/>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Assets</w:t>
            </w: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Current assets:</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26,825</w:t>
            </w: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70,097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Marketable securities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91,603</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40" w:type="dxa"/>
            <w:vAlign w:val="bottom"/>
            <w:tcBorders>
              <w:bottom w:val="single" w:sz="8" w:color="auto"/>
            </w:tcBorders>
            <w:shd w:val="clear" w:color="auto" w:fill="E4E4E4"/>
          </w:tcPr>
          <w:p>
            <w:pPr>
              <w:spacing w:after="0"/>
              <w:rPr>
                <w:sz w:val="19"/>
                <w:szCs w:val="19"/>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2,311</w:t>
            </w:r>
          </w:p>
        </w:tc>
        <w:tc>
          <w:tcPr>
            <w:tcW w:w="24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2,107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assets</w:t>
            </w:r>
          </w:p>
        </w:tc>
        <w:tc>
          <w:tcPr>
            <w:tcW w:w="140" w:type="dxa"/>
            <w:vAlign w:val="bottom"/>
          </w:tcPr>
          <w:p>
            <w:pPr>
              <w:spacing w:after="0"/>
              <w:rPr>
                <w:sz w:val="19"/>
                <w:szCs w:val="19"/>
                <w:color w:val="auto"/>
              </w:rPr>
            </w:pPr>
          </w:p>
        </w:tc>
        <w:tc>
          <w:tcPr>
            <w:tcW w:w="11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120,739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72,204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Property and equipment, net</w:t>
            </w: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831</w:t>
            </w: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1,049</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right-of-use assets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Restricted cash</w:t>
            </w: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1,339</w:t>
            </w: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1,339</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Other assets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638</w:t>
            </w:r>
          </w:p>
        </w:tc>
        <w:tc>
          <w:tcPr>
            <w:tcW w:w="240" w:type="dxa"/>
            <w:vAlign w:val="bottom"/>
            <w:tcBorders>
              <w:bottom w:val="single" w:sz="8" w:color="E4E4E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669</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E4E4E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assets</w:t>
            </w:r>
          </w:p>
        </w:tc>
        <w:tc>
          <w:tcPr>
            <w:tcW w:w="14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126,405</w:t>
            </w:r>
          </w:p>
        </w:tc>
        <w:tc>
          <w:tcPr>
            <w:tcW w:w="24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4E4E4"/>
              </w:rPr>
              <w:t>$</w:t>
            </w:r>
          </w:p>
        </w:tc>
        <w:tc>
          <w:tcPr>
            <w:tcW w:w="120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78,667</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Current liabilities:</w:t>
            </w: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Accrued expenses</w:t>
            </w: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8,408</w:t>
            </w: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6,592</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auto"/>
              </w:rPr>
              <w:t>Operating lease liabilities, current</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611</w:t>
            </w:r>
          </w:p>
        </w:tc>
        <w:tc>
          <w:tcPr>
            <w:tcW w:w="240" w:type="dxa"/>
            <w:vAlign w:val="bottom"/>
            <w:tcBorders>
              <w:bottom w:val="single" w:sz="8" w:color="E4E4E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594</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current liabilities</w:t>
            </w: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10,705</w:t>
            </w: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8,846</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4,797</w:t>
            </w:r>
          </w:p>
        </w:tc>
        <w:tc>
          <w:tcPr>
            <w:tcW w:w="240" w:type="dxa"/>
            <w:vAlign w:val="bottom"/>
            <w:tcBorders>
              <w:bottom w:val="single" w:sz="8" w:color="E4E4E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5,408</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E4E4E4"/>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liabilities</w:t>
            </w:r>
          </w:p>
        </w:tc>
        <w:tc>
          <w:tcPr>
            <w:tcW w:w="140" w:type="dxa"/>
            <w:vAlign w:val="bottom"/>
            <w:tcBorders>
              <w:bottom w:val="single" w:sz="8" w:color="auto"/>
            </w:tcBorders>
            <w:shd w:val="clear" w:color="auto" w:fill="E4E4E4"/>
          </w:tcPr>
          <w:p>
            <w:pPr>
              <w:spacing w:after="0"/>
              <w:rPr>
                <w:sz w:val="19"/>
                <w:szCs w:val="19"/>
                <w:color w:val="auto"/>
              </w:rPr>
            </w:pPr>
          </w:p>
        </w:tc>
        <w:tc>
          <w:tcPr>
            <w:tcW w:w="116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15,502</w:t>
            </w:r>
          </w:p>
        </w:tc>
        <w:tc>
          <w:tcPr>
            <w:tcW w:w="24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120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14,254</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Commitments and contingencies (See Note 8)</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Stockholders’ equity:</w:t>
            </w: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20" w:type="dxa"/>
            <w:vAlign w:val="bottom"/>
          </w:tcPr>
          <w:p>
            <w:pPr>
              <w:ind w:left="200"/>
              <w:spacing w:after="0" w:line="208" w:lineRule="exact"/>
              <w:rPr>
                <w:sz w:val="20"/>
                <w:szCs w:val="20"/>
                <w:color w:val="auto"/>
              </w:rPr>
            </w:pPr>
            <w:r>
              <w:rPr>
                <w:rFonts w:ascii="Times New Roman" w:cs="Times New Roman" w:eastAsia="Times New Roman" w:hAnsi="Times New Roman"/>
                <w:sz w:val="20"/>
                <w:szCs w:val="20"/>
                <w:color w:val="auto"/>
              </w:rPr>
              <w:t>Preferred stock; $0.001 par value per share; 5,000,000 shares authorized</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as of December 31, 2022 and December 31, 2021; no shares issued and</w:t>
            </w: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4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outstanding as of December 31, 2022 and December 31, 2021</w:t>
            </w:r>
          </w:p>
        </w:tc>
        <w:tc>
          <w:tcPr>
            <w:tcW w:w="140" w:type="dxa"/>
            <w:vAlign w:val="bottom"/>
          </w:tcPr>
          <w:p>
            <w:pPr>
              <w:spacing w:after="0"/>
              <w:rPr>
                <w:sz w:val="21"/>
                <w:szCs w:val="21"/>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9"/>
        </w:trPr>
        <w:tc>
          <w:tcPr>
            <w:tcW w:w="6420" w:type="dxa"/>
            <w:vAlign w:val="bottom"/>
            <w:shd w:val="clear" w:color="auto" w:fill="E4E4E4"/>
          </w:tcPr>
          <w:p>
            <w:pPr>
              <w:ind w:left="200"/>
              <w:spacing w:after="0" w:line="208" w:lineRule="exact"/>
              <w:rPr>
                <w:sz w:val="20"/>
                <w:szCs w:val="20"/>
                <w:color w:val="auto"/>
              </w:rPr>
            </w:pPr>
            <w:r>
              <w:rPr>
                <w:rFonts w:ascii="Times New Roman" w:cs="Times New Roman" w:eastAsia="Times New Roman" w:hAnsi="Times New Roman"/>
                <w:sz w:val="20"/>
                <w:szCs w:val="20"/>
                <w:color w:val="auto"/>
              </w:rPr>
              <w:t>Common stock, $0.001 par value per share; 115,000,000 shares</w:t>
            </w:r>
          </w:p>
        </w:tc>
        <w:tc>
          <w:tcPr>
            <w:tcW w:w="140" w:type="dxa"/>
            <w:vAlign w:val="bottom"/>
            <w:shd w:val="clear" w:color="auto" w:fill="E4E4E4"/>
          </w:tcPr>
          <w:p>
            <w:pPr>
              <w:spacing w:after="0"/>
              <w:rPr>
                <w:sz w:val="18"/>
                <w:szCs w:val="18"/>
                <w:color w:val="auto"/>
              </w:rPr>
            </w:pPr>
          </w:p>
        </w:tc>
        <w:tc>
          <w:tcPr>
            <w:tcW w:w="1160" w:type="dxa"/>
            <w:vAlign w:val="bottom"/>
            <w:shd w:val="clear" w:color="auto" w:fill="E4E4E4"/>
          </w:tcPr>
          <w:p>
            <w:pPr>
              <w:spacing w:after="0"/>
              <w:rPr>
                <w:sz w:val="18"/>
                <w:szCs w:val="18"/>
                <w:color w:val="auto"/>
              </w:rPr>
            </w:pPr>
          </w:p>
        </w:tc>
        <w:tc>
          <w:tcPr>
            <w:tcW w:w="24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1200" w:type="dxa"/>
            <w:vAlign w:val="bottom"/>
            <w:shd w:val="clear" w:color="auto" w:fill="E4E4E4"/>
          </w:tcPr>
          <w:p>
            <w:pPr>
              <w:spacing w:after="0"/>
              <w:rPr>
                <w:sz w:val="18"/>
                <w:szCs w:val="18"/>
                <w:color w:val="auto"/>
              </w:rPr>
            </w:pP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ind w:left="360"/>
              <w:spacing w:after="0"/>
              <w:rPr>
                <w:sz w:val="20"/>
                <w:szCs w:val="20"/>
                <w:color w:val="auto"/>
              </w:rPr>
            </w:pPr>
            <w:r>
              <w:rPr>
                <w:rFonts w:ascii="Times New Roman" w:cs="Times New Roman" w:eastAsia="Times New Roman" w:hAnsi="Times New Roman"/>
                <w:sz w:val="20"/>
                <w:szCs w:val="20"/>
                <w:color w:val="auto"/>
              </w:rPr>
              <w:t>authorized as of December 31, 2022 and December 31, 2021;</w:t>
            </w: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ind w:left="300"/>
              <w:spacing w:after="0"/>
              <w:rPr>
                <w:sz w:val="20"/>
                <w:szCs w:val="20"/>
                <w:color w:val="auto"/>
              </w:rPr>
            </w:pPr>
            <w:r>
              <w:rPr>
                <w:rFonts w:ascii="Times New Roman" w:cs="Times New Roman" w:eastAsia="Times New Roman" w:hAnsi="Times New Roman"/>
                <w:sz w:val="20"/>
                <w:szCs w:val="20"/>
                <w:color w:val="auto"/>
              </w:rPr>
              <w:t>43,269,200 and 17,710,450 shares issued and outstanding as of</w:t>
            </w: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6420" w:type="dxa"/>
            <w:vAlign w:val="bottom"/>
            <w:shd w:val="clear" w:color="auto" w:fill="E4E4E4"/>
          </w:tcPr>
          <w:p>
            <w:pPr>
              <w:ind w:left="360"/>
              <w:spacing w:after="0"/>
              <w:rPr>
                <w:sz w:val="20"/>
                <w:szCs w:val="20"/>
                <w:color w:val="auto"/>
              </w:rPr>
            </w:pPr>
            <w:r>
              <w:rPr>
                <w:rFonts w:ascii="Times New Roman" w:cs="Times New Roman" w:eastAsia="Times New Roman" w:hAnsi="Times New Roman"/>
                <w:sz w:val="20"/>
                <w:szCs w:val="20"/>
                <w:color w:val="auto"/>
              </w:rPr>
              <w:t>December 31, 2022 and December 31, 2021, respectively</w:t>
            </w:r>
          </w:p>
        </w:tc>
        <w:tc>
          <w:tcPr>
            <w:tcW w:w="140" w:type="dxa"/>
            <w:vAlign w:val="bottom"/>
            <w:shd w:val="clear" w:color="auto" w:fill="E4E4E4"/>
          </w:tcPr>
          <w:p>
            <w:pPr>
              <w:spacing w:after="0"/>
              <w:rPr>
                <w:sz w:val="21"/>
                <w:szCs w:val="21"/>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24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262,496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Accumulated deficit</w:t>
            </w:r>
          </w:p>
        </w:tc>
        <w:tc>
          <w:tcPr>
            <w:tcW w:w="140" w:type="dxa"/>
            <w:vAlign w:val="bottom"/>
            <w:shd w:val="clear" w:color="auto" w:fill="E4E4E4"/>
          </w:tcPr>
          <w:p>
            <w:pPr>
              <w:spacing w:after="0"/>
              <w:rPr>
                <w:sz w:val="19"/>
                <w:szCs w:val="19"/>
                <w:color w:val="auto"/>
              </w:rPr>
            </w:pPr>
          </w:p>
        </w:tc>
        <w:tc>
          <w:tcPr>
            <w:tcW w:w="1400" w:type="dxa"/>
            <w:vAlign w:val="bottom"/>
            <w:gridSpan w:val="2"/>
            <w:shd w:val="clear" w:color="auto" w:fill="E4E4E4"/>
          </w:tcPr>
          <w:p>
            <w:pPr>
              <w:jc w:val="right"/>
              <w:ind w:right="180"/>
              <w:spacing w:after="0"/>
              <w:rPr>
                <w:sz w:val="20"/>
                <w:szCs w:val="20"/>
                <w:color w:val="auto"/>
              </w:rPr>
            </w:pPr>
            <w:r>
              <w:rPr>
                <w:rFonts w:ascii="Times New Roman" w:cs="Times New Roman" w:eastAsia="Times New Roman" w:hAnsi="Times New Roman"/>
                <w:sz w:val="20"/>
                <w:szCs w:val="20"/>
                <w:color w:val="auto"/>
              </w:rPr>
              <w:t>(151,605)</w:t>
            </w:r>
          </w:p>
        </w:tc>
        <w:tc>
          <w:tcPr>
            <w:tcW w:w="10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(116,250)</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Accumulated other comprehensive loss</w:t>
            </w: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tcBorders>
              <w:top w:val="single" w:sz="8" w:color="E4E4E4"/>
            </w:tcBorders>
            <w:shd w:val="clear" w:color="auto" w:fill="E4E4E4"/>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stockholders’ equity</w:t>
            </w:r>
          </w:p>
        </w:tc>
        <w:tc>
          <w:tcPr>
            <w:tcW w:w="140" w:type="dxa"/>
            <w:vAlign w:val="bottom"/>
            <w:tcBorders>
              <w:top w:val="single" w:sz="8" w:color="auto"/>
              <w:bottom w:val="single" w:sz="8" w:color="auto"/>
            </w:tcBorders>
            <w:shd w:val="clear" w:color="auto" w:fill="E4E4E4"/>
          </w:tcPr>
          <w:p>
            <w:pPr>
              <w:spacing w:after="0"/>
              <w:rPr>
                <w:sz w:val="19"/>
                <w:szCs w:val="19"/>
                <w:color w:val="auto"/>
              </w:rPr>
            </w:pPr>
          </w:p>
        </w:tc>
        <w:tc>
          <w:tcPr>
            <w:tcW w:w="116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110,903</w:t>
            </w:r>
          </w:p>
        </w:tc>
        <w:tc>
          <w:tcPr>
            <w:tcW w:w="24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auto"/>
              <w:bottom w:val="single" w:sz="8" w:color="auto"/>
            </w:tcBorders>
            <w:shd w:val="clear" w:color="auto" w:fill="E4E4E4"/>
          </w:tcPr>
          <w:p>
            <w:pPr>
              <w:spacing w:after="0"/>
              <w:rPr>
                <w:sz w:val="19"/>
                <w:szCs w:val="19"/>
                <w:color w:val="auto"/>
              </w:rPr>
            </w:pPr>
          </w:p>
        </w:tc>
        <w:tc>
          <w:tcPr>
            <w:tcW w:w="120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64,413</w:t>
            </w: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tcPr>
          <w:p>
            <w:pPr>
              <w:ind w:left="100"/>
              <w:spacing w:after="0" w:line="220" w:lineRule="exact"/>
              <w:rPr>
                <w:sz w:val="20"/>
                <w:szCs w:val="20"/>
                <w:color w:val="auto"/>
              </w:rPr>
            </w:pPr>
            <w:r>
              <w:rPr>
                <w:rFonts w:ascii="Times New Roman" w:cs="Times New Roman" w:eastAsia="Times New Roman" w:hAnsi="Times New Roman"/>
                <w:sz w:val="20"/>
                <w:szCs w:val="20"/>
                <w:color w:val="auto"/>
              </w:rPr>
              <w:t>Total liabilities and stockholders’ equity</w:t>
            </w: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126,405</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78,667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360"/>
          </w:cols>
          <w:pgMar w:left="1260" w:top="1235"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9360"/>
          </w:cols>
          <w:pgMar w:left="1260" w:top="1235" w:right="1260" w:bottom="0" w:gutter="0" w:footer="0" w:header="0"/>
          <w:type w:val="continuous"/>
        </w:sectPr>
      </w:pPr>
    </w:p>
    <w:bookmarkStart w:id="101" w:name="page102"/>
    <w:bookmarkEnd w:id="101"/>
    <w:p>
      <w:pPr>
        <w:ind w:left="3120"/>
        <w:spacing w:after="0"/>
        <w:rPr>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24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6420" w:type="dxa"/>
            <w:vAlign w:val="bottom"/>
            <w:tcBorders>
              <w:bottom w:val="single" w:sz="8" w:color="E4E4E4"/>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83"/>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82"/>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E4E4E4"/>
            </w:tcBorders>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Operating expenses: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0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Research and development</w:t>
            </w: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24,250</w:t>
            </w:r>
          </w:p>
        </w:tc>
        <w:tc>
          <w:tcPr>
            <w:tcW w:w="24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38,396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General and administrative</w:t>
            </w:r>
          </w:p>
        </w:tc>
        <w:tc>
          <w:tcPr>
            <w:tcW w:w="260" w:type="dxa"/>
            <w:vAlign w:val="bottom"/>
            <w:tcBorders>
              <w:bottom w:val="single" w:sz="8" w:color="auto"/>
            </w:tcBorders>
            <w:shd w:val="clear" w:color="auto" w:fill="E4E4E4"/>
          </w:tcPr>
          <w:p>
            <w:pPr>
              <w:spacing w:after="0"/>
              <w:rPr>
                <w:sz w:val="19"/>
                <w:szCs w:val="19"/>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12,276</w:t>
            </w:r>
          </w:p>
        </w:tc>
        <w:tc>
          <w:tcPr>
            <w:tcW w:w="240" w:type="dxa"/>
            <w:vAlign w:val="bottom"/>
            <w:shd w:val="clear" w:color="auto" w:fill="E4E4E4"/>
          </w:tcPr>
          <w:p>
            <w:pPr>
              <w:spacing w:after="0"/>
              <w:rPr>
                <w:sz w:val="19"/>
                <w:szCs w:val="19"/>
                <w:color w:val="auto"/>
              </w:rPr>
            </w:pPr>
          </w:p>
        </w:tc>
        <w:tc>
          <w:tcPr>
            <w:tcW w:w="260" w:type="dxa"/>
            <w:vAlign w:val="bottom"/>
            <w:tcBorders>
              <w:bottom w:val="single" w:sz="8" w:color="auto"/>
            </w:tcBorders>
            <w:shd w:val="clear" w:color="auto" w:fill="E4E4E4"/>
          </w:tcPr>
          <w:p>
            <w:pPr>
              <w:spacing w:after="0"/>
              <w:rPr>
                <w:sz w:val="19"/>
                <w:szCs w:val="19"/>
                <w:color w:val="auto"/>
              </w:rPr>
            </w:pPr>
          </w:p>
        </w:tc>
        <w:tc>
          <w:tcPr>
            <w:tcW w:w="104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12,069</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tcBorders>
              <w:bottom w:val="single" w:sz="8" w:color="E4E4E4"/>
            </w:tcBorders>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operating expenses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36,526</w:t>
            </w:r>
          </w:p>
        </w:tc>
        <w:tc>
          <w:tcPr>
            <w:tcW w:w="240" w:type="dxa"/>
            <w:vAlign w:val="bottom"/>
            <w:tcBorders>
              <w:bottom w:val="single" w:sz="8" w:color="E4E4E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50,465</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Loss from operations</w:t>
            </w:r>
          </w:p>
        </w:tc>
        <w:tc>
          <w:tcPr>
            <w:tcW w:w="26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(36,526)</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(50,465)</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1,171</w:t>
            </w:r>
          </w:p>
        </w:tc>
        <w:tc>
          <w:tcPr>
            <w:tcW w:w="240" w:type="dxa"/>
            <w:vAlign w:val="bottom"/>
            <w:tcBorders>
              <w:bottom w:val="single" w:sz="8" w:color="E4E4E4"/>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10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Net loss</w:t>
            </w:r>
          </w:p>
        </w:tc>
        <w:tc>
          <w:tcPr>
            <w:tcW w:w="260" w:type="dxa"/>
            <w:vAlign w:val="bottom"/>
            <w:tcBorders>
              <w:bottom w:val="single" w:sz="8" w:color="auto"/>
            </w:tcBorders>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(35,355)</w:t>
            </w:r>
          </w:p>
        </w:tc>
        <w:tc>
          <w:tcPr>
            <w:tcW w:w="240" w:type="dxa"/>
            <w:vAlign w:val="bottom"/>
            <w:shd w:val="clear" w:color="auto" w:fill="E4E4E4"/>
          </w:tcPr>
          <w:p>
            <w:pPr>
              <w:spacing w:after="0"/>
              <w:rPr>
                <w:sz w:val="19"/>
                <w:szCs w:val="19"/>
                <w:color w:val="auto"/>
              </w:rPr>
            </w:pPr>
          </w:p>
        </w:tc>
        <w:tc>
          <w:tcPr>
            <w:tcW w:w="260" w:type="dxa"/>
            <w:vAlign w:val="bottom"/>
            <w:tcBorders>
              <w:bottom w:val="single" w:sz="8" w:color="auto"/>
            </w:tcBorders>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(50,636)</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basic and diluted</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20" w:type="dxa"/>
            <w:vAlign w:val="bottom"/>
            <w:tcBorders>
              <w:bottom w:val="single" w:sz="8" w:color="E4E4E4"/>
            </w:tcBorders>
            <w:vMerge w:val="continue"/>
          </w:tcPr>
          <w:p>
            <w:pPr>
              <w:spacing w:after="0"/>
              <w:rPr>
                <w:sz w:val="22"/>
                <w:szCs w:val="22"/>
                <w:color w:val="auto"/>
              </w:rPr>
            </w:pPr>
          </w:p>
        </w:tc>
        <w:tc>
          <w:tcPr>
            <w:tcW w:w="260" w:type="dxa"/>
            <w:vAlign w:val="bottom"/>
            <w:tcBorders>
              <w:bottom w:val="single" w:sz="8" w:color="auto"/>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(1.37)</w:t>
            </w:r>
          </w:p>
        </w:tc>
        <w:tc>
          <w:tcPr>
            <w:tcW w:w="240" w:type="dxa"/>
            <w:vAlign w:val="bottom"/>
            <w:tcBorders>
              <w:bottom w:val="single" w:sz="8" w:color="E4E4E4"/>
            </w:tcBorders>
          </w:tcPr>
          <w:p>
            <w:pPr>
              <w:spacing w:after="0"/>
              <w:rPr>
                <w:sz w:val="22"/>
                <w:szCs w:val="22"/>
                <w:color w:val="auto"/>
              </w:rPr>
            </w:pPr>
          </w:p>
        </w:tc>
        <w:tc>
          <w:tcPr>
            <w:tcW w:w="260" w:type="dxa"/>
            <w:vAlign w:val="bottom"/>
            <w:tcBorders>
              <w:bottom w:val="single" w:sz="8" w:color="auto"/>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(2.95)</w:t>
            </w:r>
          </w:p>
        </w:tc>
        <w:tc>
          <w:tcPr>
            <w:tcW w:w="100" w:type="dxa"/>
            <w:vAlign w:val="bottom"/>
            <w:tcBorders>
              <w:bottom w:val="single" w:sz="8" w:color="E4E4E4"/>
            </w:tcBorders>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6420" w:type="dxa"/>
            <w:vAlign w:val="bottom"/>
            <w:shd w:val="clear" w:color="auto" w:fill="E4E4E4"/>
          </w:tcPr>
          <w:p>
            <w:pPr>
              <w:spacing w:after="0" w:line="215" w:lineRule="exact"/>
              <w:rPr>
                <w:sz w:val="20"/>
                <w:szCs w:val="20"/>
                <w:color w:val="auto"/>
              </w:rPr>
            </w:pPr>
            <w:r>
              <w:rPr>
                <w:rFonts w:ascii="Times New Roman" w:cs="Times New Roman" w:eastAsia="Times New Roman" w:hAnsi="Times New Roman"/>
                <w:sz w:val="20"/>
                <w:szCs w:val="20"/>
                <w:color w:val="auto"/>
              </w:rPr>
              <w:t>Weighted average common shares outstanding, basic and diluted</w:t>
            </w:r>
          </w:p>
        </w:tc>
        <w:tc>
          <w:tcPr>
            <w:tcW w:w="260" w:type="dxa"/>
            <w:vAlign w:val="bottom"/>
            <w:tcBorders>
              <w:bottom w:val="single" w:sz="8" w:color="auto"/>
            </w:tcBorders>
            <w:shd w:val="clear" w:color="auto" w:fill="E4E4E4"/>
          </w:tcPr>
          <w:p>
            <w:pPr>
              <w:spacing w:after="0"/>
              <w:rPr>
                <w:sz w:val="18"/>
                <w:szCs w:val="18"/>
                <w:color w:val="auto"/>
              </w:rPr>
            </w:pPr>
          </w:p>
        </w:tc>
        <w:tc>
          <w:tcPr>
            <w:tcW w:w="1040" w:type="dxa"/>
            <w:vAlign w:val="bottom"/>
            <w:tcBorders>
              <w:bottom w:val="single" w:sz="8" w:color="auto"/>
            </w:tcBorders>
            <w:shd w:val="clear" w:color="auto" w:fill="E4E4E4"/>
          </w:tcPr>
          <w:p>
            <w:pPr>
              <w:jc w:val="right"/>
              <w:spacing w:after="0" w:line="215" w:lineRule="exact"/>
              <w:rPr>
                <w:sz w:val="20"/>
                <w:szCs w:val="20"/>
                <w:color w:val="auto"/>
              </w:rPr>
            </w:pPr>
            <w:r>
              <w:rPr>
                <w:rFonts w:ascii="Times New Roman" w:cs="Times New Roman" w:eastAsia="Times New Roman" w:hAnsi="Times New Roman"/>
                <w:sz w:val="20"/>
                <w:szCs w:val="20"/>
                <w:color w:val="auto"/>
              </w:rPr>
              <w:t>25,761,394</w:t>
            </w:r>
          </w:p>
        </w:tc>
        <w:tc>
          <w:tcPr>
            <w:tcW w:w="240" w:type="dxa"/>
            <w:vAlign w:val="bottom"/>
            <w:shd w:val="clear" w:color="auto" w:fill="E4E4E4"/>
          </w:tcPr>
          <w:p>
            <w:pPr>
              <w:spacing w:after="0"/>
              <w:rPr>
                <w:sz w:val="18"/>
                <w:szCs w:val="18"/>
                <w:color w:val="auto"/>
              </w:rPr>
            </w:pPr>
          </w:p>
        </w:tc>
        <w:tc>
          <w:tcPr>
            <w:tcW w:w="260" w:type="dxa"/>
            <w:vAlign w:val="bottom"/>
            <w:tcBorders>
              <w:bottom w:val="single" w:sz="8" w:color="auto"/>
            </w:tcBorders>
            <w:shd w:val="clear" w:color="auto" w:fill="E4E4E4"/>
          </w:tcPr>
          <w:p>
            <w:pPr>
              <w:spacing w:after="0"/>
              <w:rPr>
                <w:sz w:val="18"/>
                <w:szCs w:val="18"/>
                <w:color w:val="auto"/>
              </w:rPr>
            </w:pPr>
          </w:p>
        </w:tc>
        <w:tc>
          <w:tcPr>
            <w:tcW w:w="1040" w:type="dxa"/>
            <w:vAlign w:val="bottom"/>
            <w:tcBorders>
              <w:bottom w:val="single" w:sz="8" w:color="auto"/>
            </w:tcBorders>
            <w:shd w:val="clear" w:color="auto" w:fill="E4E4E4"/>
          </w:tcPr>
          <w:p>
            <w:pPr>
              <w:jc w:val="right"/>
              <w:spacing w:after="0" w:line="215" w:lineRule="exact"/>
              <w:rPr>
                <w:sz w:val="20"/>
                <w:szCs w:val="20"/>
                <w:color w:val="auto"/>
              </w:rPr>
            </w:pPr>
            <w:r>
              <w:rPr>
                <w:rFonts w:ascii="Times New Roman" w:cs="Times New Roman" w:eastAsia="Times New Roman" w:hAnsi="Times New Roman"/>
                <w:sz w:val="20"/>
                <w:szCs w:val="20"/>
                <w:color w:val="auto"/>
              </w:rPr>
              <w:t>17,164,284</w:t>
            </w: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4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Net loss</w:t>
            </w: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(35,355)</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(50,636)</w:t>
            </w: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Unrealized loss on marketable securities</w:t>
            </w:r>
          </w:p>
        </w:tc>
        <w:tc>
          <w:tcPr>
            <w:tcW w:w="260" w:type="dxa"/>
            <w:vAlign w:val="bottom"/>
            <w:shd w:val="clear" w:color="auto" w:fill="E4E4E4"/>
          </w:tcPr>
          <w:p>
            <w:pPr>
              <w:spacing w:after="0"/>
              <w:rPr>
                <w:sz w:val="19"/>
                <w:szCs w:val="19"/>
                <w:color w:val="auto"/>
              </w:rPr>
            </w:pPr>
          </w:p>
        </w:tc>
        <w:tc>
          <w:tcPr>
            <w:tcW w:w="10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140" w:type="dxa"/>
            <w:vAlign w:val="bottom"/>
            <w:gridSpan w:val="2"/>
            <w:shd w:val="clear" w:color="auto" w:fill="E4E4E4"/>
          </w:tcPr>
          <w:p>
            <w:pPr>
              <w:jc w:val="right"/>
              <w:ind w:right="20"/>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Total other comprehensive loss</w:t>
            </w: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4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(31)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0"/>
        </w:trPr>
        <w:tc>
          <w:tcPr>
            <w:tcW w:w="642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Total comprehensive loss</w:t>
            </w:r>
          </w:p>
        </w:tc>
        <w:tc>
          <w:tcPr>
            <w:tcW w:w="260" w:type="dxa"/>
            <w:vAlign w:val="bottom"/>
            <w:tcBorders>
              <w:top w:val="single" w:sz="8" w:color="auto"/>
              <w:bottom w:val="single" w:sz="8" w:color="auto"/>
            </w:tcBorders>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(35,386)</w:t>
            </w:r>
          </w:p>
        </w:tc>
        <w:tc>
          <w:tcPr>
            <w:tcW w:w="240" w:type="dxa"/>
            <w:vAlign w:val="bottom"/>
            <w:tcBorders>
              <w:top w:val="single" w:sz="8" w:color="E4E4E4"/>
            </w:tcBorders>
            <w:shd w:val="clear" w:color="auto" w:fill="E4E4E4"/>
          </w:tcPr>
          <w:p>
            <w:pPr>
              <w:spacing w:after="0"/>
              <w:rPr>
                <w:sz w:val="19"/>
                <w:szCs w:val="19"/>
                <w:color w:val="auto"/>
              </w:rPr>
            </w:pPr>
          </w:p>
        </w:tc>
        <w:tc>
          <w:tcPr>
            <w:tcW w:w="260" w:type="dxa"/>
            <w:vAlign w:val="bottom"/>
            <w:tcBorders>
              <w:top w:val="single" w:sz="8" w:color="auto"/>
              <w:bottom w:val="single" w:sz="8" w:color="auto"/>
            </w:tcBorders>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(50,637)</w:t>
            </w: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-2355215</wp:posOffset>
            </wp:positionV>
            <wp:extent cx="1007110" cy="177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7110" cy="177800"/>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-958215</wp:posOffset>
            </wp:positionV>
            <wp:extent cx="1007110" cy="2000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07110" cy="200025"/>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360"/>
          </w:cols>
          <w:pgMar w:left="1260" w:top="1235"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9360"/>
          </w:cols>
          <w:pgMar w:left="1260" w:top="1235" w:right="1260" w:bottom="0" w:gutter="0" w:footer="0" w:header="0"/>
          <w:type w:val="continuous"/>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30" w:type="dxa"/>
            <w:vAlign w:val="bottom"/>
            <w:textDirection w:val="tbRl"/>
          </w:tcPr>
          <w:p>
            <w:pPr>
              <w:spacing w:after="0"/>
              <w:rPr>
                <w:sz w:val="20"/>
                <w:szCs w:val="20"/>
                <w:color w:val="auto"/>
              </w:rPr>
            </w:pPr>
            <w:r>
              <w:rPr>
                <w:rFonts w:ascii="Times New Roman" w:cs="Times New Roman" w:eastAsia="Times New Roman" w:hAnsi="Times New Roman"/>
                <w:sz w:val="20"/>
                <w:szCs w:val="20"/>
                <w:color w:val="auto"/>
              </w:rPr>
              <w:t>F-5</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STOCKHOLDERS’ EQUITY</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14"/>
                <w:szCs w:val="14"/>
                <w:color w:val="auto"/>
              </w:rPr>
            </w:pPr>
          </w:p>
        </w:tc>
        <w:tc>
          <w:tcPr>
            <w:tcW w:w="2200" w:type="dxa"/>
            <w:vAlign w:val="bottom"/>
            <w:gridSpan w:val="3"/>
          </w:tcPr>
          <w:p>
            <w:pPr>
              <w:jc w:val="right"/>
              <w:ind w:right="412"/>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5"/>
                <w:szCs w:val="15"/>
                <w:b w:val="1"/>
                <w:bCs w:val="1"/>
                <w:color w:val="auto"/>
                <w:w w:val="98"/>
              </w:rPr>
              <w:t>Paid-in</w:t>
            </w:r>
          </w:p>
        </w:tc>
        <w:tc>
          <w:tcPr>
            <w:tcW w:w="260" w:type="dxa"/>
            <w:vAlign w:val="bottom"/>
          </w:tcPr>
          <w:p>
            <w:pPr>
              <w:spacing w:after="0"/>
              <w:rPr>
                <w:sz w:val="14"/>
                <w:szCs w:val="14"/>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Stockholders’</w:t>
            </w:r>
          </w:p>
        </w:tc>
        <w:tc>
          <w:tcPr>
            <w:tcW w:w="0" w:type="dxa"/>
            <w:vAlign w:val="bottom"/>
          </w:tcPr>
          <w:p>
            <w:pPr>
              <w:spacing w:after="0"/>
              <w:rPr>
                <w:sz w:val="1"/>
                <w:szCs w:val="1"/>
                <w:color w:val="auto"/>
              </w:rPr>
            </w:pPr>
          </w:p>
        </w:tc>
      </w:tr>
      <w:tr>
        <w:trPr>
          <w:trHeight w:val="182"/>
        </w:trPr>
        <w:tc>
          <w:tcPr>
            <w:tcW w:w="52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Balances as of December 31, 2021</w:t>
            </w:r>
          </w:p>
        </w:tc>
        <w:tc>
          <w:tcPr>
            <w:tcW w:w="1100" w:type="dxa"/>
            <w:vAlign w:val="bottom"/>
          </w:tcPr>
          <w:p>
            <w:pPr>
              <w:jc w:val="right"/>
              <w:ind w:right="23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Par Value</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220" w:type="dxa"/>
            <w:vAlign w:val="bottom"/>
          </w:tcPr>
          <w:p>
            <w:pPr>
              <w:spacing w:after="0"/>
              <w:rPr>
                <w:sz w:val="15"/>
                <w:szCs w:val="15"/>
                <w:color w:val="auto"/>
              </w:rPr>
            </w:pP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5"/>
              </w:rPr>
              <w:t>Loss</w:t>
            </w:r>
          </w:p>
        </w:tc>
        <w:tc>
          <w:tcPr>
            <w:tcW w:w="12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32"/>
        </w:trPr>
        <w:tc>
          <w:tcPr>
            <w:tcW w:w="5280" w:type="dxa"/>
            <w:vAlign w:val="bottom"/>
            <w:vMerge w:val="continue"/>
          </w:tcPr>
          <w:p>
            <w:pPr>
              <w:spacing w:after="0"/>
              <w:rPr>
                <w:sz w:val="2"/>
                <w:szCs w:val="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17,710,450</w:t>
            </w:r>
          </w:p>
        </w:tc>
        <w:tc>
          <w:tcPr>
            <w:tcW w:w="260" w:type="dxa"/>
            <w:vAlign w:val="bottom"/>
          </w:tcPr>
          <w:p>
            <w:pPr>
              <w:spacing w:after="0"/>
              <w:rPr>
                <w:sz w:val="2"/>
                <w:szCs w:val="2"/>
                <w:color w:val="auto"/>
              </w:rPr>
            </w:pPr>
          </w:p>
        </w:tc>
        <w:tc>
          <w:tcPr>
            <w:tcW w:w="840" w:type="dxa"/>
            <w:vAlign w:val="bottom"/>
            <w:vMerge w:val="restart"/>
          </w:tcPr>
          <w:p>
            <w:pPr>
              <w:jc w:val="right"/>
              <w:ind w:right="652"/>
              <w:spacing w:after="0"/>
              <w:rPr>
                <w:sz w:val="20"/>
                <w:szCs w:val="20"/>
                <w:color w:val="auto"/>
              </w:rPr>
            </w:pPr>
            <w:r>
              <w:rPr>
                <w:rFonts w:ascii="Times New Roman" w:cs="Times New Roman" w:eastAsia="Times New Roman" w:hAnsi="Times New Roman"/>
                <w:sz w:val="19"/>
                <w:szCs w:val="19"/>
                <w:color w:val="auto"/>
                <w:w w:val="83"/>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94"/>
              </w:rPr>
              <w:t>18</w:t>
            </w:r>
          </w:p>
        </w:tc>
        <w:tc>
          <w:tcPr>
            <w:tcW w:w="260" w:type="dxa"/>
            <w:vAlign w:val="bottom"/>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180,645</w:t>
            </w:r>
          </w:p>
        </w:tc>
        <w:tc>
          <w:tcPr>
            <w:tcW w:w="260" w:type="dxa"/>
            <w:vAlign w:val="bottom"/>
          </w:tcPr>
          <w:p>
            <w:pPr>
              <w:spacing w:after="0"/>
              <w:rPr>
                <w:sz w:val="2"/>
                <w:szCs w:val="2"/>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(116,250)</w:t>
            </w:r>
          </w:p>
        </w:tc>
        <w:tc>
          <w:tcPr>
            <w:tcW w:w="260" w:type="dxa"/>
            <w:vAlign w:val="bottom"/>
          </w:tcPr>
          <w:p>
            <w:pPr>
              <w:spacing w:after="0"/>
              <w:rPr>
                <w:sz w:val="2"/>
                <w:szCs w:val="2"/>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64,413</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60" w:type="dxa"/>
            <w:vAlign w:val="bottom"/>
            <w:tcBorders>
              <w:bottom w:val="single" w:sz="8" w:color="E4E4E4"/>
            </w:tcBorders>
            <w:shd w:val="clear" w:color="auto" w:fill="E4E4E4"/>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Borders>
              <w:bottom w:val="single" w:sz="8" w:color="E4E4E4"/>
            </w:tcBorders>
            <w:shd w:val="clear" w:color="auto" w:fill="E4E4E4"/>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Borders>
              <w:bottom w:val="single" w:sz="8" w:color="E4E4E4"/>
            </w:tcBorders>
            <w:shd w:val="clear" w:color="auto" w:fill="E4E4E4"/>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60" w:type="dxa"/>
            <w:vAlign w:val="bottom"/>
            <w:tcBorders>
              <w:bottom w:val="single" w:sz="8" w:color="E4E4E4"/>
            </w:tcBorders>
            <w:shd w:val="clear" w:color="auto" w:fill="E4E4E4"/>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60" w:type="dxa"/>
            <w:vAlign w:val="bottom"/>
            <w:tcBorders>
              <w:bottom w:val="single" w:sz="8" w:color="E4E4E4"/>
            </w:tcBorders>
            <w:shd w:val="clear" w:color="auto" w:fill="E4E4E4"/>
          </w:tcPr>
          <w:p>
            <w:pPr>
              <w:spacing w:after="0"/>
              <w:rPr>
                <w:sz w:val="18"/>
                <w:szCs w:val="18"/>
                <w:color w:val="auto"/>
              </w:rPr>
            </w:pP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Borders>
              <w:bottom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280" w:type="dxa"/>
            <w:vAlign w:val="bottom"/>
          </w:tcPr>
          <w:p>
            <w:pPr>
              <w:spacing w:after="0" w:line="177" w:lineRule="exact"/>
              <w:rPr>
                <w:sz w:val="20"/>
                <w:szCs w:val="20"/>
                <w:color w:val="auto"/>
              </w:rPr>
            </w:pPr>
            <w:r>
              <w:rPr>
                <w:rFonts w:ascii="Times New Roman" w:cs="Times New Roman" w:eastAsia="Times New Roman" w:hAnsi="Times New Roman"/>
                <w:sz w:val="19"/>
                <w:szCs w:val="19"/>
                <w:color w:val="auto"/>
              </w:rPr>
              <w:t>Issuance of Common Stock, net</w:t>
            </w:r>
          </w:p>
        </w:tc>
        <w:tc>
          <w:tcPr>
            <w:tcW w:w="110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rPr>
              <w:t>25,558,750</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w w:val="94"/>
              </w:rPr>
              <w:t>25</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rPr>
              <w:t>75,232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rPr>
              <w:t>75,257</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Times New Roman" w:cs="Times New Roman" w:eastAsia="Times New Roman" w:hAnsi="Times New Roman"/>
                <w:sz w:val="19"/>
                <w:szCs w:val="19"/>
                <w:color w:val="auto"/>
              </w:rPr>
              <w:t>Stock-based compensation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6,619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Times New Roman" w:cs="Times New Roman" w:eastAsia="Times New Roman" w:hAnsi="Times New Roman"/>
                <w:sz w:val="19"/>
                <w:szCs w:val="19"/>
                <w:color w:val="auto"/>
              </w:rPr>
              <w:t>Unrealized loss on marketable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(31)</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(31)</w:t>
            </w: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(35,355)</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(35,355)</w:t>
            </w:r>
          </w:p>
        </w:tc>
        <w:tc>
          <w:tcPr>
            <w:tcW w:w="0" w:type="dxa"/>
            <w:vAlign w:val="bottom"/>
          </w:tcPr>
          <w:p>
            <w:pPr>
              <w:spacing w:after="0"/>
              <w:rPr>
                <w:sz w:val="1"/>
                <w:szCs w:val="1"/>
                <w:color w:val="auto"/>
              </w:rPr>
            </w:pPr>
          </w:p>
        </w:tc>
      </w:tr>
      <w:tr>
        <w:trPr>
          <w:trHeight w:val="266"/>
        </w:trPr>
        <w:tc>
          <w:tcPr>
            <w:tcW w:w="52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Balances as of December 31, 2022</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43,269,200</w:t>
            </w:r>
          </w:p>
        </w:tc>
        <w:tc>
          <w:tcPr>
            <w:tcW w:w="260" w:type="dxa"/>
            <w:vAlign w:val="bottom"/>
          </w:tcPr>
          <w:p>
            <w:pPr>
              <w:spacing w:after="0"/>
              <w:rPr>
                <w:sz w:val="23"/>
                <w:szCs w:val="23"/>
                <w:color w:val="auto"/>
              </w:rPr>
            </w:pPr>
          </w:p>
        </w:tc>
        <w:tc>
          <w:tcPr>
            <w:tcW w:w="8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9"/>
                <w:szCs w:val="19"/>
                <w:color w:val="auto"/>
                <w:w w:val="83"/>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4"/>
              </w:rPr>
              <w:t>43</w:t>
            </w:r>
          </w:p>
        </w:tc>
        <w:tc>
          <w:tcPr>
            <w:tcW w:w="26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262,496</w:t>
            </w:r>
          </w:p>
        </w:tc>
        <w:tc>
          <w:tcPr>
            <w:tcW w:w="260" w:type="dxa"/>
            <w:vAlign w:val="bottom"/>
          </w:tcPr>
          <w:p>
            <w:pPr>
              <w:spacing w:after="0"/>
              <w:rPr>
                <w:sz w:val="23"/>
                <w:szCs w:val="23"/>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(151,605)</w:t>
            </w:r>
          </w:p>
        </w:tc>
        <w:tc>
          <w:tcPr>
            <w:tcW w:w="260" w:type="dxa"/>
            <w:vAlign w:val="bottom"/>
          </w:tcPr>
          <w:p>
            <w:pPr>
              <w:spacing w:after="0"/>
              <w:rPr>
                <w:sz w:val="23"/>
                <w:szCs w:val="23"/>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26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110,903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center"/>
              <w:ind w:right="52"/>
              <w:spacing w:after="0"/>
              <w:rPr>
                <w:sz w:val="20"/>
                <w:szCs w:val="20"/>
                <w:color w:val="auto"/>
              </w:rPr>
            </w:pPr>
            <w:r>
              <w:rPr>
                <w:rFonts w:ascii="Times New Roman" w:cs="Times New Roman" w:eastAsia="Times New Roman" w:hAnsi="Times New Roman"/>
                <w:sz w:val="15"/>
                <w:szCs w:val="15"/>
                <w:b w:val="1"/>
                <w:bCs w:val="1"/>
                <w:color w:val="auto"/>
                <w:w w:val="99"/>
              </w:rPr>
              <w:t>Additional</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2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Total</w:t>
            </w:r>
          </w:p>
        </w:tc>
        <w:tc>
          <w:tcPr>
            <w:tcW w:w="0" w:type="dxa"/>
            <w:vAlign w:val="bottom"/>
          </w:tcPr>
          <w:p>
            <w:pPr>
              <w:spacing w:after="0"/>
              <w:rPr>
                <w:sz w:val="1"/>
                <w:szCs w:val="1"/>
                <w:color w:val="auto"/>
              </w:rPr>
            </w:pPr>
          </w:p>
        </w:tc>
      </w:tr>
      <w:tr>
        <w:trPr>
          <w:trHeight w:val="206"/>
        </w:trPr>
        <w:tc>
          <w:tcPr>
            <w:tcW w:w="5280" w:type="dxa"/>
            <w:vAlign w:val="bottom"/>
          </w:tcPr>
          <w:p>
            <w:pPr>
              <w:spacing w:after="0"/>
              <w:rPr>
                <w:sz w:val="17"/>
                <w:szCs w:val="17"/>
                <w:color w:val="auto"/>
              </w:rPr>
            </w:pPr>
          </w:p>
        </w:tc>
        <w:tc>
          <w:tcPr>
            <w:tcW w:w="2200" w:type="dxa"/>
            <w:vAlign w:val="bottom"/>
            <w:tcBorders>
              <w:bottom w:val="single" w:sz="8" w:color="auto"/>
            </w:tcBorders>
            <w:gridSpan w:val="3"/>
          </w:tcPr>
          <w:p>
            <w:pPr>
              <w:jc w:val="right"/>
              <w:ind w:right="412"/>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center"/>
              <w:ind w:right="32"/>
              <w:spacing w:after="0"/>
              <w:rPr>
                <w:sz w:val="20"/>
                <w:szCs w:val="20"/>
                <w:color w:val="auto"/>
              </w:rPr>
            </w:pPr>
            <w:r>
              <w:rPr>
                <w:rFonts w:ascii="Times New Roman" w:cs="Times New Roman" w:eastAsia="Times New Roman" w:hAnsi="Times New Roman"/>
                <w:sz w:val="15"/>
                <w:szCs w:val="15"/>
                <w:b w:val="1"/>
                <w:bCs w:val="1"/>
                <w:color w:val="auto"/>
                <w:w w:val="98"/>
              </w:rPr>
              <w:t>Paid-in</w:t>
            </w:r>
          </w:p>
        </w:tc>
        <w:tc>
          <w:tcPr>
            <w:tcW w:w="260" w:type="dxa"/>
            <w:vAlign w:val="bottom"/>
          </w:tcPr>
          <w:p>
            <w:pPr>
              <w:spacing w:after="0"/>
              <w:rPr>
                <w:sz w:val="17"/>
                <w:szCs w:val="17"/>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300" w:type="dxa"/>
            <w:vAlign w:val="bottom"/>
            <w:gridSpan w:val="3"/>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9"/>
              </w:rPr>
              <w:t>Stockholders’</w:t>
            </w:r>
          </w:p>
        </w:tc>
        <w:tc>
          <w:tcPr>
            <w:tcW w:w="0" w:type="dxa"/>
            <w:vAlign w:val="bottom"/>
          </w:tcPr>
          <w:p>
            <w:pPr>
              <w:spacing w:after="0"/>
              <w:rPr>
                <w:sz w:val="1"/>
                <w:szCs w:val="1"/>
                <w:color w:val="auto"/>
              </w:rPr>
            </w:pPr>
          </w:p>
        </w:tc>
      </w:tr>
      <w:tr>
        <w:trPr>
          <w:trHeight w:val="152"/>
        </w:trPr>
        <w:tc>
          <w:tcPr>
            <w:tcW w:w="52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Balances as of December 31, 2020</w:t>
            </w:r>
          </w:p>
        </w:tc>
        <w:tc>
          <w:tcPr>
            <w:tcW w:w="1100" w:type="dxa"/>
            <w:vAlign w:val="bottom"/>
          </w:tcPr>
          <w:p>
            <w:pPr>
              <w:jc w:val="right"/>
              <w:ind w:right="230"/>
              <w:spacing w:after="0" w:line="151" w:lineRule="exact"/>
              <w:rPr>
                <w:sz w:val="20"/>
                <w:szCs w:val="20"/>
                <w:color w:val="auto"/>
              </w:rPr>
            </w:pPr>
            <w:r>
              <w:rPr>
                <w:rFonts w:ascii="Times New Roman" w:cs="Times New Roman" w:eastAsia="Times New Roman" w:hAnsi="Times New Roman"/>
                <w:sz w:val="15"/>
                <w:szCs w:val="15"/>
                <w:b w:val="1"/>
                <w:bCs w:val="1"/>
                <w:color w:val="auto"/>
              </w:rPr>
              <w:t>Shares</w:t>
            </w:r>
          </w:p>
        </w:tc>
        <w:tc>
          <w:tcPr>
            <w:tcW w:w="260" w:type="dxa"/>
            <w:vAlign w:val="bottom"/>
          </w:tcPr>
          <w:p>
            <w:pPr>
              <w:spacing w:after="0"/>
              <w:rPr>
                <w:sz w:val="13"/>
                <w:szCs w:val="13"/>
                <w:color w:val="auto"/>
              </w:rPr>
            </w:pPr>
          </w:p>
        </w:tc>
        <w:tc>
          <w:tcPr>
            <w:tcW w:w="84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Par Value</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52"/>
              <w:spacing w:after="0" w:line="151" w:lineRule="exact"/>
              <w:rPr>
                <w:sz w:val="20"/>
                <w:szCs w:val="20"/>
                <w:color w:val="auto"/>
              </w:rPr>
            </w:pPr>
            <w:r>
              <w:rPr>
                <w:rFonts w:ascii="Times New Roman" w:cs="Times New Roman" w:eastAsia="Times New Roman" w:hAnsi="Times New Roman"/>
                <w:sz w:val="15"/>
                <w:szCs w:val="15"/>
                <w:b w:val="1"/>
                <w:bCs w:val="1"/>
                <w:color w:val="auto"/>
              </w:rPr>
              <w:t>Capital</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jc w:val="center"/>
              <w:ind w:right="460"/>
              <w:spacing w:after="0" w:line="151" w:lineRule="exact"/>
              <w:rPr>
                <w:sz w:val="20"/>
                <w:szCs w:val="20"/>
                <w:color w:val="auto"/>
              </w:rPr>
            </w:pPr>
            <w:r>
              <w:rPr>
                <w:rFonts w:ascii="Times New Roman" w:cs="Times New Roman" w:eastAsia="Times New Roman" w:hAnsi="Times New Roman"/>
                <w:sz w:val="15"/>
                <w:szCs w:val="15"/>
                <w:b w:val="1"/>
                <w:bCs w:val="1"/>
                <w:color w:val="auto"/>
                <w:w w:val="98"/>
              </w:rPr>
              <w:t>Deficit</w:t>
            </w:r>
          </w:p>
        </w:tc>
        <w:tc>
          <w:tcPr>
            <w:tcW w:w="220" w:type="dxa"/>
            <w:vAlign w:val="bottom"/>
          </w:tcPr>
          <w:p>
            <w:pPr>
              <w:spacing w:after="0"/>
              <w:rPr>
                <w:sz w:val="13"/>
                <w:szCs w:val="13"/>
                <w:color w:val="auto"/>
              </w:rPr>
            </w:pPr>
          </w:p>
        </w:tc>
        <w:tc>
          <w:tcPr>
            <w:tcW w:w="1080" w:type="dxa"/>
            <w:vAlign w:val="bottom"/>
            <w:gridSpan w:val="2"/>
          </w:tcPr>
          <w:p>
            <w:pPr>
              <w:jc w:val="center"/>
              <w:ind w:right="480"/>
              <w:spacing w:after="0" w:line="151" w:lineRule="exact"/>
              <w:rPr>
                <w:sz w:val="20"/>
                <w:szCs w:val="20"/>
                <w:color w:val="auto"/>
              </w:rPr>
            </w:pPr>
            <w:r>
              <w:rPr>
                <w:rFonts w:ascii="Times New Roman" w:cs="Times New Roman" w:eastAsia="Times New Roman" w:hAnsi="Times New Roman"/>
                <w:sz w:val="15"/>
                <w:szCs w:val="15"/>
                <w:b w:val="1"/>
                <w:bCs w:val="1"/>
                <w:color w:val="auto"/>
                <w:w w:val="95"/>
              </w:rPr>
              <w:t>Loss</w:t>
            </w:r>
          </w:p>
        </w:tc>
        <w:tc>
          <w:tcPr>
            <w:tcW w:w="120" w:type="dxa"/>
            <w:vAlign w:val="bottom"/>
          </w:tcPr>
          <w:p>
            <w:pPr>
              <w:spacing w:after="0"/>
              <w:rPr>
                <w:sz w:val="13"/>
                <w:szCs w:val="13"/>
                <w:color w:val="auto"/>
              </w:rPr>
            </w:pPr>
          </w:p>
        </w:tc>
        <w:tc>
          <w:tcPr>
            <w:tcW w:w="104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32"/>
        </w:trPr>
        <w:tc>
          <w:tcPr>
            <w:tcW w:w="5280" w:type="dxa"/>
            <w:vAlign w:val="bottom"/>
            <w:vMerge w:val="continue"/>
          </w:tcPr>
          <w:p>
            <w:pPr>
              <w:spacing w:after="0"/>
              <w:rPr>
                <w:sz w:val="2"/>
                <w:szCs w:val="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15,367,730</w:t>
            </w:r>
          </w:p>
        </w:tc>
        <w:tc>
          <w:tcPr>
            <w:tcW w:w="260" w:type="dxa"/>
            <w:vAlign w:val="bottom"/>
          </w:tcPr>
          <w:p>
            <w:pPr>
              <w:spacing w:after="0"/>
              <w:rPr>
                <w:sz w:val="2"/>
                <w:szCs w:val="2"/>
                <w:color w:val="auto"/>
              </w:rPr>
            </w:pPr>
          </w:p>
        </w:tc>
        <w:tc>
          <w:tcPr>
            <w:tcW w:w="840" w:type="dxa"/>
            <w:vAlign w:val="bottom"/>
            <w:vMerge w:val="restart"/>
          </w:tcPr>
          <w:p>
            <w:pPr>
              <w:jc w:val="right"/>
              <w:ind w:right="652"/>
              <w:spacing w:after="0"/>
              <w:rPr>
                <w:sz w:val="20"/>
                <w:szCs w:val="20"/>
                <w:color w:val="auto"/>
              </w:rPr>
            </w:pPr>
            <w:r>
              <w:rPr>
                <w:rFonts w:ascii="Times New Roman" w:cs="Times New Roman" w:eastAsia="Times New Roman" w:hAnsi="Times New Roman"/>
                <w:sz w:val="19"/>
                <w:szCs w:val="19"/>
                <w:color w:val="auto"/>
                <w:w w:val="83"/>
              </w:rPr>
              <w:t>$</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94"/>
              </w:rPr>
              <w:t>15</w:t>
            </w:r>
          </w:p>
        </w:tc>
        <w:tc>
          <w:tcPr>
            <w:tcW w:w="260" w:type="dxa"/>
            <w:vAlign w:val="bottom"/>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155,290</w:t>
            </w:r>
          </w:p>
        </w:tc>
        <w:tc>
          <w:tcPr>
            <w:tcW w:w="260" w:type="dxa"/>
            <w:vAlign w:val="bottom"/>
          </w:tcPr>
          <w:p>
            <w:pPr>
              <w:spacing w:after="0"/>
              <w:rPr>
                <w:sz w:val="2"/>
                <w:szCs w:val="2"/>
                <w:color w:val="auto"/>
              </w:rPr>
            </w:pPr>
          </w:p>
        </w:tc>
        <w:tc>
          <w:tcPr>
            <w:tcW w:w="200" w:type="dxa"/>
            <w:vAlign w:val="bottom"/>
            <w:vMerge w:val="restart"/>
          </w:tcPr>
          <w:p>
            <w:pPr>
              <w:jc w:val="right"/>
              <w:ind w:right="12"/>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(65,614)</w:t>
            </w:r>
          </w:p>
        </w:tc>
        <w:tc>
          <w:tcPr>
            <w:tcW w:w="260" w:type="dxa"/>
            <w:vAlign w:val="bottom"/>
          </w:tcPr>
          <w:p>
            <w:pPr>
              <w:spacing w:after="0"/>
              <w:rPr>
                <w:sz w:val="2"/>
                <w:szCs w:val="2"/>
                <w:color w:val="auto"/>
              </w:rPr>
            </w:pPr>
          </w:p>
        </w:tc>
        <w:tc>
          <w:tcPr>
            <w:tcW w:w="220" w:type="dxa"/>
            <w:vAlign w:val="bottom"/>
            <w:vMerge w:val="restart"/>
          </w:tcPr>
          <w:p>
            <w:pPr>
              <w:jc w:val="right"/>
              <w:ind w:right="35"/>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260" w:type="dxa"/>
            <w:vAlign w:val="bottom"/>
          </w:tcPr>
          <w:p>
            <w:pPr>
              <w:spacing w:after="0"/>
              <w:rPr>
                <w:sz w:val="2"/>
                <w:szCs w:val="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89,692</w:t>
            </w: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8"/>
        </w:trPr>
        <w:tc>
          <w:tcPr>
            <w:tcW w:w="528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260" w:type="dxa"/>
            <w:vAlign w:val="bottom"/>
            <w:tcBorders>
              <w:bottom w:val="single" w:sz="8" w:color="E4E4E4"/>
            </w:tcBorders>
            <w:shd w:val="clear" w:color="auto" w:fill="E4E4E4"/>
          </w:tcPr>
          <w:p>
            <w:pPr>
              <w:spacing w:after="0"/>
              <w:rPr>
                <w:sz w:val="18"/>
                <w:szCs w:val="18"/>
                <w:color w:val="auto"/>
              </w:rPr>
            </w:pPr>
          </w:p>
        </w:tc>
        <w:tc>
          <w:tcPr>
            <w:tcW w:w="84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260" w:type="dxa"/>
            <w:vAlign w:val="bottom"/>
            <w:tcBorders>
              <w:bottom w:val="single" w:sz="8" w:color="E4E4E4"/>
            </w:tcBorders>
            <w:shd w:val="clear" w:color="auto" w:fill="E4E4E4"/>
          </w:tcPr>
          <w:p>
            <w:pPr>
              <w:spacing w:after="0"/>
              <w:rPr>
                <w:sz w:val="18"/>
                <w:szCs w:val="18"/>
                <w:color w:val="auto"/>
              </w:rPr>
            </w:pPr>
          </w:p>
        </w:tc>
        <w:tc>
          <w:tcPr>
            <w:tcW w:w="12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60" w:type="dxa"/>
            <w:vAlign w:val="bottom"/>
            <w:tcBorders>
              <w:bottom w:val="single" w:sz="8" w:color="E4E4E4"/>
            </w:tcBorders>
            <w:shd w:val="clear" w:color="auto" w:fill="E4E4E4"/>
          </w:tcPr>
          <w:p>
            <w:pPr>
              <w:spacing w:after="0"/>
              <w:rPr>
                <w:sz w:val="18"/>
                <w:szCs w:val="18"/>
                <w:color w:val="auto"/>
              </w:rPr>
            </w:pPr>
          </w:p>
        </w:tc>
        <w:tc>
          <w:tcPr>
            <w:tcW w:w="20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60" w:type="dxa"/>
            <w:vAlign w:val="bottom"/>
            <w:tcBorders>
              <w:bottom w:val="single" w:sz="8" w:color="E4E4E4"/>
            </w:tcBorders>
            <w:shd w:val="clear" w:color="auto" w:fill="E4E4E4"/>
          </w:tcPr>
          <w:p>
            <w:pPr>
              <w:spacing w:after="0"/>
              <w:rPr>
                <w:sz w:val="18"/>
                <w:szCs w:val="18"/>
                <w:color w:val="auto"/>
              </w:rPr>
            </w:pPr>
          </w:p>
        </w:tc>
        <w:tc>
          <w:tcPr>
            <w:tcW w:w="2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60" w:type="dxa"/>
            <w:vAlign w:val="bottom"/>
            <w:tcBorders>
              <w:bottom w:val="single" w:sz="8" w:color="E4E4E4"/>
            </w:tcBorders>
            <w:shd w:val="clear" w:color="auto" w:fill="E4E4E4"/>
          </w:tcPr>
          <w:p>
            <w:pPr>
              <w:spacing w:after="0"/>
              <w:rPr>
                <w:sz w:val="18"/>
                <w:szCs w:val="18"/>
                <w:color w:val="auto"/>
              </w:rPr>
            </w:pPr>
          </w:p>
        </w:tc>
        <w:tc>
          <w:tcPr>
            <w:tcW w:w="12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Borders>
              <w:bottom w:val="single" w:sz="8" w:color="E4E4E4"/>
            </w:tcBorders>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5280" w:type="dxa"/>
            <w:vAlign w:val="bottom"/>
          </w:tcPr>
          <w:p>
            <w:pPr>
              <w:spacing w:after="0" w:line="177" w:lineRule="exact"/>
              <w:rPr>
                <w:sz w:val="20"/>
                <w:szCs w:val="20"/>
                <w:color w:val="auto"/>
              </w:rPr>
            </w:pPr>
            <w:r>
              <w:rPr>
                <w:rFonts w:ascii="Times New Roman" w:cs="Times New Roman" w:eastAsia="Times New Roman" w:hAnsi="Times New Roman"/>
                <w:sz w:val="19"/>
                <w:szCs w:val="19"/>
                <w:color w:val="auto"/>
              </w:rPr>
              <w:t>Issuance of Common Stock, net</w:t>
            </w:r>
          </w:p>
        </w:tc>
        <w:tc>
          <w:tcPr>
            <w:tcW w:w="110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rPr>
              <w:t>2,342,720</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rPr>
              <w:t>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rPr>
              <w:t>19,882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line="177" w:lineRule="exact"/>
              <w:rPr>
                <w:sz w:val="20"/>
                <w:szCs w:val="20"/>
                <w:color w:val="auto"/>
              </w:rPr>
            </w:pPr>
            <w:r>
              <w:rPr>
                <w:rFonts w:ascii="Times New Roman" w:cs="Times New Roman" w:eastAsia="Times New Roman" w:hAnsi="Times New Roman"/>
                <w:sz w:val="19"/>
                <w:szCs w:val="19"/>
                <w:color w:val="auto"/>
              </w:rPr>
              <w:t>19,885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Times New Roman" w:cs="Times New Roman" w:eastAsia="Times New Roman" w:hAnsi="Times New Roman"/>
                <w:sz w:val="19"/>
                <w:szCs w:val="19"/>
                <w:color w:val="auto"/>
              </w:rPr>
              <w:t>Stock-based compensation expense</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Times New Roman" w:cs="Times New Roman" w:eastAsia="Times New Roman" w:hAnsi="Times New Roman"/>
                <w:sz w:val="19"/>
                <w:szCs w:val="19"/>
                <w:color w:val="auto"/>
              </w:rPr>
              <w:t>Unrealized loss on marketable securities</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9"/>
                <w:szCs w:val="19"/>
                <w:color w:val="auto"/>
              </w:rPr>
              <w:t>(1)</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w:t>
            </w:r>
          </w:p>
        </w:tc>
        <w:tc>
          <w:tcPr>
            <w:tcW w:w="0" w:type="dxa"/>
            <w:vAlign w:val="bottom"/>
          </w:tcPr>
          <w:p>
            <w:pPr>
              <w:spacing w:after="0"/>
              <w:rPr>
                <w:sz w:val="1"/>
                <w:szCs w:val="1"/>
                <w:color w:val="auto"/>
              </w:rPr>
            </w:pPr>
          </w:p>
        </w:tc>
      </w:tr>
      <w:tr>
        <w:trPr>
          <w:trHeight w:val="218"/>
        </w:trPr>
        <w:tc>
          <w:tcPr>
            <w:tcW w:w="5280" w:type="dxa"/>
            <w:vAlign w:val="bottom"/>
          </w:tcPr>
          <w:p>
            <w:pPr>
              <w:spacing w:after="0"/>
              <w:rPr>
                <w:sz w:val="20"/>
                <w:szCs w:val="20"/>
                <w:color w:val="auto"/>
              </w:rPr>
            </w:pPr>
            <w:r>
              <w:rPr>
                <w:rFonts w:ascii="Times New Roman" w:cs="Times New Roman" w:eastAsia="Times New Roman" w:hAnsi="Times New Roman"/>
                <w:sz w:val="19"/>
                <w:szCs w:val="19"/>
                <w:color w:val="auto"/>
              </w:rPr>
              <w:t>Net loss</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4"/>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9"/>
                <w:szCs w:val="19"/>
                <w:color w:val="auto"/>
              </w:rPr>
              <w:t>(50,636)</w:t>
            </w: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(50,636)</w:t>
            </w:r>
          </w:p>
        </w:tc>
        <w:tc>
          <w:tcPr>
            <w:tcW w:w="0" w:type="dxa"/>
            <w:vAlign w:val="bottom"/>
          </w:tcPr>
          <w:p>
            <w:pPr>
              <w:spacing w:after="0"/>
              <w:rPr>
                <w:sz w:val="1"/>
                <w:szCs w:val="1"/>
                <w:color w:val="auto"/>
              </w:rPr>
            </w:pPr>
          </w:p>
        </w:tc>
      </w:tr>
      <w:tr>
        <w:trPr>
          <w:trHeight w:val="266"/>
        </w:trPr>
        <w:tc>
          <w:tcPr>
            <w:tcW w:w="52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Balances as of December 31, 2021</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17,710,450</w:t>
            </w:r>
          </w:p>
        </w:tc>
        <w:tc>
          <w:tcPr>
            <w:tcW w:w="260" w:type="dxa"/>
            <w:vAlign w:val="bottom"/>
          </w:tcPr>
          <w:p>
            <w:pPr>
              <w:spacing w:after="0"/>
              <w:rPr>
                <w:sz w:val="23"/>
                <w:szCs w:val="23"/>
                <w:color w:val="auto"/>
              </w:rPr>
            </w:pPr>
          </w:p>
        </w:tc>
        <w:tc>
          <w:tcPr>
            <w:tcW w:w="8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9"/>
                <w:szCs w:val="19"/>
                <w:color w:val="auto"/>
                <w:w w:val="83"/>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94"/>
              </w:rPr>
              <w:t>18</w:t>
            </w:r>
          </w:p>
        </w:tc>
        <w:tc>
          <w:tcPr>
            <w:tcW w:w="26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180,645</w:t>
            </w:r>
          </w:p>
        </w:tc>
        <w:tc>
          <w:tcPr>
            <w:tcW w:w="260" w:type="dxa"/>
            <w:vAlign w:val="bottom"/>
          </w:tcPr>
          <w:p>
            <w:pPr>
              <w:spacing w:after="0"/>
              <w:rPr>
                <w:sz w:val="23"/>
                <w:szCs w:val="23"/>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(116,250)</w:t>
            </w:r>
          </w:p>
        </w:tc>
        <w:tc>
          <w:tcPr>
            <w:tcW w:w="260" w:type="dxa"/>
            <w:vAlign w:val="bottom"/>
          </w:tcPr>
          <w:p>
            <w:pPr>
              <w:spacing w:after="0"/>
              <w:rPr>
                <w:sz w:val="23"/>
                <w:szCs w:val="23"/>
                <w:color w:val="auto"/>
              </w:rPr>
            </w:pPr>
          </w:p>
        </w:tc>
        <w:tc>
          <w:tcPr>
            <w:tcW w:w="2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9"/>
                <w:szCs w:val="19"/>
                <w:color w:val="auto"/>
                <w:w w:val="8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64,413</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-2511425</wp:posOffset>
            </wp:positionV>
            <wp:extent cx="8229600" cy="8223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229600" cy="8223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-873125</wp:posOffset>
            </wp:positionV>
            <wp:extent cx="8229600" cy="7061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29600" cy="706120"/>
                    </a:xfrm>
                    <a:prstGeom prst="rect">
                      <a:avLst/>
                    </a:prstGeom>
                    <a:noFill/>
                  </pic:spPr>
                </pic:pic>
              </a:graphicData>
            </a:graphic>
          </wp:anchor>
        </w:drawing>
      </w:r>
    </w:p>
    <w:p>
      <w:pPr>
        <w:spacing w:after="0" w:line="129"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5480" w:h="11880" w:orient="landscape"/>
          <w:cols w:equalWidth="0" w:num="2">
            <w:col w:w="230" w:space="469"/>
            <w:col w:w="12960"/>
          </w:cols>
          <w:pgMar w:left="561" w:top="1171" w:right="1260" w:bottom="1440" w:gutter="0" w:footer="0" w:header="0"/>
        </w:sectPr>
      </w:pPr>
    </w:p>
    <w:bookmarkStart w:id="103" w:name="page104"/>
    <w:bookmarkEnd w:id="103"/>
    <w:p>
      <w:pPr>
        <w:ind w:left="3120"/>
        <w:spacing w:after="0"/>
        <w:rPr>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240"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4"/>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174"/>
        </w:trPr>
        <w:tc>
          <w:tcPr>
            <w:tcW w:w="7140" w:type="dxa"/>
            <w:vAlign w:val="bottom"/>
            <w:tcBorders>
              <w:bottom w:val="single" w:sz="8" w:color="E4E4E4"/>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22"/>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Borders>
              <w:top w:val="single" w:sz="8" w:color="auto"/>
              <w:bottom w:val="single" w:sz="8" w:color="E4E4E4"/>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61"/>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1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780" w:type="dxa"/>
            <w:vAlign w:val="bottom"/>
            <w:tcBorders>
              <w:right w:val="single" w:sz="8" w:color="E4E4E4"/>
            </w:tcBorders>
            <w:shd w:val="clear" w:color="auto" w:fill="E4E4E4"/>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(35,355)</w:t>
            </w:r>
          </w:p>
        </w:tc>
        <w:tc>
          <w:tcPr>
            <w:tcW w:w="2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(50,636)</w:t>
            </w:r>
          </w:p>
        </w:tc>
      </w:tr>
      <w:tr>
        <w:trPr>
          <w:trHeight w:val="230"/>
        </w:trPr>
        <w:tc>
          <w:tcPr>
            <w:tcW w:w="71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780" w:type="dxa"/>
            <w:vAlign w:val="bottom"/>
            <w:tcBorders>
              <w:right w:val="single" w:sz="8" w:color="E4E4E4"/>
            </w:tcBorders>
            <w:shd w:val="clear" w:color="auto" w:fill="E4E4E4"/>
          </w:tcPr>
          <w:p>
            <w:pPr>
              <w:spacing w:after="0"/>
              <w:rPr>
                <w:sz w:val="19"/>
                <w:szCs w:val="19"/>
                <w:color w:val="auto"/>
              </w:rPr>
            </w:pP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Stock-based compensation expense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5,473</w:t>
            </w:r>
          </w:p>
        </w:tc>
      </w:tr>
      <w:tr>
        <w:trPr>
          <w:trHeight w:val="230"/>
        </w:trPr>
        <w:tc>
          <w:tcPr>
            <w:tcW w:w="71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Gain on disposal of fixed asset</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780" w:type="dxa"/>
            <w:vAlign w:val="bottom"/>
            <w:tcBorders>
              <w:right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w:t>
            </w: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Non-cash lease expense</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r>
      <w:tr>
        <w:trPr>
          <w:trHeight w:val="230"/>
        </w:trPr>
        <w:tc>
          <w:tcPr>
            <w:tcW w:w="71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Depreciation expense</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318</w:t>
            </w:r>
          </w:p>
        </w:tc>
        <w:tc>
          <w:tcPr>
            <w:tcW w:w="2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780" w:type="dxa"/>
            <w:vAlign w:val="bottom"/>
            <w:tcBorders>
              <w:right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326</w:t>
            </w:r>
          </w:p>
        </w:tc>
      </w:tr>
      <w:tr>
        <w:trPr>
          <w:trHeight w:val="230"/>
        </w:trPr>
        <w:tc>
          <w:tcPr>
            <w:tcW w:w="71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Amortization of discount on marketable securities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r>
      <w:tr>
        <w:trPr>
          <w:trHeight w:val="230"/>
        </w:trPr>
        <w:tc>
          <w:tcPr>
            <w:tcW w:w="714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b w:val="1"/>
                <w:bCs w:val="1"/>
                <w:color w:val="auto"/>
              </w:rPr>
              <w:t>Changes in operating assets and liabilities: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right w:val="single" w:sz="8" w:color="E4E4E4"/>
            </w:tcBorders>
          </w:tcPr>
          <w:p>
            <w:pPr>
              <w:spacing w:after="0"/>
              <w:rPr>
                <w:sz w:val="19"/>
                <w:szCs w:val="19"/>
                <w:color w:val="auto"/>
              </w:rPr>
            </w:pPr>
          </w:p>
        </w:tc>
      </w:tr>
      <w:tr>
        <w:trPr>
          <w:trHeight w:val="230"/>
        </w:trPr>
        <w:tc>
          <w:tcPr>
            <w:tcW w:w="71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Prepaid expenses and other current assets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3,207</w:t>
            </w:r>
          </w:p>
        </w:tc>
      </w:tr>
      <w:tr>
        <w:trPr>
          <w:trHeight w:val="230"/>
        </w:trPr>
        <w:tc>
          <w:tcPr>
            <w:tcW w:w="714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auto"/>
              </w:rPr>
              <w:t>Accounts payable</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26</w:t>
            </w:r>
          </w:p>
        </w:tc>
        <w:tc>
          <w:tcPr>
            <w:tcW w:w="2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780" w:type="dxa"/>
            <w:vAlign w:val="bottom"/>
            <w:tcBorders>
              <w:right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(974)</w:t>
            </w:r>
          </w:p>
        </w:tc>
      </w:tr>
      <w:tr>
        <w:trPr>
          <w:trHeight w:val="230"/>
        </w:trPr>
        <w:tc>
          <w:tcPr>
            <w:tcW w:w="714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Accrued expenses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w:t>
            </w:r>
          </w:p>
        </w:tc>
      </w:tr>
      <w:tr>
        <w:trPr>
          <w:trHeight w:val="230"/>
        </w:trPr>
        <w:tc>
          <w:tcPr>
            <w:tcW w:w="714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auto"/>
              </w:rPr>
              <w:t>Other assets</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780" w:type="dxa"/>
            <w:vAlign w:val="bottom"/>
            <w:tcBorders>
              <w:right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(250)</w:t>
            </w:r>
          </w:p>
        </w:tc>
      </w:tr>
      <w:tr>
        <w:trPr>
          <w:trHeight w:val="220"/>
        </w:trPr>
        <w:tc>
          <w:tcPr>
            <w:tcW w:w="7140" w:type="dxa"/>
            <w:vAlign w:val="bottom"/>
            <w:tcBorders>
              <w:bottom w:val="single" w:sz="8" w:color="E4E4E4"/>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Net cash used in operating activities:</w:t>
            </w: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(27,569)</w:t>
            </w:r>
          </w:p>
        </w:tc>
        <w:tc>
          <w:tcPr>
            <w:tcW w:w="280" w:type="dxa"/>
            <w:vAlign w:val="bottom"/>
            <w:tcBorders>
              <w:bottom w:val="single" w:sz="8" w:color="E4E4E4"/>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(42,105)</w:t>
            </w:r>
          </w:p>
        </w:tc>
      </w:tr>
      <w:tr>
        <w:trPr>
          <w:trHeight w:val="220"/>
        </w:trPr>
        <w:tc>
          <w:tcPr>
            <w:tcW w:w="71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spacing w:after="0"/>
              <w:rPr>
                <w:sz w:val="19"/>
                <w:szCs w:val="19"/>
                <w:color w:val="auto"/>
              </w:rPr>
            </w:pPr>
          </w:p>
        </w:tc>
        <w:tc>
          <w:tcPr>
            <w:tcW w:w="2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780" w:type="dxa"/>
            <w:vAlign w:val="bottom"/>
            <w:tcBorders>
              <w:right w:val="single" w:sz="8" w:color="E4E4E4"/>
            </w:tcBorders>
            <w:shd w:val="clear" w:color="auto" w:fill="E4E4E4"/>
          </w:tcPr>
          <w:p>
            <w:pPr>
              <w:spacing w:after="0"/>
              <w:rPr>
                <w:sz w:val="19"/>
                <w:szCs w:val="19"/>
                <w:color w:val="auto"/>
              </w:rPr>
            </w:pPr>
          </w:p>
        </w:tc>
      </w:tr>
      <w:tr>
        <w:trPr>
          <w:trHeight w:val="23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Purchase of property and equipment</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w:t>
            </w:r>
          </w:p>
        </w:tc>
      </w:tr>
      <w:tr>
        <w:trPr>
          <w:trHeight w:val="230"/>
        </w:trPr>
        <w:tc>
          <w:tcPr>
            <w:tcW w:w="71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Purchase of marketable securities</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(133,610)</w:t>
            </w:r>
          </w:p>
        </w:tc>
        <w:tc>
          <w:tcPr>
            <w:tcW w:w="2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780" w:type="dxa"/>
            <w:vAlign w:val="bottom"/>
            <w:tcBorders>
              <w:right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(8,248)</w:t>
            </w:r>
          </w:p>
        </w:tc>
      </w:tr>
      <w:tr>
        <w:trPr>
          <w:trHeight w:val="230"/>
        </w:trPr>
        <w:tc>
          <w:tcPr>
            <w:tcW w:w="71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Maturities and sales of marketable securities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42,750</w:t>
            </w:r>
          </w:p>
        </w:tc>
        <w:tc>
          <w:tcPr>
            <w:tcW w:w="280" w:type="dxa"/>
            <w:vAlign w:val="bottom"/>
            <w:tcBorders>
              <w:bottom w:val="single" w:sz="8" w:color="E4E4E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32,750</w:t>
            </w:r>
          </w:p>
        </w:tc>
      </w:tr>
      <w:tr>
        <w:trPr>
          <w:trHeight w:val="220"/>
        </w:trPr>
        <w:tc>
          <w:tcPr>
            <w:tcW w:w="7140" w:type="dxa"/>
            <w:vAlign w:val="bottom"/>
            <w:shd w:val="clear" w:color="auto" w:fill="E4E4E4"/>
          </w:tcPr>
          <w:p>
            <w:pPr>
              <w:ind w:left="100"/>
              <w:spacing w:after="0" w:line="220" w:lineRule="exact"/>
              <w:rPr>
                <w:sz w:val="20"/>
                <w:szCs w:val="20"/>
                <w:color w:val="auto"/>
              </w:rPr>
            </w:pPr>
            <w:r>
              <w:rPr>
                <w:rFonts w:ascii="Times New Roman" w:cs="Times New Roman" w:eastAsia="Times New Roman" w:hAnsi="Times New Roman"/>
                <w:sz w:val="20"/>
                <w:szCs w:val="20"/>
                <w:color w:val="auto"/>
              </w:rPr>
              <w:t>Net cash provided by (used in) investing activities</w:t>
            </w:r>
          </w:p>
        </w:tc>
        <w:tc>
          <w:tcPr>
            <w:tcW w:w="140" w:type="dxa"/>
            <w:vAlign w:val="bottom"/>
            <w:tcBorders>
              <w:bottom w:val="single" w:sz="8" w:color="auto"/>
            </w:tcBorders>
            <w:shd w:val="clear" w:color="auto" w:fill="E4E4E4"/>
          </w:tcPr>
          <w:p>
            <w:pPr>
              <w:spacing w:after="0"/>
              <w:rPr>
                <w:sz w:val="19"/>
                <w:szCs w:val="19"/>
                <w:color w:val="auto"/>
              </w:rPr>
            </w:pPr>
          </w:p>
        </w:tc>
        <w:tc>
          <w:tcPr>
            <w:tcW w:w="82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(90,960)</w:t>
            </w:r>
          </w:p>
        </w:tc>
        <w:tc>
          <w:tcPr>
            <w:tcW w:w="280" w:type="dxa"/>
            <w:vAlign w:val="bottom"/>
            <w:shd w:val="clear" w:color="auto" w:fill="E4E4E4"/>
          </w:tcPr>
          <w:p>
            <w:pPr>
              <w:spacing w:after="0"/>
              <w:rPr>
                <w:sz w:val="19"/>
                <w:szCs w:val="19"/>
                <w:color w:val="auto"/>
              </w:rPr>
            </w:pPr>
          </w:p>
        </w:tc>
        <w:tc>
          <w:tcPr>
            <w:tcW w:w="200" w:type="dxa"/>
            <w:vAlign w:val="bottom"/>
            <w:tcBorders>
              <w:bottom w:val="single" w:sz="8" w:color="auto"/>
            </w:tcBorders>
            <w:shd w:val="clear" w:color="auto" w:fill="E4E4E4"/>
          </w:tcPr>
          <w:p>
            <w:pPr>
              <w:spacing w:after="0"/>
              <w:rPr>
                <w:sz w:val="19"/>
                <w:szCs w:val="19"/>
                <w:color w:val="auto"/>
              </w:rPr>
            </w:pPr>
          </w:p>
        </w:tc>
        <w:tc>
          <w:tcPr>
            <w:tcW w:w="780" w:type="dxa"/>
            <w:vAlign w:val="bottom"/>
            <w:tcBorders>
              <w:bottom w:val="single" w:sz="8" w:color="auto"/>
              <w:right w:val="single" w:sz="8" w:color="E4E4E4"/>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24,169</w:t>
            </w:r>
          </w:p>
        </w:tc>
      </w:tr>
      <w:tr>
        <w:trPr>
          <w:trHeight w:val="220"/>
        </w:trPr>
        <w:tc>
          <w:tcPr>
            <w:tcW w:w="7140" w:type="dxa"/>
            <w:vAlign w:val="bottom"/>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50"/>
        </w:trPr>
        <w:tc>
          <w:tcPr>
            <w:tcW w:w="714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auto"/>
              </w:rPr>
              <w:t>Proceeds from sale of common stock, net of issuance costs</w:t>
            </w:r>
          </w:p>
        </w:tc>
        <w:tc>
          <w:tcPr>
            <w:tcW w:w="140" w:type="dxa"/>
            <w:vAlign w:val="bottom"/>
            <w:tcBorders>
              <w:bottom w:val="single" w:sz="8" w:color="auto"/>
            </w:tcBorders>
            <w:shd w:val="clear" w:color="auto" w:fill="E4E4E4"/>
          </w:tcPr>
          <w:p>
            <w:pPr>
              <w:spacing w:after="0"/>
              <w:rPr>
                <w:sz w:val="21"/>
                <w:szCs w:val="21"/>
                <w:color w:val="auto"/>
              </w:rPr>
            </w:pPr>
          </w:p>
        </w:tc>
        <w:tc>
          <w:tcPr>
            <w:tcW w:w="82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75,257</w:t>
            </w:r>
          </w:p>
        </w:tc>
        <w:tc>
          <w:tcPr>
            <w:tcW w:w="280" w:type="dxa"/>
            <w:vAlign w:val="bottom"/>
            <w:tcBorders>
              <w:bottom w:val="single" w:sz="8" w:color="E4E4E4"/>
            </w:tcBorders>
            <w:shd w:val="clear" w:color="auto" w:fill="E4E4E4"/>
          </w:tcPr>
          <w:p>
            <w:pPr>
              <w:spacing w:after="0"/>
              <w:rPr>
                <w:sz w:val="21"/>
                <w:szCs w:val="21"/>
                <w:color w:val="auto"/>
              </w:rPr>
            </w:pPr>
          </w:p>
        </w:tc>
        <w:tc>
          <w:tcPr>
            <w:tcW w:w="200" w:type="dxa"/>
            <w:vAlign w:val="bottom"/>
            <w:tcBorders>
              <w:bottom w:val="single" w:sz="8" w:color="auto"/>
            </w:tcBorders>
            <w:shd w:val="clear" w:color="auto" w:fill="E4E4E4"/>
          </w:tcPr>
          <w:p>
            <w:pPr>
              <w:spacing w:after="0"/>
              <w:rPr>
                <w:sz w:val="21"/>
                <w:szCs w:val="21"/>
                <w:color w:val="auto"/>
              </w:rPr>
            </w:pPr>
          </w:p>
        </w:tc>
        <w:tc>
          <w:tcPr>
            <w:tcW w:w="780" w:type="dxa"/>
            <w:vAlign w:val="bottom"/>
            <w:tcBorders>
              <w:bottom w:val="single" w:sz="8" w:color="auto"/>
              <w:right w:val="single" w:sz="8" w:color="E4E4E4"/>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19,885</w:t>
            </w:r>
          </w:p>
        </w:tc>
      </w:tr>
      <w:tr>
        <w:trPr>
          <w:trHeight w:val="200"/>
        </w:trPr>
        <w:tc>
          <w:tcPr>
            <w:tcW w:w="7140" w:type="dxa"/>
            <w:vAlign w:val="bottom"/>
            <w:tcBorders>
              <w:bottom w:val="single" w:sz="8" w:color="E4E4E4"/>
            </w:tcBorders>
          </w:tcPr>
          <w:p>
            <w:pPr>
              <w:ind w:left="100"/>
              <w:spacing w:after="0" w:line="200" w:lineRule="exact"/>
              <w:rPr>
                <w:sz w:val="20"/>
                <w:szCs w:val="20"/>
                <w:color w:val="auto"/>
              </w:rPr>
            </w:pPr>
            <w:r>
              <w:rPr>
                <w:rFonts w:ascii="Times New Roman" w:cs="Times New Roman" w:eastAsia="Times New Roman" w:hAnsi="Times New Roman"/>
                <w:sz w:val="20"/>
                <w:szCs w:val="20"/>
                <w:color w:val="auto"/>
              </w:rPr>
              <w:t>Net cash provided by financing activities</w:t>
            </w: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75,257</w:t>
            </w:r>
          </w:p>
        </w:tc>
        <w:tc>
          <w:tcPr>
            <w:tcW w:w="280" w:type="dxa"/>
            <w:vAlign w:val="bottom"/>
            <w:tcBorders>
              <w:bottom w:val="single" w:sz="8" w:color="E4E4E4"/>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19,885</w:t>
            </w:r>
          </w:p>
        </w:tc>
      </w:tr>
      <w:tr>
        <w:trPr>
          <w:trHeight w:val="220"/>
        </w:trPr>
        <w:tc>
          <w:tcPr>
            <w:tcW w:w="71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Net increase (decrease) in cash, cash equivalents and restricted cash</w:t>
            </w:r>
          </w:p>
        </w:tc>
        <w:tc>
          <w:tcPr>
            <w:tcW w:w="140" w:type="dxa"/>
            <w:vAlign w:val="bottom"/>
            <w:shd w:val="clear" w:color="auto" w:fill="E4E4E4"/>
          </w:tcPr>
          <w:p>
            <w:pPr>
              <w:spacing w:after="0"/>
              <w:rPr>
                <w:sz w:val="19"/>
                <w:szCs w:val="19"/>
                <w:color w:val="auto"/>
              </w:rPr>
            </w:pPr>
          </w:p>
        </w:tc>
        <w:tc>
          <w:tcPr>
            <w:tcW w:w="8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(43,272)</w:t>
            </w:r>
          </w:p>
        </w:tc>
        <w:tc>
          <w:tcPr>
            <w:tcW w:w="28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780" w:type="dxa"/>
            <w:vAlign w:val="bottom"/>
            <w:tcBorders>
              <w:right w:val="single" w:sz="8" w:color="E4E4E4"/>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1,949</w:t>
            </w:r>
          </w:p>
        </w:tc>
      </w:tr>
      <w:tr>
        <w:trPr>
          <w:trHeight w:val="230"/>
        </w:trPr>
        <w:tc>
          <w:tcPr>
            <w:tcW w:w="714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Cash, cash equivalents and restricted cash at beginning of period</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71,436</w:t>
            </w:r>
          </w:p>
        </w:tc>
        <w:tc>
          <w:tcPr>
            <w:tcW w:w="280" w:type="dxa"/>
            <w:vAlign w:val="bottom"/>
            <w:tcBorders>
              <w:bottom w:val="single" w:sz="8" w:color="E4E4E4"/>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69,487</w:t>
            </w:r>
          </w:p>
        </w:tc>
      </w:tr>
      <w:tr>
        <w:trPr>
          <w:trHeight w:val="220"/>
        </w:trPr>
        <w:tc>
          <w:tcPr>
            <w:tcW w:w="714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Cash, cash equivalents and restricted cash at end of period</w:t>
            </w:r>
          </w:p>
        </w:tc>
        <w:tc>
          <w:tcPr>
            <w:tcW w:w="14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4E4E4"/>
              </w:rPr>
              <w:t>$</w:t>
            </w:r>
          </w:p>
        </w:tc>
        <w:tc>
          <w:tcPr>
            <w:tcW w:w="82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4E4E4"/>
              </w:rPr>
              <w:t>28,164</w:t>
            </w:r>
          </w:p>
        </w:tc>
        <w:tc>
          <w:tcPr>
            <w:tcW w:w="280" w:type="dxa"/>
            <w:vAlign w:val="bottom"/>
            <w:shd w:val="clear" w:color="auto" w:fill="E4E4E4"/>
          </w:tcPr>
          <w:p>
            <w:pPr>
              <w:spacing w:after="0"/>
              <w:rPr>
                <w:sz w:val="19"/>
                <w:szCs w:val="19"/>
                <w:color w:val="auto"/>
              </w:rPr>
            </w:pPr>
          </w:p>
        </w:tc>
        <w:tc>
          <w:tcPr>
            <w:tcW w:w="20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4E4E4"/>
              </w:rPr>
              <w:t>$</w:t>
            </w:r>
          </w:p>
        </w:tc>
        <w:tc>
          <w:tcPr>
            <w:tcW w:w="780" w:type="dxa"/>
            <w:vAlign w:val="bottom"/>
            <w:tcBorders>
              <w:bottom w:val="single" w:sz="8" w:color="auto"/>
              <w:right w:val="single" w:sz="8" w:color="E4E4E4"/>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4E4E4"/>
              </w:rPr>
              <w:t>71,436</w:t>
            </w:r>
          </w:p>
        </w:tc>
      </w:tr>
      <w:tr>
        <w:trPr>
          <w:trHeight w:val="20"/>
        </w:trPr>
        <w:tc>
          <w:tcPr>
            <w:tcW w:w="7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-2567940</wp:posOffset>
            </wp:positionV>
            <wp:extent cx="13906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90650" cy="171450"/>
                    </a:xfrm>
                    <a:prstGeom prst="rect">
                      <a:avLst/>
                    </a:prstGeom>
                    <a:noFill/>
                  </pic:spPr>
                </pic:pic>
              </a:graphicData>
            </a:graphic>
          </wp:anchor>
        </w:drawing>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360"/>
          </w:cols>
          <w:pgMar w:left="1260" w:top="1235"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9360"/>
          </w:cols>
          <w:pgMar w:left="1260" w:top="1235" w:right="1260" w:bottom="0" w:gutter="0" w:footer="0" w:header="0"/>
          <w:type w:val="continuous"/>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LARIMAR THERAPEUTICS, INC.</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240" w:lineRule="exact"/>
        <w:rPr>
          <w:sz w:val="20"/>
          <w:szCs w:val="20"/>
          <w:color w:val="auto"/>
        </w:rPr>
      </w:pPr>
    </w:p>
    <w:p>
      <w:pPr>
        <w:ind w:left="500" w:hanging="500"/>
        <w:spacing w:after="0"/>
        <w:tabs>
          <w:tab w:leader="none" w:pos="500" w:val="left"/>
        </w:tabs>
        <w:numPr>
          <w:ilvl w:val="0"/>
          <w:numId w:val="5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Business and Basis of Presentation</w:t>
      </w:r>
    </w:p>
    <w:p>
      <w:pPr>
        <w:spacing w:after="0" w:line="123" w:lineRule="exact"/>
        <w:rPr>
          <w:sz w:val="20"/>
          <w:szCs w:val="20"/>
          <w:color w:val="auto"/>
        </w:rPr>
      </w:pPr>
    </w:p>
    <w:p>
      <w:pPr>
        <w:ind w:right="100" w:firstLine="490"/>
        <w:spacing w:after="0" w:line="247" w:lineRule="auto"/>
        <w:rPr>
          <w:sz w:val="20"/>
          <w:szCs w:val="20"/>
          <w:color w:val="auto"/>
        </w:rPr>
      </w:pPr>
      <w:r>
        <w:rPr>
          <w:rFonts w:ascii="Times New Roman" w:cs="Times New Roman" w:eastAsia="Times New Roman" w:hAnsi="Times New Roman"/>
          <w:sz w:val="20"/>
          <w:szCs w:val="20"/>
          <w:color w:val="auto"/>
        </w:rPr>
        <w:t>Larimar Therapeutics, Inc., together with its subsidiary (the “Company” or “Larimar”), is a clinical-stage biotechnology company focused on developing treatments for patients suffering from complex rare diseases using its novel cell penetrating peptide technology platform. Larimar's lead product candidate, CTI-1601, is a subcutaneously administered, recombinant fusion protein intended to deliver human frataxin ("FXN") an essential protein, to the mitochondria of patients with Friedreich’s ataxia (FA"). FA is a rare, progressive and fatal disease in which patients are unable to produce sufficient FXN due to a genetic abnormality.</w:t>
      </w:r>
    </w:p>
    <w:p>
      <w:pPr>
        <w:spacing w:after="0" w:line="80"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In May 2021, Larimar reported positive top-line data from its Phase 1 FA program after completing dosing of the single ascending dose ("SAD") trial in December 2020 and of the multiple ascending dose ("MAD") trial in March 2021.</w:t>
      </w:r>
    </w:p>
    <w:p>
      <w:pPr>
        <w:spacing w:after="0" w:line="65" w:lineRule="exact"/>
        <w:rPr>
          <w:sz w:val="20"/>
          <w:szCs w:val="20"/>
          <w:color w:val="auto"/>
        </w:rPr>
      </w:pPr>
    </w:p>
    <w:p>
      <w:pPr>
        <w:ind w:right="40" w:firstLine="490"/>
        <w:spacing w:after="0" w:line="249" w:lineRule="auto"/>
        <w:rPr>
          <w:sz w:val="20"/>
          <w:szCs w:val="20"/>
          <w:color w:val="auto"/>
        </w:rPr>
      </w:pPr>
      <w:r>
        <w:rPr>
          <w:rFonts w:ascii="Times New Roman" w:cs="Times New Roman" w:eastAsia="Times New Roman" w:hAnsi="Times New Roman"/>
          <w:sz w:val="20"/>
          <w:szCs w:val="20"/>
          <w:color w:val="auto"/>
        </w:rPr>
        <w:t>Also in May 2021, the United States Food and Drug Administration ("FDA") placed a clinical hold on the Company's CTI-1601 clinical program after the Company notified the agency of mortalities at the highest dose levels of the 26-week non-human primate toxicology study that was designed to support extended dosing of patients with CTI-1601. At the time the hold was placed, Larimar had no interventional clinical trials with patients enrolling or enrolled.</w:t>
      </w:r>
    </w:p>
    <w:p>
      <w:pPr>
        <w:spacing w:after="0" w:line="77" w:lineRule="exact"/>
        <w:rPr>
          <w:sz w:val="20"/>
          <w:szCs w:val="20"/>
          <w:color w:val="auto"/>
        </w:rPr>
      </w:pPr>
    </w:p>
    <w:p>
      <w:pPr>
        <w:ind w:right="200" w:firstLine="490"/>
        <w:spacing w:after="0" w:line="249" w:lineRule="auto"/>
        <w:rPr>
          <w:sz w:val="20"/>
          <w:szCs w:val="20"/>
          <w:color w:val="auto"/>
        </w:rPr>
      </w:pPr>
      <w:r>
        <w:rPr>
          <w:rFonts w:ascii="Times New Roman" w:cs="Times New Roman" w:eastAsia="Times New Roman" w:hAnsi="Times New Roman"/>
          <w:sz w:val="20"/>
          <w:szCs w:val="20"/>
          <w:color w:val="auto"/>
        </w:rPr>
        <w:t>In February 2022, in response to the complete response the Company submitted, the FDA stated that it was maintaining the clinical hold and that additional data were needed to resolve the clinical hold. The Company subsequently submitted a request to the FDA for a Type C meeting, which was granted and was held in July 2022. The Company submitted a complete response to the FDA incorporating additional information requested by the FDA at the meeting as well as information on a proposed dose exploration study in August 2022.</w:t>
      </w:r>
    </w:p>
    <w:p>
      <w:pPr>
        <w:spacing w:after="0" w:line="77" w:lineRule="exact"/>
        <w:rPr>
          <w:sz w:val="20"/>
          <w:szCs w:val="20"/>
          <w:color w:val="auto"/>
        </w:rPr>
      </w:pPr>
    </w:p>
    <w:p>
      <w:pPr>
        <w:ind w:right="140" w:firstLine="490"/>
        <w:spacing w:after="0" w:line="244" w:lineRule="auto"/>
        <w:rPr>
          <w:sz w:val="20"/>
          <w:szCs w:val="20"/>
          <w:color w:val="auto"/>
        </w:rPr>
      </w:pPr>
      <w:r>
        <w:rPr>
          <w:rFonts w:ascii="Times New Roman" w:cs="Times New Roman" w:eastAsia="Times New Roman" w:hAnsi="Times New Roman"/>
          <w:sz w:val="20"/>
          <w:szCs w:val="20"/>
          <w:color w:val="auto"/>
        </w:rPr>
        <w:t>In September 2022, following the Type C meeting and the submission of the Company's complete response, the FDA allowed the 25 mg cohort of a Phase 2, four-week, placebo-controlled, dose exploration trial of CTI-1601 in FA patients to proceed. In connection with this decision, the FDA lifted its full clinical hold on the CTI-1601 clinical development program and imposed a partial hold. The dose exploration trial is designed to further characterize CTI-1601’s safety, PD and PK profiles to provide information about the preferred long-term dose and dose regimen. The Company has since initiated the 25 mg cohort of the Phase 2 dose exploration trial. Initiation of the second cohort and/or other clinical trials is contingent on the FDA’s agreement based on its review of the trial's 25 mg cohort data and on review by the trial’s independent data monitoring committee. The Company anticipates that it will provide an update that will outline the next steps for the clinical trial in the second quarter of 2023 and anticipates reporting top-line data in the second half of 2023.</w:t>
      </w:r>
    </w:p>
    <w:p>
      <w:pPr>
        <w:spacing w:after="0" w:line="82"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Company is subject to risks and uncertainties common to pre-commercial companies in the biotechnology industry, including, but not limited to, development by competitors of new technological innovations, dependence on key personnel, protection of proprietary technology, compliance with governmental regulations, failure to secure regulatory approval for its drug candidates or any other product candidates and the ability to secure additional capital to fund its operations. Drug candidates currently under development will require extensive non-clinical and clinical testing and regulatory approval prior to commercialization. These efforts require significant amounts of additional capital, adequate personnel, and infrastructure and extensive compliance-reporting capabilities. Even if the Company's drug development efforts are successful, it is uncertain when, if ever, it will realize significant revenue from product sales.</w:t>
      </w:r>
    </w:p>
    <w:p>
      <w:pPr>
        <w:spacing w:after="0" w:line="86" w:lineRule="exact"/>
        <w:rPr>
          <w:sz w:val="20"/>
          <w:szCs w:val="20"/>
          <w:color w:val="auto"/>
        </w:rPr>
      </w:pPr>
    </w:p>
    <w:p>
      <w:pPr>
        <w:ind w:right="80" w:firstLine="490"/>
        <w:spacing w:after="0" w:line="245" w:lineRule="auto"/>
        <w:rPr>
          <w:sz w:val="20"/>
          <w:szCs w:val="20"/>
          <w:color w:val="auto"/>
        </w:rPr>
      </w:pPr>
      <w:r>
        <w:rPr>
          <w:rFonts w:ascii="Times New Roman" w:cs="Times New Roman" w:eastAsia="Times New Roman" w:hAnsi="Times New Roman"/>
          <w:sz w:val="20"/>
          <w:szCs w:val="20"/>
          <w:color w:val="auto"/>
        </w:rPr>
        <w:t>The COVID-19 pandemic that began late in 2019 caused a four-month temporary stoppage of the Company’s trials with patients with FA in early 2020. Both of the Company’s SAD and MAD clinical trials were subsequently completed in 2021. While COVID-19 has had no significant impact to date on the Company’s 25 mg cohort of its dose exploration study, the risk of a resurgence of future vaccine resistant variants of COVID-19 and or other infectious diseases remains. In the future, the COVID-19 pandemic and responsive measures thereto may result in negative impacts on the Company, including possible delays in our clinical and regulatory activities. The Company cannot be certain what the overall impact of the COVID-19 pandemic will be on its business and it has the potential to materially adversely affect its business, financial condition, results of operations, and prospects.</w:t>
      </w:r>
    </w:p>
    <w:p>
      <w:pPr>
        <w:sectPr>
          <w:pgSz w:w="11880" w:h="15480" w:orient="portrait"/>
          <w:cols w:equalWidth="0" w:num="1">
            <w:col w:w="9340"/>
          </w:cols>
          <w:pgMar w:left="1260" w:top="1235"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9340"/>
          </w:cols>
          <w:pgMar w:left="1260" w:top="1235" w:right="128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20"/>
          <w:szCs w:val="20"/>
          <w:b w:val="1"/>
          <w:bCs w:val="1"/>
          <w:i w:val="1"/>
          <w:iCs w:val="1"/>
          <w:color w:val="auto"/>
        </w:rPr>
        <w:t>Basis of Presentation</w:t>
      </w:r>
    </w:p>
    <w:p>
      <w:pPr>
        <w:spacing w:after="0" w:line="118" w:lineRule="exact"/>
        <w:rPr>
          <w:sz w:val="20"/>
          <w:szCs w:val="20"/>
          <w:color w:val="auto"/>
        </w:rPr>
      </w:pPr>
    </w:p>
    <w:p>
      <w:pPr>
        <w:ind w:right="80" w:firstLine="490"/>
        <w:spacing w:after="0" w:line="259" w:lineRule="auto"/>
        <w:rPr>
          <w:sz w:val="20"/>
          <w:szCs w:val="20"/>
          <w:color w:val="auto"/>
        </w:rPr>
      </w:pPr>
      <w:r>
        <w:rPr>
          <w:rFonts w:ascii="Times New Roman" w:cs="Times New Roman" w:eastAsia="Times New Roman" w:hAnsi="Times New Roman"/>
          <w:sz w:val="20"/>
          <w:szCs w:val="20"/>
          <w:color w:val="auto"/>
        </w:rPr>
        <w:t>The consolidated financial statements include the accounts of Larimar and its wholly owned subsidiary. All intercompany balances and transactions have been eliminated. The accompanying consolidated financial statements have been prepared in conformity with GAAP.</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Capital Resources</w:t>
      </w:r>
    </w:p>
    <w:p>
      <w:pPr>
        <w:spacing w:after="0" w:line="118" w:lineRule="exact"/>
        <w:rPr>
          <w:sz w:val="20"/>
          <w:szCs w:val="20"/>
          <w:color w:val="auto"/>
        </w:rPr>
      </w:pPr>
    </w:p>
    <w:p>
      <w:pPr>
        <w:ind w:right="180" w:firstLine="540"/>
        <w:spacing w:after="0" w:line="259" w:lineRule="auto"/>
        <w:rPr>
          <w:sz w:val="20"/>
          <w:szCs w:val="20"/>
          <w:color w:val="auto"/>
        </w:rPr>
      </w:pPr>
      <w:r>
        <w:rPr>
          <w:rFonts w:ascii="Times New Roman" w:cs="Times New Roman" w:eastAsia="Times New Roman" w:hAnsi="Times New Roman"/>
          <w:sz w:val="20"/>
          <w:szCs w:val="20"/>
          <w:color w:val="auto"/>
        </w:rPr>
        <w:t>The Company’s consolidated financial statements have been presented on the basis that it will continue as a going concern, which contemplates the realization of assets and satisfaction of liabilities in the normal course of business.</w:t>
      </w:r>
    </w:p>
    <w:p>
      <w:pPr>
        <w:spacing w:after="0" w:line="65" w:lineRule="exact"/>
        <w:rPr>
          <w:sz w:val="20"/>
          <w:szCs w:val="20"/>
          <w:color w:val="auto"/>
        </w:rPr>
      </w:pPr>
    </w:p>
    <w:p>
      <w:pPr>
        <w:ind w:right="200" w:firstLine="490"/>
        <w:spacing w:after="0" w:line="247" w:lineRule="auto"/>
        <w:rPr>
          <w:sz w:val="20"/>
          <w:szCs w:val="20"/>
          <w:color w:val="auto"/>
        </w:rPr>
      </w:pPr>
      <w:r>
        <w:rPr>
          <w:rFonts w:ascii="Times New Roman" w:cs="Times New Roman" w:eastAsia="Times New Roman" w:hAnsi="Times New Roman"/>
          <w:sz w:val="20"/>
          <w:szCs w:val="20"/>
          <w:color w:val="auto"/>
        </w:rPr>
        <w:t>Since its inception, the Company has incurred significant recurring operating losses and negative cash flows from operations. The Company has incurred net losses of $35.4 million and $50.6 million for the years ended December 31, 2022, and 2021, respectively. In addition, as of December 31, 2022, the Company had an accumulated deficit of $151.6 million. The Company expects to continue to generate operating losses for the foreseeable future. As of December 31, 2022, the Company had approximately $118.4 million of cash, cash equivalents and marketable securities available for use to fund its operations and capital requirements.</w:t>
      </w:r>
    </w:p>
    <w:p>
      <w:pPr>
        <w:spacing w:after="0" w:line="80" w:lineRule="exact"/>
        <w:rPr>
          <w:sz w:val="20"/>
          <w:szCs w:val="20"/>
          <w:color w:val="auto"/>
        </w:rPr>
      </w:pPr>
    </w:p>
    <w:p>
      <w:pPr>
        <w:ind w:right="460" w:firstLine="490"/>
        <w:spacing w:after="0" w:line="279" w:lineRule="auto"/>
        <w:rPr>
          <w:sz w:val="20"/>
          <w:szCs w:val="20"/>
          <w:color w:val="auto"/>
        </w:rPr>
      </w:pPr>
      <w:r>
        <w:rPr>
          <w:rFonts w:ascii="Times New Roman" w:cs="Times New Roman" w:eastAsia="Times New Roman" w:hAnsi="Times New Roman"/>
          <w:sz w:val="20"/>
          <w:szCs w:val="20"/>
          <w:color w:val="auto"/>
        </w:rPr>
        <w:t>The Company has funded its operations to date primarily with proceeds from sales of common stock and proceeds from the sale of prefunded warrants for the purchase of common stock.</w:t>
      </w:r>
    </w:p>
    <w:p>
      <w:pPr>
        <w:spacing w:after="0" w:line="45" w:lineRule="exact"/>
        <w:rPr>
          <w:sz w:val="20"/>
          <w:szCs w:val="20"/>
          <w:color w:val="auto"/>
        </w:rPr>
      </w:pPr>
    </w:p>
    <w:p>
      <w:pPr>
        <w:ind w:right="40" w:firstLine="490"/>
        <w:spacing w:after="0" w:line="244" w:lineRule="auto"/>
        <w:rPr>
          <w:sz w:val="20"/>
          <w:szCs w:val="20"/>
          <w:color w:val="auto"/>
        </w:rPr>
      </w:pPr>
      <w:r>
        <w:rPr>
          <w:rFonts w:ascii="Times New Roman" w:cs="Times New Roman" w:eastAsia="Times New Roman" w:hAnsi="Times New Roman"/>
          <w:sz w:val="20"/>
          <w:szCs w:val="20"/>
          <w:color w:val="auto"/>
        </w:rPr>
        <w:t>In accordance with Accounting Standards Update (“ASU”) No. 2014-15, Disclosure of Uncertainties about an Entity’s Ability to Continue as a Going Concern, the Company has evaluated whether there are certain conditions and events, considered in the aggregate, that raise substantial doubt about the Company’s ability to continue as a going concern within one year after the date that the consolidated financial statements are issued. As of the issuance date of these consolidated financial statements, the Company expects its cash, cash equivalents and marketable securities will be sufficient to fund its forecasted operating expenses and capital expenditure requirements, for at least twelve months from the issuance of these financial statements. If the timing of the Company's clinical assumptions are delayed or if there are other forecasted assumption changes that negatively impact its operating plan, the Company could reduce expenditures in order to further extend cash resources.</w:t>
      </w:r>
    </w:p>
    <w:p>
      <w:pPr>
        <w:spacing w:after="0" w:line="86"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The Company has not yet commercialized any products and does not expect to generate revenue from the commercial sale of any products for several years, if at all. The Company expects that its research and development and general and administrative expenses will continue to increase and, as a result, that it will need additional capital to fund its future operating and capital requirements. Until the Company can generate substantial revenue, if ever, management continuously evaluates different strategies to obtain the required funding for future operations. These strategies include seeking additional funding through a combination of public or private equity offerings, debt financings, collaborations and licensing arrangements or other sources. The incurrence of indebtedness would result in increased fixed payment obligations and the Company may be required to agree to certain restrictive covenants, such as limitations on its ability to incur additional debt, limitations on its ability to acquire, sell or license intellectual property rights, minimum required cash balances and other operating restrictions that could adversely impact the Company's ability to conduct its business. Any additional fundraising efforts may divert the Company's management from their day-to-day activities, which may adversely affect its ability to develop and commercialize its product candidates.</w:t>
      </w:r>
    </w:p>
    <w:p>
      <w:pPr>
        <w:spacing w:after="0" w:line="83" w:lineRule="exact"/>
        <w:rPr>
          <w:sz w:val="20"/>
          <w:szCs w:val="20"/>
          <w:color w:val="auto"/>
        </w:rPr>
      </w:pPr>
    </w:p>
    <w:p>
      <w:pPr>
        <w:ind w:firstLine="490"/>
        <w:spacing w:after="0" w:line="243" w:lineRule="auto"/>
        <w:rPr>
          <w:sz w:val="20"/>
          <w:szCs w:val="20"/>
          <w:color w:val="auto"/>
        </w:rPr>
      </w:pPr>
      <w:r>
        <w:rPr>
          <w:rFonts w:ascii="Times New Roman" w:cs="Times New Roman" w:eastAsia="Times New Roman" w:hAnsi="Times New Roman"/>
          <w:sz w:val="20"/>
          <w:szCs w:val="20"/>
          <w:color w:val="auto"/>
        </w:rPr>
        <w:t>There can be no assurance that the Company will be able to raise sufficient additional capital on acceptable terms, if at all. If such additional financing is not available on satisfactory terms, or is not available in sufficient amounts, or if the Company does not have sufficient authorized shares, the Company may be required to delay, limit, or eliminate the development of business opportunities and its ability to achieve its business objectives, its competitiveness, and its business, financial condition, and results of operations will be materially adversely affected. The Company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it, any of which may have a material adverse effect on the Company's business, operating results and prospects. In addition, geopolitical unrest, global uncertainty, the impact of another COVID-19 pandemic and/or the potential impact of other health crises on the global financial markets may reduce the Company's ability to access capital, which could negatively affect its liquidity and ability to continue as a going concern.</w:t>
      </w:r>
    </w:p>
    <w:p>
      <w:pPr>
        <w:sectPr>
          <w:pgSz w:w="11880" w:h="15480" w:orient="portrait"/>
          <w:cols w:equalWidth="0" w:num="1">
            <w:col w:w="9340"/>
          </w:cols>
          <w:pgMar w:left="1260" w:top="1240"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9340"/>
          </w:cols>
          <w:pgMar w:left="1260" w:top="1240" w:right="1280" w:bottom="0" w:gutter="0" w:footer="0" w:header="0"/>
          <w:type w:val="continuous"/>
        </w:sectPr>
      </w:pPr>
    </w:p>
    <w:bookmarkStart w:id="106" w:name="page107"/>
    <w:bookmarkEnd w:id="106"/>
    <w:p>
      <w:pPr>
        <w:ind w:right="60" w:firstLine="490"/>
        <w:spacing w:after="0" w:line="270" w:lineRule="auto"/>
        <w:rPr>
          <w:sz w:val="20"/>
          <w:szCs w:val="20"/>
          <w:color w:val="auto"/>
        </w:rPr>
      </w:pPr>
      <w:r>
        <w:rPr>
          <w:rFonts w:ascii="Times New Roman" w:cs="Times New Roman" w:eastAsia="Times New Roman" w:hAnsi="Times New Roman"/>
          <w:sz w:val="19"/>
          <w:szCs w:val="19"/>
          <w:color w:val="auto"/>
        </w:rPr>
        <w:t>If the Company is unable to obtain sufficient funding when needed and/or on acceptable terms, the Company may be required to significantly curtail, delay or discontinue one or more of its research and development programs, the manufacture of clinical and commercial supplies, product portfolio expansion or pre commercialization efforts, which could adversely affect its business prospects, or the Company may be unable to continue operations.</w:t>
      </w:r>
    </w:p>
    <w:p>
      <w:pPr>
        <w:spacing w:after="0" w:line="54" w:lineRule="exact"/>
        <w:rPr>
          <w:sz w:val="20"/>
          <w:szCs w:val="20"/>
          <w:color w:val="auto"/>
        </w:rPr>
      </w:pPr>
    </w:p>
    <w:p>
      <w:pPr>
        <w:ind w:right="5120"/>
        <w:spacing w:after="0" w:line="366" w:lineRule="auto"/>
        <w:tabs>
          <w:tab w:leader="none" w:pos="490" w:val="left"/>
        </w:tabs>
        <w:numPr>
          <w:ilvl w:val="0"/>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Summary of Significant Accounting Policies </w:t>
      </w:r>
      <w:r>
        <w:rPr>
          <w:rFonts w:ascii="Times New Roman" w:cs="Times New Roman" w:eastAsia="Times New Roman" w:hAnsi="Times New Roman"/>
          <w:sz w:val="20"/>
          <w:szCs w:val="20"/>
          <w:b w:val="1"/>
          <w:bCs w:val="1"/>
          <w:i w:val="1"/>
          <w:iCs w:val="1"/>
          <w:color w:val="auto"/>
        </w:rPr>
        <w:t>Use of Estimates</w:t>
      </w:r>
    </w:p>
    <w:p>
      <w:pPr>
        <w:spacing w:after="0" w:line="2" w:lineRule="exact"/>
        <w:rPr>
          <w:sz w:val="20"/>
          <w:szCs w:val="20"/>
          <w:color w:val="auto"/>
        </w:rPr>
      </w:pPr>
    </w:p>
    <w:p>
      <w:pPr>
        <w:ind w:right="20" w:firstLine="490"/>
        <w:spacing w:after="0" w:line="260" w:lineRule="auto"/>
        <w:rPr>
          <w:sz w:val="20"/>
          <w:szCs w:val="20"/>
          <w:color w:val="auto"/>
        </w:rPr>
      </w:pPr>
      <w:r>
        <w:rPr>
          <w:rFonts w:ascii="Times New Roman" w:cs="Times New Roman" w:eastAsia="Times New Roman" w:hAnsi="Times New Roman"/>
          <w:sz w:val="19"/>
          <w:szCs w:val="19"/>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the recording as prepaid expense of payments made in advance of the actual provision of goods or services, valuation of stock-based awards and valuation of leases. Due to inherent uncertainty involved in making estimates, actual results reported in future periods may be affected by changes in these estimates. On an ongoing basis, the Company evaluates its estimates and assumptions.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Concentrations of Credit Risk and Significant Suppliers</w:t>
      </w:r>
    </w:p>
    <w:p>
      <w:pPr>
        <w:spacing w:after="0" w:line="118" w:lineRule="exact"/>
        <w:rPr>
          <w:sz w:val="20"/>
          <w:szCs w:val="20"/>
          <w:color w:val="auto"/>
        </w:rPr>
      </w:pPr>
    </w:p>
    <w:p>
      <w:pPr>
        <w:ind w:right="140" w:firstLine="490"/>
        <w:spacing w:after="0" w:line="253" w:lineRule="auto"/>
        <w:rPr>
          <w:sz w:val="20"/>
          <w:szCs w:val="20"/>
          <w:color w:val="auto"/>
        </w:rPr>
      </w:pPr>
      <w:r>
        <w:rPr>
          <w:rFonts w:ascii="Times New Roman" w:cs="Times New Roman" w:eastAsia="Times New Roman" w:hAnsi="Times New Roman"/>
          <w:sz w:val="20"/>
          <w:szCs w:val="20"/>
          <w:color w:val="auto"/>
        </w:rPr>
        <w:t>Financial instruments that potentially subject the Company to concentrations of credit risk consist principally of cash, cash equivalents and marketable securities. Cash balances may be held in financial institutions which may exceed federally insured limits. The Company has not experienced realized losses related to its cash, cash equivalents and marketable securities.</w:t>
      </w:r>
    </w:p>
    <w:p>
      <w:pPr>
        <w:spacing w:after="0" w:line="70" w:lineRule="exact"/>
        <w:rPr>
          <w:sz w:val="20"/>
          <w:szCs w:val="20"/>
          <w:color w:val="auto"/>
        </w:rPr>
      </w:pPr>
    </w:p>
    <w:p>
      <w:pPr>
        <w:ind w:firstLine="490"/>
        <w:spacing w:after="0" w:line="244" w:lineRule="auto"/>
        <w:rPr>
          <w:sz w:val="20"/>
          <w:szCs w:val="20"/>
          <w:color w:val="auto"/>
        </w:rPr>
      </w:pPr>
      <w:r>
        <w:rPr>
          <w:rFonts w:ascii="Times New Roman" w:cs="Times New Roman" w:eastAsia="Times New Roman" w:hAnsi="Times New Roman"/>
          <w:sz w:val="20"/>
          <w:szCs w:val="20"/>
          <w:color w:val="auto"/>
        </w:rPr>
        <w:t>The Company is highly dependent on third-party manufacturers to supply products for research and development activities in its programs, to scale and optimize their manufacturing processes and, ultimately, to provide commercial supply. The Company relies and expects to continue to rely on a small number of manufacturers to supply it with its requirements for drug substance and formulated drugs related to these programs. The drug substance which is in frozen liquid form for CTI-1601 is currently manufactured for the Company by a third-party manufacturer, and the frozen liquid form of drug product is made at another manufacturer. The Company is undertaking a program with a third manufacturer to begin to produce a lyophilized version of the drug product from the same drug substance, that, once available, the Company intends to use in certain of its future planned clinical trials. The Company’s research and development programs could be adversely affected by a significant interruption in these manufacturing services or in the supply of drug substance and formulated drugs.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and Cash Equivalents</w:t>
      </w:r>
    </w:p>
    <w:p>
      <w:pPr>
        <w:spacing w:after="0" w:line="118" w:lineRule="exact"/>
        <w:rPr>
          <w:sz w:val="20"/>
          <w:szCs w:val="20"/>
          <w:color w:val="auto"/>
        </w:rPr>
      </w:pPr>
    </w:p>
    <w:p>
      <w:pPr>
        <w:jc w:val="both"/>
        <w:ind w:right="280" w:firstLine="490"/>
        <w:spacing w:after="0" w:line="259" w:lineRule="auto"/>
        <w:rPr>
          <w:sz w:val="20"/>
          <w:szCs w:val="20"/>
          <w:color w:val="auto"/>
        </w:rPr>
      </w:pPr>
      <w:r>
        <w:rPr>
          <w:rFonts w:ascii="Times New Roman" w:cs="Times New Roman" w:eastAsia="Times New Roman" w:hAnsi="Times New Roman"/>
          <w:sz w:val="20"/>
          <w:szCs w:val="20"/>
          <w:color w:val="auto"/>
        </w:rPr>
        <w:t>The Company considers all highly liquid investments with maturities of three months or less at the date of purchase to be cash equivalents. Cash equivalents consisted of money market funds as of December 31, 2022 and commercial paper and corporate bonds as of December 31, 2021.</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1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Marketable securities consist of debt investments with original maturities greater than ninety days. The Company classifies its marketable securities as available-for-sale. Accordingly, these investments are recorded at fair value, which is based on quoted market prices. When the fair value is below the amortized cost the amount of the expected credit loss is estimated. The credit-related impairment amount, if any, would be recognized in net income; the remaining impairment amount and unrealized gains are reported as a component of accumulated other comprehensive income in stockholders’ equity. Credit losses, if any, are recognized through the use of an allowance for credit losses account and subsequent improvements in expected credit losses are recognized as a reversal of the allowance account. If the Company has the intent to sell the security or if it is more likely than not that the Company would be required to sell the security prior to recovery of its amortized cost basis, the allowance for credit loss would be written off and the excess of the amortized cost basis of the asset over its fair value is recorded in net income.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Property and Equipment</w:t>
      </w:r>
    </w:p>
    <w:p>
      <w:pPr>
        <w:spacing w:after="0" w:line="118" w:lineRule="exact"/>
        <w:rPr>
          <w:sz w:val="20"/>
          <w:szCs w:val="20"/>
          <w:color w:val="auto"/>
        </w:rPr>
      </w:pPr>
    </w:p>
    <w:p>
      <w:pPr>
        <w:ind w:right="180" w:firstLine="490"/>
        <w:spacing w:after="0" w:line="253" w:lineRule="auto"/>
        <w:rPr>
          <w:sz w:val="20"/>
          <w:szCs w:val="20"/>
          <w:color w:val="auto"/>
        </w:rPr>
      </w:pPr>
      <w:r>
        <w:rPr>
          <w:rFonts w:ascii="Times New Roman" w:cs="Times New Roman" w:eastAsia="Times New Roman" w:hAnsi="Times New Roman"/>
          <w:sz w:val="20"/>
          <w:szCs w:val="20"/>
          <w:color w:val="auto"/>
        </w:rPr>
        <w:t>Property and equipment are stated at cost less accumulated depreciation. Depreciation expense is recognized using the straight-line method over a five or seven-year estimated useful life for equipment, furniture and fixtures and office equipment. Leasehold improvements are amortized over the shorter of the asset life or the term of the lease agreement. Expenditures for repairs and maintenance of assets are charged to expense as incurred. Upon</w:t>
      </w:r>
    </w:p>
    <w:p>
      <w:pPr>
        <w:sectPr>
          <w:pgSz w:w="11880" w:h="15480" w:orient="portrait"/>
          <w:cols w:equalWidth="0" w:num="1">
            <w:col w:w="9360"/>
          </w:cols>
          <w:pgMar w:left="1260" w:top="1238" w:right="1260" w:bottom="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9360"/>
          </w:cols>
          <w:pgMar w:left="1260" w:top="1238" w:right="1260" w:bottom="0" w:gutter="0" w:footer="0" w:header="0"/>
          <w:type w:val="continuous"/>
        </w:sectPr>
      </w:pPr>
    </w:p>
    <w:bookmarkStart w:id="107" w:name="page108"/>
    <w:bookmarkEnd w:id="107"/>
    <w:p>
      <w:pPr>
        <w:ind w:right="720"/>
        <w:spacing w:after="0" w:line="279" w:lineRule="auto"/>
        <w:rPr>
          <w:sz w:val="20"/>
          <w:szCs w:val="20"/>
          <w:color w:val="auto"/>
        </w:rPr>
      </w:pPr>
      <w:r>
        <w:rPr>
          <w:rFonts w:ascii="Times New Roman" w:cs="Times New Roman" w:eastAsia="Times New Roman" w:hAnsi="Times New Roman"/>
          <w:sz w:val="20"/>
          <w:szCs w:val="20"/>
          <w:color w:val="auto"/>
        </w:rPr>
        <w:t>retirement or sale, the cost and related accumulated depreciation of assets disposed of are removed from the accounts and any resulting gain or loss is included in loss from operations.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118" w:lineRule="exact"/>
        <w:rPr>
          <w:sz w:val="20"/>
          <w:szCs w:val="20"/>
          <w:color w:val="auto"/>
        </w:rPr>
      </w:pPr>
    </w:p>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Long-lived assets consist of property and equipment, net¸ and right-of-use assets. Long-lived assets to be held and used are tested for recoverability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Any impairment loss, if indicated, is measured as the amount by which the carrying amount of the asset exceeds the estimated fair value of the asset.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Segment Information</w:t>
      </w:r>
    </w:p>
    <w:p>
      <w:pPr>
        <w:spacing w:after="0" w:line="118" w:lineRule="exact"/>
        <w:rPr>
          <w:sz w:val="20"/>
          <w:szCs w:val="20"/>
          <w:color w:val="auto"/>
        </w:rPr>
      </w:pPr>
    </w:p>
    <w:p>
      <w:pPr>
        <w:ind w:right="20" w:firstLine="490"/>
        <w:spacing w:after="0" w:line="259" w:lineRule="auto"/>
        <w:rPr>
          <w:sz w:val="20"/>
          <w:szCs w:val="20"/>
          <w:color w:val="auto"/>
        </w:rPr>
      </w:pPr>
      <w:r>
        <w:rPr>
          <w:rFonts w:ascii="Times New Roman" w:cs="Times New Roman" w:eastAsia="Times New Roman" w:hAnsi="Times New Roman"/>
          <w:sz w:val="20"/>
          <w:szCs w:val="20"/>
          <w:color w:val="auto"/>
        </w:rPr>
        <w:t>The Company manages its operations as a single operating segment for the purposes of assessing performance and making operating decisions. The Company’s focus is on the research, development and commercialization of novel therapeutics for the treatment of rare diseases.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Costs</w:t>
      </w:r>
    </w:p>
    <w:p>
      <w:pPr>
        <w:spacing w:after="0" w:line="11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Costs associated with internal research and development and external research and development services, including drug development, clinical studies and non-clinical studies, are expensed as incurred. Research and development expenses include costs for salaries, employee benefits, subcontractors, facility-related expenses, depreciation, stock-based compensation, third-party license fees, laboratory supplies, and external costs of outside vendors engaged to conduct discovery, non-clinical and clinical development activities and clinical trials as well as to manufacture clinical trial materials, and other costs. The Company recognizes external research and development costs based on an evaluation of the progress to completion of specific tasks using information provided to the Company by its key service providers.</w:t>
      </w:r>
    </w:p>
    <w:p>
      <w:pPr>
        <w:spacing w:after="0" w:line="82" w:lineRule="exact"/>
        <w:rPr>
          <w:sz w:val="20"/>
          <w:szCs w:val="20"/>
          <w:color w:val="auto"/>
        </w:rPr>
      </w:pPr>
    </w:p>
    <w:p>
      <w:pPr>
        <w:ind w:right="80" w:firstLine="490"/>
        <w:spacing w:after="0" w:line="253" w:lineRule="auto"/>
        <w:rPr>
          <w:sz w:val="20"/>
          <w:szCs w:val="20"/>
          <w:color w:val="auto"/>
        </w:rPr>
      </w:pPr>
      <w:r>
        <w:rPr>
          <w:rFonts w:ascii="Times New Roman" w:cs="Times New Roman" w:eastAsia="Times New Roman" w:hAnsi="Times New Roman"/>
          <w:sz w:val="20"/>
          <w:szCs w:val="20"/>
          <w:color w:val="auto"/>
        </w:rPr>
        <w:t>Nonrefundable advance payments for goods or services to be received in the future for use in research and development activities are recorded as prepaid expenses. Such prepaid expenses are recognized as an expense when the goods have been delivered or the related services have been performed, or when it is no longer expected that the goods will be delivered, or the services rendered.</w:t>
      </w:r>
    </w:p>
    <w:p>
      <w:pPr>
        <w:spacing w:after="0" w:line="70"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auto"/>
        </w:rPr>
        <w:t>Upfront payments, milestone payments and annual maintenance fees under license agreements are currently expensed in the period in which they are incurred.</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Patent Costs</w:t>
      </w:r>
    </w:p>
    <w:p>
      <w:pPr>
        <w:spacing w:after="0" w:line="118" w:lineRule="exact"/>
        <w:rPr>
          <w:sz w:val="20"/>
          <w:szCs w:val="20"/>
          <w:color w:val="auto"/>
        </w:rPr>
      </w:pPr>
    </w:p>
    <w:p>
      <w:pPr>
        <w:jc w:val="both"/>
        <w:ind w:firstLine="490"/>
        <w:spacing w:after="0" w:line="259" w:lineRule="auto"/>
        <w:rPr>
          <w:sz w:val="20"/>
          <w:szCs w:val="20"/>
          <w:color w:val="auto"/>
        </w:rPr>
      </w:pPr>
      <w:r>
        <w:rPr>
          <w:rFonts w:ascii="Times New Roman" w:cs="Times New Roman" w:eastAsia="Times New Roman" w:hAnsi="Times New Roman"/>
          <w:sz w:val="20"/>
          <w:szCs w:val="20"/>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18" w:lineRule="exact"/>
        <w:rPr>
          <w:sz w:val="20"/>
          <w:szCs w:val="20"/>
          <w:color w:val="auto"/>
        </w:rPr>
      </w:pPr>
    </w:p>
    <w:p>
      <w:pPr>
        <w:jc w:val="both"/>
        <w:ind w:right="20" w:firstLine="490"/>
        <w:spacing w:after="0" w:line="252" w:lineRule="auto"/>
        <w:rPr>
          <w:sz w:val="20"/>
          <w:szCs w:val="20"/>
          <w:color w:val="auto"/>
        </w:rPr>
      </w:pPr>
      <w:r>
        <w:rPr>
          <w:rFonts w:ascii="Times New Roman" w:cs="Times New Roman" w:eastAsia="Times New Roman" w:hAnsi="Times New Roman"/>
          <w:sz w:val="19"/>
          <w:szCs w:val="19"/>
          <w:color w:val="auto"/>
        </w:rPr>
        <w:t>The Company measures all stock-based awards granted to employees, non-employee consultants and directors based on the fair value on the date of grant using the Black-Scholes option-pricing model. Compensation expense of those awards is recognized over the requisite service period, which is the vesting period of the respective award.</w:t>
      </w:r>
    </w:p>
    <w:p>
      <w:pPr>
        <w:spacing w:after="0" w:line="2"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20"/>
          <w:szCs w:val="20"/>
          <w:color w:val="auto"/>
        </w:rPr>
        <w:t>Typically, the Company issues awards with only service-based and market-based vesting conditions and records the expense for these awards using the straight-line method. The Company accounts for forfeitures as they occur.</w:t>
      </w:r>
    </w:p>
    <w:p>
      <w:pPr>
        <w:spacing w:after="0" w:line="45" w:lineRule="exact"/>
        <w:rPr>
          <w:sz w:val="20"/>
          <w:szCs w:val="20"/>
          <w:color w:val="auto"/>
        </w:rPr>
      </w:pPr>
    </w:p>
    <w:p>
      <w:pPr>
        <w:jc w:val="both"/>
        <w:ind w:right="240" w:firstLine="490"/>
        <w:spacing w:after="0" w:line="259" w:lineRule="auto"/>
        <w:rPr>
          <w:sz w:val="20"/>
          <w:szCs w:val="20"/>
          <w:color w:val="auto"/>
        </w:rPr>
      </w:pPr>
      <w:r>
        <w:rPr>
          <w:rFonts w:ascii="Times New Roman" w:cs="Times New Roman" w:eastAsia="Times New Roman" w:hAnsi="Times New Roman"/>
          <w:sz w:val="20"/>
          <w:szCs w:val="20"/>
          <w:color w:val="auto"/>
        </w:rPr>
        <w:t>The Company classifies stock-based compensation expense in its consolidated statements of operations and comprehensive loss in the same manner in which the award recipient’s payroll costs are classified or in which the award recipient's service payments are classified.</w:t>
      </w:r>
    </w:p>
    <w:p>
      <w:pPr>
        <w:spacing w:after="0" w:line="65" w:lineRule="exact"/>
        <w:rPr>
          <w:sz w:val="20"/>
          <w:szCs w:val="20"/>
          <w:color w:val="auto"/>
        </w:rPr>
      </w:pPr>
    </w:p>
    <w:p>
      <w:pPr>
        <w:ind w:right="100" w:firstLine="490"/>
        <w:spacing w:after="0" w:line="266" w:lineRule="auto"/>
        <w:rPr>
          <w:sz w:val="20"/>
          <w:szCs w:val="20"/>
          <w:color w:val="auto"/>
        </w:rPr>
      </w:pPr>
      <w:r>
        <w:rPr>
          <w:rFonts w:ascii="Times New Roman" w:cs="Times New Roman" w:eastAsia="Times New Roman" w:hAnsi="Times New Roman"/>
          <w:sz w:val="19"/>
          <w:szCs w:val="19"/>
          <w:color w:val="auto"/>
        </w:rPr>
        <w:t>Prior to May 28, 2020, the Company had been a private company and lacked company-specific historical and implied volatility information for its common stock. Therefore, the Company estimates its expected common stock price volatility based on the historical volatility of publicly traded peer companies and expects to continue to do so until it has adequate historical data regarding the volatility of its own traded stock price. The expected term of the Company’s stock options has been determined utilizing the “simplified” method for awards that qualify as “plain-</w:t>
      </w:r>
    </w:p>
    <w:p>
      <w:pPr>
        <w:sectPr>
          <w:pgSz w:w="11880" w:h="15480" w:orient="portrait"/>
          <w:cols w:equalWidth="0" w:num="1">
            <w:col w:w="9340"/>
          </w:cols>
          <w:pgMar w:left="1260" w:top="1238" w:right="1280" w:bottom="8"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F-10</w:t>
      </w:r>
    </w:p>
    <w:p>
      <w:pPr>
        <w:sectPr>
          <w:pgSz w:w="11880" w:h="15480" w:orient="portrait"/>
          <w:cols w:equalWidth="0" w:num="1">
            <w:col w:w="9340"/>
          </w:cols>
          <w:pgMar w:left="1260" w:top="1238" w:right="1280" w:bottom="8" w:gutter="0" w:footer="0" w:header="0"/>
          <w:type w:val="continuous"/>
        </w:sectPr>
      </w:pPr>
    </w:p>
    <w:bookmarkStart w:id="108" w:name="page109"/>
    <w:bookmarkEnd w:id="108"/>
    <w:p>
      <w:pPr>
        <w:ind w:right="260"/>
        <w:spacing w:after="0" w:line="253" w:lineRule="auto"/>
        <w:rPr>
          <w:sz w:val="20"/>
          <w:szCs w:val="20"/>
          <w:color w:val="auto"/>
        </w:rPr>
      </w:pPr>
      <w:r>
        <w:rPr>
          <w:rFonts w:ascii="Times New Roman" w:cs="Times New Roman" w:eastAsia="Times New Roman" w:hAnsi="Times New Roman"/>
          <w:sz w:val="20"/>
          <w:szCs w:val="20"/>
          <w:color w:val="auto"/>
        </w:rPr>
        <w:t>vanilla” options. The risk-free interest rate is determined by reference to the U.S. Treasury yield curve in effect at the time of grant of the award for time periods approximately equal to the expected term of the award. Expected dividend yield considers the fact that the Company has never paid cash dividends on common stock and does not expect to pay any cash dividends in the foreseeable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Income Taxes</w:t>
      </w:r>
    </w:p>
    <w:p>
      <w:pPr>
        <w:spacing w:after="0" w:line="118" w:lineRule="exact"/>
        <w:rPr>
          <w:sz w:val="20"/>
          <w:szCs w:val="20"/>
          <w:color w:val="auto"/>
        </w:rPr>
      </w:pPr>
    </w:p>
    <w:p>
      <w:pPr>
        <w:ind w:right="20" w:firstLine="490"/>
        <w:spacing w:after="0" w:line="243" w:lineRule="auto"/>
        <w:rPr>
          <w:sz w:val="20"/>
          <w:szCs w:val="20"/>
          <w:color w:val="auto"/>
        </w:rPr>
      </w:pPr>
      <w:r>
        <w:rPr>
          <w:rFonts w:ascii="Times New Roman" w:cs="Times New Roman" w:eastAsia="Times New Roman" w:hAnsi="Times New Roman"/>
          <w:sz w:val="20"/>
          <w:szCs w:val="20"/>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based on the difference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88" w:lineRule="exact"/>
        <w:rPr>
          <w:sz w:val="20"/>
          <w:szCs w:val="20"/>
          <w:color w:val="auto"/>
        </w:rPr>
      </w:pPr>
    </w:p>
    <w:p>
      <w:pPr>
        <w:ind w:right="60" w:firstLine="490"/>
        <w:spacing w:after="0" w:line="245" w:lineRule="auto"/>
        <w:rPr>
          <w:sz w:val="20"/>
          <w:szCs w:val="20"/>
          <w:color w:val="auto"/>
        </w:rPr>
      </w:pPr>
      <w:r>
        <w:rPr>
          <w:rFonts w:ascii="Times New Roman" w:cs="Times New Roman" w:eastAsia="Times New Roman" w:hAnsi="Times New Roman"/>
          <w:sz w:val="20"/>
          <w:szCs w:val="20"/>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Comprehensive Loss</w:t>
      </w:r>
    </w:p>
    <w:p>
      <w:pPr>
        <w:spacing w:after="0" w:line="118" w:lineRule="exact"/>
        <w:rPr>
          <w:sz w:val="20"/>
          <w:szCs w:val="20"/>
          <w:color w:val="auto"/>
        </w:rPr>
      </w:pPr>
    </w:p>
    <w:p>
      <w:pPr>
        <w:ind w:right="260" w:firstLine="490"/>
        <w:spacing w:after="0" w:line="259" w:lineRule="auto"/>
        <w:rPr>
          <w:sz w:val="20"/>
          <w:szCs w:val="20"/>
          <w:color w:val="auto"/>
        </w:rPr>
      </w:pPr>
      <w:r>
        <w:rPr>
          <w:rFonts w:ascii="Times New Roman" w:cs="Times New Roman" w:eastAsia="Times New Roman" w:hAnsi="Times New Roman"/>
          <w:sz w:val="20"/>
          <w:szCs w:val="20"/>
          <w:color w:val="auto"/>
        </w:rPr>
        <w:t>Comprehensive loss includes net loss as well as other changes in stockholders’ equity that result from transactions and economic events other than those with stockholders. For the years ended December 31, 2022 and 2021, the Company’s only element of other comprehensive loss was unrealized loss on marketable securities.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Loss Per Share</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Basic net loss per share is computed by dividing the net loss attributable to common stockholders by the weighted average number of common shares outstanding for the period. Basic shares outstanding includes the weighted average effect of the Company’s prefunded warrants issued in June 2020, the exercise of which requires little or no consideration for the delivery of shares of common stock. Basic and diluted weighted average shares of common stock outstanding for the twelve months ended December 31, 2022 and 2021 includes the weighted average effect of 628,403 prefunded warrants for the purchase of shares of common stock for which the remaining unfunded exercise price is $0.01 per share.</w:t>
      </w:r>
    </w:p>
    <w:p>
      <w:pPr>
        <w:spacing w:after="0" w:line="80" w:lineRule="exact"/>
        <w:rPr>
          <w:sz w:val="20"/>
          <w:szCs w:val="20"/>
          <w:color w:val="auto"/>
        </w:rPr>
      </w:pPr>
    </w:p>
    <w:p>
      <w:pPr>
        <w:ind w:right="220" w:firstLine="490"/>
        <w:spacing w:after="0" w:line="246" w:lineRule="auto"/>
        <w:rPr>
          <w:sz w:val="20"/>
          <w:szCs w:val="20"/>
          <w:color w:val="auto"/>
        </w:rPr>
      </w:pPr>
      <w:r>
        <w:rPr>
          <w:rFonts w:ascii="Times New Roman" w:cs="Times New Roman" w:eastAsia="Times New Roman" w:hAnsi="Times New Roman"/>
          <w:sz w:val="20"/>
          <w:szCs w:val="20"/>
          <w:color w:val="auto"/>
        </w:rPr>
        <w:t>Diluted net loss per share attributable to common stockholders is computed by dividing the diluted net loss attributable to common stockholders by the weighted average number of common shares, including potentially dilutive common shares assuming the dilutive effect of outstanding stock options and unvested restricted common shares, as determined using the treasury stock method. For periods in which the Company has reported net losses, diluted net loss per common share attributable to common stockholders is the same as basic net loss per common share attributable to common stockholders, since dilutive common shares are not assumed to have been issued if their effect is antidilutive.</w:t>
      </w:r>
    </w:p>
    <w:p>
      <w:pPr>
        <w:spacing w:after="0" w:line="80"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The Company excluded 3,071,528 and 2,523,305 options to purchase common stock, outstanding as of December 31, 2022 and 2021 respectively, from the computation of diluted net loss per share for the twelve months ended December 31, 2022 and 2021, respectively, because they had an anti-dilutive impact due to the net loss incurred for the periods.</w:t>
      </w:r>
    </w:p>
    <w:p>
      <w:pPr>
        <w:sectPr>
          <w:pgSz w:w="11880" w:h="15480" w:orient="portrait"/>
          <w:cols w:equalWidth="0" w:num="1">
            <w:col w:w="9360"/>
          </w:cols>
          <w:pgMar w:left="1260" w:top="1238" w:right="12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9360"/>
          </w:cols>
          <w:pgMar w:left="1260" w:top="1238" w:right="1260" w:bottom="8"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20"/>
          <w:szCs w:val="20"/>
          <w:b w:val="1"/>
          <w:bCs w:val="1"/>
          <w:i w:val="1"/>
          <w:iCs w:val="1"/>
          <w:color w:val="auto"/>
        </w:rPr>
        <w:t>Reclassification</w:t>
      </w:r>
    </w:p>
    <w:p>
      <w:pPr>
        <w:spacing w:after="0" w:line="118" w:lineRule="exact"/>
        <w:rPr>
          <w:sz w:val="20"/>
          <w:szCs w:val="20"/>
          <w:color w:val="auto"/>
        </w:rPr>
      </w:pPr>
    </w:p>
    <w:p>
      <w:pPr>
        <w:ind w:right="20" w:firstLine="490"/>
        <w:spacing w:after="0" w:line="279" w:lineRule="auto"/>
        <w:rPr>
          <w:sz w:val="20"/>
          <w:szCs w:val="20"/>
          <w:color w:val="auto"/>
        </w:rPr>
      </w:pPr>
      <w:r>
        <w:rPr>
          <w:rFonts w:ascii="Times New Roman" w:cs="Times New Roman" w:eastAsia="Times New Roman" w:hAnsi="Times New Roman"/>
          <w:sz w:val="20"/>
          <w:szCs w:val="20"/>
          <w:color w:val="auto"/>
        </w:rPr>
        <w:t>Certain prior period amounts have been reclassified to conform to the current period presentation, the effect of which was not material on an annual or interim basis to the Company’s consolidated financial statements.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Recently Issued and Adopted Accounting Pronouncements</w:t>
      </w:r>
    </w:p>
    <w:p>
      <w:pPr>
        <w:spacing w:after="0" w:line="118"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From time to time, new accounting guidance is issued by the FASB or other standard setting bodies that is adopted by us as of the effective date or, in some cases where early adoption is permitted, in advance of the effective date. We have assessed the recently issued guidance that is not yet effective and believe the new guidance will not have a material impact on the consolidated results of operations, cash flows or financial position.</w:t>
      </w:r>
    </w:p>
    <w:p>
      <w:pPr>
        <w:spacing w:after="0" w:line="67" w:lineRule="exact"/>
        <w:rPr>
          <w:sz w:val="20"/>
          <w:szCs w:val="20"/>
          <w:color w:val="auto"/>
        </w:rPr>
      </w:pPr>
    </w:p>
    <w:p>
      <w:pPr>
        <w:ind w:right="2780"/>
        <w:spacing w:after="0" w:line="366" w:lineRule="auto"/>
        <w:tabs>
          <w:tab w:leader="none" w:pos="490" w:val="left"/>
        </w:tabs>
        <w:numPr>
          <w:ilvl w:val="0"/>
          <w:numId w:val="5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Fair Value Measurements and Cash Equivalents/Marketable Securities </w:t>
      </w:r>
      <w:r>
        <w:rPr>
          <w:rFonts w:ascii="Times New Roman" w:cs="Times New Roman" w:eastAsia="Times New Roman" w:hAnsi="Times New Roman"/>
          <w:sz w:val="20"/>
          <w:szCs w:val="20"/>
          <w:b w:val="1"/>
          <w:bCs w:val="1"/>
          <w:i w:val="1"/>
          <w:iCs w:val="1"/>
          <w:color w:val="auto"/>
        </w:rPr>
        <w:t>Fair Value Measurements</w:t>
      </w:r>
    </w:p>
    <w:p>
      <w:pPr>
        <w:spacing w:after="0" w:line="2" w:lineRule="exact"/>
        <w:rPr>
          <w:sz w:val="20"/>
          <w:szCs w:val="20"/>
          <w:color w:val="auto"/>
        </w:rPr>
      </w:pPr>
    </w:p>
    <w:p>
      <w:pPr>
        <w:ind w:right="20" w:firstLine="490"/>
        <w:spacing w:after="0" w:line="266" w:lineRule="auto"/>
        <w:rPr>
          <w:sz w:val="20"/>
          <w:szCs w:val="20"/>
          <w:color w:val="auto"/>
        </w:rPr>
      </w:pPr>
      <w:r>
        <w:rPr>
          <w:rFonts w:ascii="Times New Roman" w:cs="Times New Roman" w:eastAsia="Times New Roman" w:hAnsi="Times New Roman"/>
          <w:sz w:val="19"/>
          <w:szCs w:val="19"/>
          <w:color w:val="auto"/>
        </w:rPr>
        <w:t xml:space="preserve">The Company’s assets and liabilities that are measured at fair value on a recurring basis as of December 31, 2022 and December 31, 2021 are measured in accordance with the standards of ASC 820, </w:t>
      </w:r>
      <w:r>
        <w:rPr>
          <w:rFonts w:ascii="Times New Roman" w:cs="Times New Roman" w:eastAsia="Times New Roman" w:hAnsi="Times New Roman"/>
          <w:sz w:val="19"/>
          <w:szCs w:val="19"/>
          <w:i w:val="1"/>
          <w:iCs w:val="1"/>
          <w:color w:val="auto"/>
        </w:rPr>
        <w:t>Fair Value Measurements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and Disclosures</w:t>
      </w:r>
      <w:r>
        <w:rPr>
          <w:rFonts w:ascii="Times New Roman" w:cs="Times New Roman" w:eastAsia="Times New Roman" w:hAnsi="Times New Roman"/>
          <w:sz w:val="19"/>
          <w:szCs w:val="19"/>
          <w:color w:val="auto"/>
        </w:rPr>
        <w:t>, which establishes a three-level valuation hierarchy for measuring fair value and expands financial</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statement disclosures about fair value measurements. The valuation hierarchy is based on upon the transparency of inputs to the valuation of an asset or liability as of the measurement date. The three levels are defined as follows:</w:t>
      </w:r>
    </w:p>
    <w:p>
      <w:pPr>
        <w:spacing w:after="0" w:line="197" w:lineRule="exact"/>
        <w:rPr>
          <w:sz w:val="20"/>
          <w:szCs w:val="20"/>
          <w:color w:val="auto"/>
        </w:rPr>
      </w:pPr>
    </w:p>
    <w:p>
      <w:pPr>
        <w:ind w:left="1080" w:right="140" w:hanging="1079"/>
        <w:spacing w:after="0" w:line="279" w:lineRule="auto"/>
        <w:tabs>
          <w:tab w:leader="none" w:pos="1060" w:val="left"/>
        </w:tabs>
        <w:rPr>
          <w:sz w:val="20"/>
          <w:szCs w:val="20"/>
          <w:color w:val="auto"/>
        </w:rPr>
      </w:pPr>
      <w:r>
        <w:rPr>
          <w:rFonts w:ascii="Times New Roman" w:cs="Times New Roman" w:eastAsia="Times New Roman" w:hAnsi="Times New Roman"/>
          <w:sz w:val="20"/>
          <w:szCs w:val="20"/>
          <w:color w:val="auto"/>
        </w:rPr>
        <w:t>Level – 1</w:t>
      </w:r>
      <w:r>
        <w:rPr>
          <w:sz w:val="20"/>
          <w:szCs w:val="20"/>
          <w:color w:val="auto"/>
        </w:rPr>
        <w:tab/>
      </w:r>
      <w:r>
        <w:rPr>
          <w:rFonts w:ascii="Times New Roman" w:cs="Times New Roman" w:eastAsia="Times New Roman" w:hAnsi="Times New Roman"/>
          <w:sz w:val="20"/>
          <w:szCs w:val="20"/>
          <w:color w:val="auto"/>
        </w:rPr>
        <w:t>Inputs to the valuation methodology are quoted prices (unadjusted) for identical assets or liabilities in active markets.</w:t>
      </w:r>
    </w:p>
    <w:p>
      <w:pPr>
        <w:spacing w:after="0" w:line="188" w:lineRule="exact"/>
        <w:rPr>
          <w:sz w:val="20"/>
          <w:szCs w:val="20"/>
          <w:color w:val="auto"/>
        </w:rPr>
      </w:pPr>
    </w:p>
    <w:p>
      <w:pPr>
        <w:ind w:left="1080" w:right="320" w:hanging="1079"/>
        <w:spacing w:after="0" w:line="259" w:lineRule="auto"/>
        <w:tabs>
          <w:tab w:leader="none" w:pos="1060" w:val="left"/>
        </w:tabs>
        <w:rPr>
          <w:sz w:val="20"/>
          <w:szCs w:val="20"/>
          <w:color w:val="auto"/>
        </w:rPr>
      </w:pPr>
      <w:r>
        <w:rPr>
          <w:rFonts w:ascii="Times New Roman" w:cs="Times New Roman" w:eastAsia="Times New Roman" w:hAnsi="Times New Roman"/>
          <w:sz w:val="20"/>
          <w:szCs w:val="20"/>
          <w:color w:val="auto"/>
        </w:rPr>
        <w:t>Level – 2</w:t>
      </w:r>
      <w:r>
        <w:rPr>
          <w:sz w:val="20"/>
          <w:szCs w:val="20"/>
          <w:color w:val="auto"/>
        </w:rPr>
        <w:tab/>
      </w:r>
      <w:r>
        <w:rPr>
          <w:rFonts w:ascii="Times New Roman" w:cs="Times New Roman" w:eastAsia="Times New Roman" w:hAnsi="Times New Roman"/>
          <w:sz w:val="20"/>
          <w:szCs w:val="20"/>
          <w:color w:val="auto"/>
        </w:rPr>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20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0"/>
          <w:szCs w:val="20"/>
          <w:color w:val="auto"/>
        </w:rPr>
        <w:t>Level – 3</w:t>
      </w:r>
      <w:r>
        <w:rPr>
          <w:sz w:val="20"/>
          <w:szCs w:val="20"/>
          <w:color w:val="auto"/>
        </w:rPr>
        <w:tab/>
      </w:r>
      <w:r>
        <w:rPr>
          <w:rFonts w:ascii="Times New Roman" w:cs="Times New Roman" w:eastAsia="Times New Roman" w:hAnsi="Times New Roman"/>
          <w:sz w:val="19"/>
          <w:szCs w:val="19"/>
          <w:color w:val="auto"/>
        </w:rPr>
        <w:t>Inputs to the valuation methodology are unobservable and significant to the fair value measurement.</w:t>
      </w:r>
    </w:p>
    <w:p>
      <w:pPr>
        <w:spacing w:after="0" w:line="120" w:lineRule="exact"/>
        <w:rPr>
          <w:sz w:val="20"/>
          <w:szCs w:val="20"/>
          <w:color w:val="auto"/>
        </w:rPr>
      </w:pPr>
    </w:p>
    <w:p>
      <w:pPr>
        <w:ind w:right="100" w:firstLine="490"/>
        <w:spacing w:after="0" w:line="253" w:lineRule="auto"/>
        <w:rPr>
          <w:sz w:val="20"/>
          <w:szCs w:val="20"/>
          <w:color w:val="auto"/>
        </w:rPr>
      </w:pPr>
      <w:r>
        <w:rPr>
          <w:rFonts w:ascii="Times New Roman" w:cs="Times New Roman" w:eastAsia="Times New Roman" w:hAnsi="Times New Roman"/>
          <w:sz w:val="20"/>
          <w:szCs w:val="20"/>
          <w:color w:val="auto"/>
        </w:rPr>
        <w:t>The Company’s financial instruments consist primarily of cash and cash equivalents, marketable securities, accounts payable and accrued liabilities. For accounts payable and accrued liabilities, the carrying amounts of these financial instruments as of December 31, 2022 and 2021 were considered representative of their fair values due to their short term to maturity.</w:t>
      </w:r>
    </w:p>
    <w:p>
      <w:pPr>
        <w:sectPr>
          <w:pgSz w:w="11880" w:h="15480" w:orient="portrait"/>
          <w:cols w:equalWidth="0" w:num="1">
            <w:col w:w="9340"/>
          </w:cols>
          <w:pgMar w:left="1260" w:top="1240" w:right="12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9340"/>
          </w:cols>
          <w:pgMar w:left="1260" w:top="1240" w:right="1280" w:bottom="8" w:gutter="0" w:footer="0" w:header="0"/>
          <w:type w:val="continuous"/>
        </w:sectPr>
      </w:pPr>
    </w:p>
    <w:bookmarkStart w:id="110" w:name="page111"/>
    <w:bookmarkEnd w:id="110"/>
    <w:p>
      <w:pPr>
        <w:ind w:left="500"/>
        <w:spacing w:after="0"/>
        <w:rPr>
          <w:sz w:val="20"/>
          <w:szCs w:val="20"/>
          <w:color w:val="auto"/>
        </w:rPr>
      </w:pPr>
      <w:r>
        <w:rPr>
          <w:rFonts w:ascii="Times New Roman" w:cs="Times New Roman" w:eastAsia="Times New Roman" w:hAnsi="Times New Roman"/>
          <w:sz w:val="20"/>
          <w:szCs w:val="20"/>
          <w:color w:val="auto"/>
        </w:rPr>
        <w:t>The following tables summarize the Company’s cash equivalents and marketable securities as of</w:t>
      </w:r>
    </w:p>
    <w:p>
      <w:pPr>
        <w:spacing w:after="0"/>
        <w:rPr>
          <w:sz w:val="20"/>
          <w:szCs w:val="20"/>
          <w:color w:val="auto"/>
        </w:rPr>
      </w:pPr>
      <w:r>
        <w:rPr>
          <w:rFonts w:ascii="Times New Roman" w:cs="Times New Roman" w:eastAsia="Times New Roman" w:hAnsi="Times New Roman"/>
          <w:sz w:val="20"/>
          <w:szCs w:val="20"/>
          <w:color w:val="auto"/>
        </w:rPr>
        <w:t>December 31, 2022 and 2021:</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Quoted</w:t>
            </w: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8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Active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Observable</w:t>
            </w:r>
          </w:p>
        </w:tc>
        <w:tc>
          <w:tcPr>
            <w:tcW w:w="220" w:type="dxa"/>
            <w:vAlign w:val="bottom"/>
          </w:tcPr>
          <w:p>
            <w:pPr>
              <w:spacing w:after="0"/>
              <w:rPr>
                <w:sz w:val="15"/>
                <w:szCs w:val="15"/>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Unobservable</w:t>
            </w: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vMerge w:val="restart"/>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Markets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04"/>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6"/>
                <w:szCs w:val="16"/>
                <w:b w:val="1"/>
                <w:bCs w:val="1"/>
                <w:color w:val="auto"/>
                <w:w w:val="99"/>
              </w:rPr>
              <w:t>(Level 2)</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(in</w:t>
            </w:r>
          </w:p>
        </w:tc>
        <w:tc>
          <w:tcPr>
            <w:tcW w:w="1140" w:type="dxa"/>
            <w:vAlign w:val="bottom"/>
            <w:gridSpan w:val="4"/>
          </w:tcPr>
          <w:p>
            <w:pPr>
              <w:jc w:val="right"/>
              <w:ind w:right="466"/>
              <w:spacing w:after="0"/>
              <w:rPr>
                <w:sz w:val="20"/>
                <w:szCs w:val="20"/>
                <w:color w:val="auto"/>
              </w:rPr>
            </w:pPr>
            <w:r>
              <w:rPr>
                <w:rFonts w:ascii="Times New Roman" w:cs="Times New Roman" w:eastAsia="Times New Roman" w:hAnsi="Times New Roman"/>
                <w:sz w:val="16"/>
                <w:szCs w:val="16"/>
                <w:b w:val="1"/>
                <w:bCs w:val="1"/>
                <w:color w:val="auto"/>
                <w:w w:val="74"/>
              </w:rPr>
              <w:t>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auto"/>
              </w:rPr>
              <w:t>Cash equivalents:</w:t>
            </w: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20" w:type="dxa"/>
            <w:vAlign w:val="bottom"/>
          </w:tcPr>
          <w:p>
            <w:pPr>
              <w:ind w:left="400"/>
              <w:spacing w:after="0" w:line="208" w:lineRule="exact"/>
              <w:rPr>
                <w:sz w:val="20"/>
                <w:szCs w:val="20"/>
                <w:color w:val="auto"/>
              </w:rPr>
            </w:pPr>
            <w:r>
              <w:rPr>
                <w:rFonts w:ascii="Times New Roman" w:cs="Times New Roman" w:eastAsia="Times New Roman" w:hAnsi="Times New Roman"/>
                <w:sz w:val="20"/>
                <w:szCs w:val="20"/>
                <w:color w:val="auto"/>
              </w:rPr>
              <w:t>Money market funds invested in government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22,184</w:t>
            </w:r>
          </w:p>
        </w:tc>
        <w:tc>
          <w:tcPr>
            <w:tcW w:w="32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22,184</w:t>
            </w:r>
          </w:p>
        </w:tc>
        <w:tc>
          <w:tcPr>
            <w:tcW w:w="2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gridSpan w:val="3"/>
            <w:vMerge w:val="restart"/>
          </w:tcPr>
          <w:p>
            <w:pPr>
              <w:ind w:left="64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51"/>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p>
        </w:tc>
        <w:tc>
          <w:tcPr>
            <w:tcW w:w="20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20" w:type="dxa"/>
            <w:vAlign w:val="bottom"/>
            <w:gridSpan w:val="3"/>
            <w:vMerge w:val="continue"/>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280" w:type="dxa"/>
            <w:vAlign w:val="bottom"/>
            <w:gridSpan w:val="3"/>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94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20" w:type="dxa"/>
            <w:vAlign w:val="bottom"/>
            <w:tcBorders>
              <w:top w:val="single" w:sz="8" w:color="E4E4E4"/>
            </w:tcBorders>
            <w:shd w:val="clear" w:color="auto" w:fill="E4E4E4"/>
          </w:tcPr>
          <w:p>
            <w:pPr>
              <w:ind w:left="660"/>
              <w:spacing w:after="0" w:line="220" w:lineRule="exact"/>
              <w:rPr>
                <w:sz w:val="20"/>
                <w:szCs w:val="20"/>
                <w:color w:val="auto"/>
              </w:rPr>
            </w:pPr>
            <w:r>
              <w:rPr>
                <w:rFonts w:ascii="Times New Roman" w:cs="Times New Roman" w:eastAsia="Times New Roman" w:hAnsi="Times New Roman"/>
                <w:sz w:val="20"/>
                <w:szCs w:val="20"/>
                <w:color w:val="auto"/>
              </w:rPr>
              <w:t>Total cash equivalents</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22,184</w:t>
            </w:r>
          </w:p>
        </w:tc>
        <w:tc>
          <w:tcPr>
            <w:tcW w:w="20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auto"/>
              <w:bottom w:val="single" w:sz="8" w:color="auto"/>
            </w:tcBorders>
            <w:shd w:val="clear" w:color="auto" w:fill="E4E4E4"/>
          </w:tcPr>
          <w:p>
            <w:pPr>
              <w:spacing w:after="0"/>
              <w:rPr>
                <w:sz w:val="19"/>
                <w:szCs w:val="19"/>
                <w:color w:val="auto"/>
              </w:rPr>
            </w:pPr>
          </w:p>
        </w:tc>
        <w:tc>
          <w:tcPr>
            <w:tcW w:w="20" w:type="dxa"/>
            <w:vAlign w:val="bottom"/>
            <w:tcBorders>
              <w:top w:val="single" w:sz="8" w:color="auto"/>
              <w:bottom w:val="single" w:sz="8" w:color="auto"/>
            </w:tcBorders>
            <w:shd w:val="clear" w:color="auto" w:fill="E4E4E4"/>
          </w:tcPr>
          <w:p>
            <w:pPr>
              <w:spacing w:after="0"/>
              <w:rPr>
                <w:sz w:val="19"/>
                <w:szCs w:val="19"/>
                <w:color w:val="auto"/>
              </w:rPr>
            </w:pPr>
          </w:p>
        </w:tc>
        <w:tc>
          <w:tcPr>
            <w:tcW w:w="860" w:type="dxa"/>
            <w:vAlign w:val="bottom"/>
            <w:tcBorders>
              <w:top w:val="single" w:sz="8" w:color="auto"/>
              <w:bottom w:val="single" w:sz="8" w:color="auto"/>
            </w:tcBorders>
            <w:gridSpan w:val="2"/>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22,184</w:t>
            </w:r>
          </w:p>
        </w:tc>
        <w:tc>
          <w:tcPr>
            <w:tcW w:w="180" w:type="dxa"/>
            <w:vAlign w:val="bottom"/>
            <w:tcBorders>
              <w:top w:val="single" w:sz="8" w:color="E4E4E4"/>
            </w:tcBorders>
            <w:shd w:val="clear" w:color="auto" w:fill="E4E4E4"/>
          </w:tcPr>
          <w:p>
            <w:pPr>
              <w:spacing w:after="0"/>
              <w:rPr>
                <w:sz w:val="19"/>
                <w:szCs w:val="19"/>
                <w:color w:val="auto"/>
              </w:rPr>
            </w:pPr>
          </w:p>
        </w:tc>
        <w:tc>
          <w:tcPr>
            <w:tcW w:w="20" w:type="dxa"/>
            <w:vAlign w:val="bottom"/>
            <w:tcBorders>
              <w:top w:val="single" w:sz="8" w:color="auto"/>
              <w:bottom w:val="single" w:sz="8" w:color="auto"/>
            </w:tcBorders>
            <w:shd w:val="clear" w:color="auto" w:fill="E4E4E4"/>
          </w:tcPr>
          <w:p>
            <w:pPr>
              <w:spacing w:after="0"/>
              <w:rPr>
                <w:sz w:val="19"/>
                <w:szCs w:val="19"/>
                <w:color w:val="auto"/>
              </w:rPr>
            </w:pPr>
          </w:p>
        </w:tc>
        <w:tc>
          <w:tcPr>
            <w:tcW w:w="80" w:type="dxa"/>
            <w:vAlign w:val="bottom"/>
            <w:tcBorders>
              <w:top w:val="single" w:sz="8" w:color="auto"/>
              <w:bottom w:val="single" w:sz="8" w:color="auto"/>
            </w:tcBorders>
            <w:shd w:val="clear" w:color="auto" w:fill="E4E4E4"/>
          </w:tcPr>
          <w:p>
            <w:pPr>
              <w:spacing w:after="0"/>
              <w:rPr>
                <w:sz w:val="19"/>
                <w:szCs w:val="19"/>
                <w:color w:val="auto"/>
              </w:rPr>
            </w:pPr>
          </w:p>
        </w:tc>
        <w:tc>
          <w:tcPr>
            <w:tcW w:w="86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auto"/>
              <w:bottom w:val="single" w:sz="8" w:color="auto"/>
            </w:tcBorders>
            <w:shd w:val="clear" w:color="auto" w:fill="E4E4E4"/>
          </w:tcPr>
          <w:p>
            <w:pPr>
              <w:spacing w:after="0"/>
              <w:rPr>
                <w:sz w:val="19"/>
                <w:szCs w:val="19"/>
                <w:color w:val="auto"/>
              </w:rPr>
            </w:pPr>
          </w:p>
        </w:tc>
        <w:tc>
          <w:tcPr>
            <w:tcW w:w="860" w:type="dxa"/>
            <w:vAlign w:val="bottom"/>
            <w:tcBorders>
              <w:top w:val="single" w:sz="8" w:color="auto"/>
              <w:bottom w:val="single" w:sz="8" w:color="auto"/>
            </w:tcBorders>
            <w:gridSpan w:val="2"/>
            <w:shd w:val="clear" w:color="auto" w:fill="E4E4E4"/>
          </w:tcPr>
          <w:p>
            <w:pPr>
              <w:ind w:left="64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8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auto"/>
              </w:rPr>
              <w:t>Marketable securities:</w:t>
            </w: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20" w:type="dxa"/>
            <w:vAlign w:val="bottom"/>
            <w:tcBorders>
              <w:bottom w:val="single" w:sz="8" w:color="E4E4E4"/>
            </w:tcBorders>
          </w:tcPr>
          <w:p>
            <w:pPr>
              <w:ind w:left="400"/>
              <w:spacing w:after="0" w:line="210" w:lineRule="exact"/>
              <w:rPr>
                <w:sz w:val="20"/>
                <w:szCs w:val="20"/>
                <w:color w:val="auto"/>
              </w:rPr>
            </w:pPr>
            <w:r>
              <w:rPr>
                <w:rFonts w:ascii="Times New Roman" w:cs="Times New Roman" w:eastAsia="Times New Roman" w:hAnsi="Times New Roman"/>
                <w:sz w:val="20"/>
                <w:szCs w:val="20"/>
                <w:color w:val="auto"/>
              </w:rPr>
              <w:t>U.S Government and agency securities</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91,603</w:t>
            </w:r>
          </w:p>
        </w:tc>
        <w:tc>
          <w:tcPr>
            <w:tcW w:w="200" w:type="dxa"/>
            <w:vAlign w:val="bottom"/>
            <w:tcBorders>
              <w:bottom w:val="single" w:sz="8" w:color="E4E4E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E4E4E4"/>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91,603</w:t>
            </w:r>
          </w:p>
        </w:tc>
        <w:tc>
          <w:tcPr>
            <w:tcW w:w="220" w:type="dxa"/>
            <w:vAlign w:val="bottom"/>
            <w:tcBorders>
              <w:bottom w:val="single" w:sz="8" w:color="E4E4E4"/>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40"/>
              <w:spacing w:after="0" w:line="210" w:lineRule="exact"/>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E4E4E4"/>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20" w:type="dxa"/>
            <w:vAlign w:val="bottom"/>
            <w:shd w:val="clear" w:color="auto" w:fill="E4E4E4"/>
          </w:tcPr>
          <w:p>
            <w:pPr>
              <w:ind w:left="700"/>
              <w:spacing w:after="0" w:line="220" w:lineRule="exact"/>
              <w:rPr>
                <w:sz w:val="20"/>
                <w:szCs w:val="20"/>
                <w:color w:val="auto"/>
              </w:rPr>
            </w:pPr>
            <w:r>
              <w:rPr>
                <w:rFonts w:ascii="Times New Roman" w:cs="Times New Roman" w:eastAsia="Times New Roman" w:hAnsi="Times New Roman"/>
                <w:sz w:val="20"/>
                <w:szCs w:val="20"/>
                <w:color w:val="auto"/>
              </w:rPr>
              <w:t>Total marketable securities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91,603</w:t>
            </w:r>
          </w:p>
        </w:tc>
        <w:tc>
          <w:tcPr>
            <w:tcW w:w="20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20" w:type="dxa"/>
            <w:vAlign w:val="bottom"/>
            <w:tcBorders>
              <w:bottom w:val="single" w:sz="8" w:color="auto"/>
            </w:tcBorders>
            <w:shd w:val="clear" w:color="auto" w:fill="E4E4E4"/>
          </w:tcPr>
          <w:p>
            <w:pPr>
              <w:spacing w:after="0"/>
              <w:rPr>
                <w:sz w:val="19"/>
                <w:szCs w:val="19"/>
                <w:color w:val="auto"/>
              </w:rPr>
            </w:pPr>
          </w:p>
        </w:tc>
        <w:tc>
          <w:tcPr>
            <w:tcW w:w="84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tcBorders>
              <w:bottom w:val="single" w:sz="8" w:color="auto"/>
            </w:tcBorders>
            <w:shd w:val="clear" w:color="auto" w:fill="E4E4E4"/>
          </w:tcPr>
          <w:p>
            <w:pPr>
              <w:spacing w:after="0"/>
              <w:rPr>
                <w:sz w:val="19"/>
                <w:szCs w:val="19"/>
                <w:color w:val="auto"/>
              </w:rPr>
            </w:pPr>
          </w:p>
        </w:tc>
        <w:tc>
          <w:tcPr>
            <w:tcW w:w="80" w:type="dxa"/>
            <w:vAlign w:val="bottom"/>
            <w:tcBorders>
              <w:bottom w:val="single" w:sz="8" w:color="auto"/>
            </w:tcBorders>
            <w:shd w:val="clear" w:color="auto" w:fill="E4E4E4"/>
          </w:tcPr>
          <w:p>
            <w:pPr>
              <w:spacing w:after="0"/>
              <w:rPr>
                <w:sz w:val="19"/>
                <w:szCs w:val="19"/>
                <w:color w:val="auto"/>
              </w:rPr>
            </w:pPr>
          </w:p>
        </w:tc>
        <w:tc>
          <w:tcPr>
            <w:tcW w:w="86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91,603</w:t>
            </w:r>
          </w:p>
        </w:tc>
        <w:tc>
          <w:tcPr>
            <w:tcW w:w="2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840" w:type="dxa"/>
            <w:vAlign w:val="bottom"/>
            <w:tcBorders>
              <w:bottom w:val="single" w:sz="8" w:color="auto"/>
            </w:tcBorders>
            <w:shd w:val="clear" w:color="auto" w:fill="E4E4E4"/>
          </w:tcPr>
          <w:p>
            <w:pPr>
              <w:ind w:left="64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Borders>
              <w:bottom w:val="single" w:sz="8" w:color="auto"/>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20" w:type="dxa"/>
            <w:vAlign w:val="bottom"/>
          </w:tcPr>
          <w:p>
            <w:pPr>
              <w:ind w:left="160"/>
              <w:spacing w:after="0" w:line="220" w:lineRule="exact"/>
              <w:rPr>
                <w:sz w:val="20"/>
                <w:szCs w:val="20"/>
                <w:color w:val="auto"/>
              </w:rPr>
            </w:pPr>
            <w:r>
              <w:rPr>
                <w:rFonts w:ascii="Times New Roman" w:cs="Times New Roman" w:eastAsia="Times New Roman" w:hAnsi="Times New Roman"/>
                <w:sz w:val="20"/>
                <w:szCs w:val="20"/>
                <w:color w:val="auto"/>
              </w:rPr>
              <w:t>Total cash equivalents and marketable securities</w:t>
            </w:r>
          </w:p>
        </w:tc>
        <w:tc>
          <w:tcPr>
            <w:tcW w:w="10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113,787</w:t>
            </w:r>
          </w:p>
        </w:tc>
        <w:tc>
          <w:tcPr>
            <w:tcW w:w="200" w:type="dxa"/>
            <w:vAlign w:val="bottom"/>
          </w:tcPr>
          <w:p>
            <w:pPr>
              <w:spacing w:after="0"/>
              <w:rPr>
                <w:sz w:val="19"/>
                <w:szCs w:val="19"/>
                <w:color w:val="auto"/>
              </w:rPr>
            </w:pPr>
          </w:p>
        </w:tc>
        <w:tc>
          <w:tcPr>
            <w:tcW w:w="12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gridSpan w:val="2"/>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rPr>
              <w:t>22,184</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91,603</w:t>
            </w:r>
          </w:p>
        </w:tc>
        <w:tc>
          <w:tcPr>
            <w:tcW w:w="220" w:type="dxa"/>
            <w:vAlign w:val="bottom"/>
          </w:tcPr>
          <w:p>
            <w:pPr>
              <w:spacing w:after="0"/>
              <w:rPr>
                <w:sz w:val="19"/>
                <w:szCs w:val="19"/>
                <w:color w:val="auto"/>
              </w:rPr>
            </w:pPr>
          </w:p>
        </w:tc>
        <w:tc>
          <w:tcPr>
            <w:tcW w:w="1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7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auto"/>
              </w:rPr>
              <w:t>Cash equivalents:</w:t>
            </w: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400"/>
              <w:spacing w:after="0" w:line="188" w:lineRule="exact"/>
              <w:rPr>
                <w:sz w:val="20"/>
                <w:szCs w:val="20"/>
                <w:color w:val="auto"/>
              </w:rPr>
            </w:pPr>
            <w:r>
              <w:rPr>
                <w:rFonts w:ascii="Times New Roman" w:cs="Times New Roman" w:eastAsia="Times New Roman" w:hAnsi="Times New Roman"/>
                <w:sz w:val="20"/>
                <w:szCs w:val="20"/>
                <w:color w:val="auto"/>
              </w:rPr>
              <w:t>Money market funds invested in government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20" w:type="dxa"/>
            <w:vAlign w:val="bottom"/>
          </w:tcPr>
          <w:p>
            <w:pPr>
              <w:spacing w:after="0"/>
              <w:rPr>
                <w:sz w:val="20"/>
                <w:szCs w:val="20"/>
                <w:color w:val="auto"/>
              </w:rPr>
            </w:pPr>
            <w:r>
              <w:rPr>
                <w:rFonts w:ascii="Times New Roman" w:cs="Times New Roman" w:eastAsia="Times New Roman" w:hAnsi="Times New Roman"/>
                <w:sz w:val="20"/>
                <w:szCs w:val="20"/>
                <w:color w:val="auto"/>
              </w:rPr>
              <w:t>securities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6,137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auto"/>
              </w:rPr>
              <w:t>Commercial paper</w:t>
            </w:r>
          </w:p>
        </w:tc>
        <w:tc>
          <w:tcPr>
            <w:tcW w:w="1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7,549</w:t>
            </w:r>
          </w:p>
        </w:tc>
        <w:tc>
          <w:tcPr>
            <w:tcW w:w="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7,549</w:t>
            </w:r>
          </w:p>
        </w:tc>
        <w:tc>
          <w:tcPr>
            <w:tcW w:w="20" w:type="dxa"/>
            <w:vAlign w:val="bottom"/>
          </w:tcPr>
          <w:p>
            <w:pPr>
              <w:spacing w:after="0"/>
              <w:rPr>
                <w:sz w:val="19"/>
                <w:szCs w:val="19"/>
                <w:color w:val="auto"/>
              </w:rPr>
            </w:pPr>
          </w:p>
        </w:tc>
        <w:tc>
          <w:tcPr>
            <w:tcW w:w="18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ind w:left="64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Borders>
              <w:bottom w:val="single" w:sz="8" w:color="E4E4E4"/>
            </w:tcBorders>
          </w:tcPr>
          <w:p>
            <w:pPr>
              <w:ind w:left="400"/>
              <w:spacing w:after="0"/>
              <w:rPr>
                <w:sz w:val="20"/>
                <w:szCs w:val="20"/>
                <w:color w:val="auto"/>
              </w:rPr>
            </w:pPr>
            <w:r>
              <w:rPr>
                <w:rFonts w:ascii="Times New Roman" w:cs="Times New Roman" w:eastAsia="Times New Roman" w:hAnsi="Times New Roman"/>
                <w:sz w:val="20"/>
                <w:szCs w:val="20"/>
                <w:color w:val="auto"/>
              </w:rPr>
              <w:t>Corporate bonds</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1,219</w:t>
            </w:r>
          </w:p>
        </w:tc>
        <w:tc>
          <w:tcPr>
            <w:tcW w:w="200" w:type="dxa"/>
            <w:vAlign w:val="bottom"/>
            <w:tcBorders>
              <w:bottom w:val="single" w:sz="8" w:color="E4E4E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1,219</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E4E4E4"/>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E4E4E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E4E4E4"/>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720" w:type="dxa"/>
            <w:vAlign w:val="bottom"/>
            <w:shd w:val="clear" w:color="auto" w:fill="E4E4E4"/>
          </w:tcPr>
          <w:p>
            <w:pPr>
              <w:ind w:left="660"/>
              <w:spacing w:after="0" w:line="220" w:lineRule="exact"/>
              <w:rPr>
                <w:sz w:val="20"/>
                <w:szCs w:val="20"/>
                <w:color w:val="auto"/>
              </w:rPr>
            </w:pPr>
            <w:r>
              <w:rPr>
                <w:rFonts w:ascii="Times New Roman" w:cs="Times New Roman" w:eastAsia="Times New Roman" w:hAnsi="Times New Roman"/>
                <w:sz w:val="20"/>
                <w:szCs w:val="20"/>
                <w:color w:val="auto"/>
              </w:rPr>
              <w:t>Total cash equivalents</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14,905</w:t>
            </w:r>
          </w:p>
        </w:tc>
        <w:tc>
          <w:tcPr>
            <w:tcW w:w="200" w:type="dxa"/>
            <w:vAlign w:val="bottom"/>
            <w:shd w:val="clear" w:color="auto" w:fill="E4E4E4"/>
          </w:tcPr>
          <w:p>
            <w:pPr>
              <w:spacing w:after="0"/>
              <w:rPr>
                <w:sz w:val="19"/>
                <w:szCs w:val="19"/>
                <w:color w:val="auto"/>
              </w:rPr>
            </w:pPr>
          </w:p>
        </w:tc>
        <w:tc>
          <w:tcPr>
            <w:tcW w:w="120" w:type="dxa"/>
            <w:vAlign w:val="bottom"/>
            <w:tcBorders>
              <w:bottom w:val="single" w:sz="8" w:color="auto"/>
            </w:tcBorders>
            <w:gridSpan w:val="2"/>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4E4E4"/>
              </w:rPr>
              <w:t>$</w:t>
            </w:r>
          </w:p>
        </w:tc>
        <w:tc>
          <w:tcPr>
            <w:tcW w:w="860" w:type="dxa"/>
            <w:vAlign w:val="bottom"/>
            <w:tcBorders>
              <w:bottom w:val="single" w:sz="8" w:color="auto"/>
            </w:tcBorders>
            <w:gridSpan w:val="2"/>
            <w:shd w:val="clear" w:color="auto" w:fill="E4E4E4"/>
          </w:tcPr>
          <w:p>
            <w:pPr>
              <w:jc w:val="right"/>
              <w:ind w:right="20"/>
              <w:spacing w:after="0" w:line="220" w:lineRule="exact"/>
              <w:rPr>
                <w:sz w:val="20"/>
                <w:szCs w:val="20"/>
                <w:color w:val="auto"/>
              </w:rPr>
            </w:pPr>
            <w:r>
              <w:rPr>
                <w:rFonts w:ascii="Times New Roman" w:cs="Times New Roman" w:eastAsia="Times New Roman" w:hAnsi="Times New Roman"/>
                <w:sz w:val="20"/>
                <w:szCs w:val="20"/>
                <w:color w:val="auto"/>
                <w:shd w:val="clear" w:color="auto" w:fill="E4E4E4"/>
              </w:rPr>
              <w:t>14,905</w:t>
            </w:r>
          </w:p>
        </w:tc>
        <w:tc>
          <w:tcPr>
            <w:tcW w:w="180" w:type="dxa"/>
            <w:vAlign w:val="bottom"/>
            <w:shd w:val="clear" w:color="auto" w:fill="E4E4E4"/>
          </w:tcPr>
          <w:p>
            <w:pPr>
              <w:spacing w:after="0"/>
              <w:rPr>
                <w:sz w:val="19"/>
                <w:szCs w:val="19"/>
                <w:color w:val="auto"/>
              </w:rPr>
            </w:pPr>
          </w:p>
        </w:tc>
        <w:tc>
          <w:tcPr>
            <w:tcW w:w="20" w:type="dxa"/>
            <w:vAlign w:val="bottom"/>
            <w:tcBorders>
              <w:bottom w:val="single" w:sz="8" w:color="auto"/>
            </w:tcBorders>
            <w:shd w:val="clear" w:color="auto" w:fill="E4E4E4"/>
          </w:tcPr>
          <w:p>
            <w:pPr>
              <w:spacing w:after="0"/>
              <w:rPr>
                <w:sz w:val="19"/>
                <w:szCs w:val="19"/>
                <w:color w:val="auto"/>
              </w:rPr>
            </w:pPr>
          </w:p>
        </w:tc>
        <w:tc>
          <w:tcPr>
            <w:tcW w:w="8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E4E4E4"/>
              </w:rPr>
              <w:t>$</w:t>
            </w:r>
          </w:p>
        </w:tc>
        <w:tc>
          <w:tcPr>
            <w:tcW w:w="86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2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shd w:val="clear" w:color="auto" w:fill="E4E4E4"/>
          </w:tcPr>
          <w:p>
            <w:pPr>
              <w:ind w:left="640"/>
              <w:spacing w:after="0" w:line="220" w:lineRule="exact"/>
              <w:rPr>
                <w:sz w:val="20"/>
                <w:szCs w:val="20"/>
                <w:color w:val="auto"/>
              </w:rPr>
            </w:pPr>
            <w:r>
              <w:rPr>
                <w:rFonts w:ascii="Times New Roman" w:cs="Times New Roman" w:eastAsia="Times New Roman" w:hAnsi="Times New Roman"/>
                <w:sz w:val="20"/>
                <w:szCs w:val="20"/>
                <w:color w:val="auto"/>
                <w:w w:val="89"/>
              </w:rPr>
              <w:t>—</w:t>
            </w:r>
          </w:p>
        </w:tc>
        <w:tc>
          <w:tcPr>
            <w:tcW w:w="20" w:type="dxa"/>
            <w:vAlign w:val="bottom"/>
            <w:tcBorders>
              <w:bottom w:val="single" w:sz="8" w:color="auto"/>
            </w:tcBorders>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-2145665</wp:posOffset>
            </wp:positionV>
            <wp:extent cx="704215" cy="3302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4215" cy="3302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-1548765</wp:posOffset>
            </wp:positionV>
            <wp:extent cx="5969000" cy="650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69000" cy="65087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-193040</wp:posOffset>
            </wp:positionV>
            <wp:extent cx="160020" cy="177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0020" cy="177800"/>
                    </a:xfrm>
                    <a:prstGeom prst="rect">
                      <a:avLst/>
                    </a:prstGeom>
                    <a:noFill/>
                  </pic:spPr>
                </pic:pic>
              </a:graphicData>
            </a:graphic>
          </wp:anchor>
        </w:drawing>
      </w:r>
    </w:p>
    <w:p>
      <w:pPr>
        <w:spacing w:after="0" w:line="79" w:lineRule="exact"/>
        <w:rPr>
          <w:sz w:val="20"/>
          <w:szCs w:val="20"/>
          <w:color w:val="auto"/>
        </w:rPr>
      </w:pPr>
    </w:p>
    <w:p>
      <w:pPr>
        <w:ind w:right="240" w:firstLine="490"/>
        <w:spacing w:after="0" w:line="259" w:lineRule="auto"/>
        <w:rPr>
          <w:sz w:val="20"/>
          <w:szCs w:val="20"/>
          <w:color w:val="auto"/>
        </w:rPr>
      </w:pPr>
      <w:r>
        <w:rPr>
          <w:rFonts w:ascii="Times New Roman" w:cs="Times New Roman" w:eastAsia="Times New Roman" w:hAnsi="Times New Roman"/>
          <w:sz w:val="20"/>
          <w:szCs w:val="20"/>
          <w:color w:val="auto"/>
        </w:rPr>
        <w:t>The accrued interest receivable related to the Company’s investments was $0.1 million as of December 31, 2022 and is included in prepaid expenses and other current assets on the consolidated balance sheet. There was no accrued interest receivable at December 31, 2021.</w:t>
      </w:r>
    </w:p>
    <w:p>
      <w:pPr>
        <w:spacing w:after="0" w:line="65" w:lineRule="exact"/>
        <w:rPr>
          <w:sz w:val="20"/>
          <w:szCs w:val="20"/>
          <w:color w:val="auto"/>
        </w:rPr>
      </w:pPr>
    </w:p>
    <w:p>
      <w:pPr>
        <w:ind w:right="380" w:firstLine="490"/>
        <w:spacing w:after="0" w:line="279" w:lineRule="auto"/>
        <w:rPr>
          <w:sz w:val="20"/>
          <w:szCs w:val="20"/>
          <w:color w:val="auto"/>
        </w:rPr>
      </w:pPr>
      <w:r>
        <w:rPr>
          <w:rFonts w:ascii="Times New Roman" w:cs="Times New Roman" w:eastAsia="Times New Roman" w:hAnsi="Times New Roman"/>
          <w:sz w:val="20"/>
          <w:szCs w:val="20"/>
          <w:color w:val="auto"/>
        </w:rPr>
        <w:t>The Company classifies its money market funds which are valued based on quoted market prices in active markets with no valuation adjustment, as Level 1 assets within the fair value hierarchy.</w:t>
      </w:r>
    </w:p>
    <w:p>
      <w:pPr>
        <w:spacing w:after="0" w:line="45" w:lineRule="exact"/>
        <w:rPr>
          <w:sz w:val="20"/>
          <w:szCs w:val="20"/>
          <w:color w:val="auto"/>
        </w:rPr>
      </w:pPr>
    </w:p>
    <w:p>
      <w:pPr>
        <w:ind w:right="260" w:firstLine="490"/>
        <w:spacing w:after="0" w:line="246" w:lineRule="auto"/>
        <w:rPr>
          <w:sz w:val="20"/>
          <w:szCs w:val="20"/>
          <w:color w:val="auto"/>
        </w:rPr>
      </w:pPr>
      <w:r>
        <w:rPr>
          <w:rFonts w:ascii="Times New Roman" w:cs="Times New Roman" w:eastAsia="Times New Roman" w:hAnsi="Times New Roman"/>
          <w:sz w:val="20"/>
          <w:szCs w:val="20"/>
          <w:color w:val="auto"/>
        </w:rPr>
        <w:t>The Company classifies its investments in U.S. government and agency securities, corporate commercial paper, and corporate debt securities as Level 2 assets within the fair value hierarchy. The fair values of these investments are estimated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ectPr>
          <w:pgSz w:w="11880" w:h="15480" w:orient="portrait"/>
          <w:cols w:equalWidth="0" w:num="1">
            <w:col w:w="9360"/>
          </w:cols>
          <w:pgMar w:left="1260" w:top="1238" w:right="12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9360"/>
          </w:cols>
          <w:pgMar w:left="1260" w:top="1238" w:right="1260" w:bottom="8" w:gutter="0" w:footer="0" w:header="0"/>
          <w:type w:val="continuous"/>
        </w:sectPr>
      </w:pPr>
    </w:p>
    <w:bookmarkStart w:id="111" w:name="page112"/>
    <w:bookmarkEnd w:id="111"/>
    <w:p>
      <w:pPr>
        <w:ind w:right="120" w:firstLine="490"/>
        <w:spacing w:after="0" w:line="247" w:lineRule="auto"/>
        <w:rPr>
          <w:sz w:val="20"/>
          <w:szCs w:val="20"/>
          <w:color w:val="auto"/>
        </w:rPr>
      </w:pPr>
      <w:r>
        <w:rPr>
          <w:rFonts w:ascii="Times New Roman" w:cs="Times New Roman" w:eastAsia="Times New Roman" w:hAnsi="Times New Roman"/>
          <w:sz w:val="20"/>
          <w:szCs w:val="20"/>
          <w:color w:val="auto"/>
        </w:rPr>
        <w:t>As of December 31, 2022, the unrealized loss for available-for-sale investments were non-credit related, and the Company does not intend to sell the investments that were in an unrealized loss position, nor will it be required to sell those investments before recovery of their amortized cost basis, which may be maturity. As of December 31, 2022 and 2021, no allowances for credit losses for the Company’s investments were recorded. During the twelve months ended December 31, 2022 and 2021, the Company did not recognize any impairment losses related to investments.</w:t>
      </w:r>
    </w:p>
    <w:p>
      <w:pPr>
        <w:spacing w:after="0" w:line="80" w:lineRule="exact"/>
        <w:rPr>
          <w:sz w:val="20"/>
          <w:szCs w:val="20"/>
          <w:color w:val="auto"/>
        </w:rPr>
      </w:pPr>
    </w:p>
    <w:p>
      <w:pPr>
        <w:ind w:right="200" w:firstLine="490"/>
        <w:spacing w:after="0" w:line="253" w:lineRule="auto"/>
        <w:rPr>
          <w:sz w:val="20"/>
          <w:szCs w:val="20"/>
          <w:color w:val="auto"/>
        </w:rPr>
      </w:pPr>
      <w:r>
        <w:rPr>
          <w:rFonts w:ascii="Times New Roman" w:cs="Times New Roman" w:eastAsia="Times New Roman" w:hAnsi="Times New Roman"/>
          <w:sz w:val="20"/>
          <w:szCs w:val="20"/>
          <w:color w:val="auto"/>
        </w:rPr>
        <w:t>As of December 31, 2022, the Company's cash equivalents and marketable securities consisted of a U.S. government money market fund and U.S. government agency securities, all held in our name in a separate custody account with U.S. Bank. The U.S. government money market fund has same-day liquidity access and the U.S. government and agency securities all have maturities of 90 days or less.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Marketable Securities</w:t>
      </w:r>
    </w:p>
    <w:p>
      <w:pPr>
        <w:spacing w:after="0" w:line="118" w:lineRule="exact"/>
        <w:rPr>
          <w:sz w:val="20"/>
          <w:szCs w:val="20"/>
          <w:color w:val="auto"/>
        </w:rPr>
      </w:pPr>
    </w:p>
    <w:p>
      <w:pPr>
        <w:ind w:right="220"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tables summarize the Company’s marketable securities as of December 31, 2022. There were no marketable securities as of December 31,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w w:val="96"/>
              </w:rPr>
              <w:t>Amortized</w:t>
            </w: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center"/>
              <w:ind w:right="32"/>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Unrealized</w:t>
            </w:r>
          </w:p>
        </w:tc>
        <w:tc>
          <w:tcPr>
            <w:tcW w:w="100" w:type="dxa"/>
            <w:vAlign w:val="bottom"/>
          </w:tcPr>
          <w:p>
            <w:pPr>
              <w:spacing w:after="0"/>
              <w:rPr>
                <w:sz w:val="15"/>
                <w:szCs w:val="15"/>
                <w:color w:val="auto"/>
              </w:rPr>
            </w:pPr>
          </w:p>
        </w:tc>
        <w:tc>
          <w:tcPr>
            <w:tcW w:w="840" w:type="dxa"/>
            <w:vAlign w:val="bottom"/>
            <w:vMerge w:val="restart"/>
          </w:tcPr>
          <w:p>
            <w:pPr>
              <w:jc w:val="right"/>
              <w:ind w:right="7"/>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8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Cost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Gains</w:t>
            </w: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(in</w:t>
            </w:r>
          </w:p>
        </w:tc>
        <w:tc>
          <w:tcPr>
            <w:tcW w:w="1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60" w:type="dxa"/>
            <w:vAlign w:val="bottom"/>
            <w:shd w:val="clear" w:color="auto" w:fill="E4E4E4"/>
          </w:tcPr>
          <w:p>
            <w:pPr>
              <w:spacing w:after="0"/>
              <w:rPr>
                <w:sz w:val="19"/>
                <w:szCs w:val="19"/>
                <w:color w:val="auto"/>
              </w:rPr>
            </w:pPr>
          </w:p>
        </w:tc>
        <w:tc>
          <w:tcPr>
            <w:tcW w:w="200" w:type="dxa"/>
            <w:vAlign w:val="bottom"/>
            <w:shd w:val="clear" w:color="auto" w:fill="E4E4E4"/>
          </w:tcPr>
          <w:p>
            <w:pPr>
              <w:spacing w:after="0"/>
              <w:rPr>
                <w:sz w:val="19"/>
                <w:szCs w:val="19"/>
                <w:color w:val="auto"/>
              </w:rPr>
            </w:pPr>
          </w:p>
        </w:tc>
        <w:tc>
          <w:tcPr>
            <w:tcW w:w="12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22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820" w:type="dxa"/>
            <w:vAlign w:val="bottom"/>
          </w:tcPr>
          <w:p>
            <w:pPr>
              <w:ind w:left="400"/>
              <w:spacing w:after="0" w:line="208" w:lineRule="exact"/>
              <w:rPr>
                <w:sz w:val="20"/>
                <w:szCs w:val="20"/>
                <w:color w:val="auto"/>
              </w:rPr>
            </w:pPr>
            <w:r>
              <w:rPr>
                <w:rFonts w:ascii="Times New Roman" w:cs="Times New Roman" w:eastAsia="Times New Roman" w:hAnsi="Times New Roman"/>
                <w:sz w:val="20"/>
                <w:szCs w:val="20"/>
                <w:color w:val="auto"/>
              </w:rPr>
              <w:t>U.S Government and agency securities (due within 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year)</w:t>
            </w: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91,634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2"/>
          </w:tcPr>
          <w:p>
            <w:pPr>
              <w:ind w:left="580"/>
              <w:spacing w:after="0"/>
              <w:rPr>
                <w:sz w:val="20"/>
                <w:szCs w:val="20"/>
                <w:color w:val="auto"/>
              </w:rPr>
            </w:pPr>
            <w:r>
              <w:rPr>
                <w:rFonts w:ascii="Times New Roman" w:cs="Times New Roman" w:eastAsia="Times New Roman" w:hAnsi="Times New Roman"/>
                <w:sz w:val="20"/>
                <w:szCs w:val="20"/>
                <w:color w:val="auto"/>
              </w:rPr>
              <w:t>(43)</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820" w:type="dxa"/>
            <w:vAlign w:val="bottom"/>
            <w:tcBorders>
              <w:top w:val="single" w:sz="8" w:color="E4E4E4"/>
            </w:tcBorders>
            <w:shd w:val="clear" w:color="auto" w:fill="E4E4E4"/>
          </w:tcPr>
          <w:p>
            <w:pPr>
              <w:ind w:left="700"/>
              <w:spacing w:after="0" w:line="220" w:lineRule="exact"/>
              <w:rPr>
                <w:sz w:val="20"/>
                <w:szCs w:val="20"/>
                <w:color w:val="auto"/>
              </w:rPr>
            </w:pPr>
            <w:r>
              <w:rPr>
                <w:rFonts w:ascii="Times New Roman" w:cs="Times New Roman" w:eastAsia="Times New Roman" w:hAnsi="Times New Roman"/>
                <w:sz w:val="20"/>
                <w:szCs w:val="20"/>
                <w:color w:val="auto"/>
              </w:rPr>
              <w:t>Total marketable securities</w:t>
            </w:r>
          </w:p>
        </w:tc>
        <w:tc>
          <w:tcPr>
            <w:tcW w:w="12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4E4E4"/>
              </w:rPr>
              <w:t>$</w:t>
            </w:r>
          </w:p>
        </w:tc>
        <w:tc>
          <w:tcPr>
            <w:tcW w:w="84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4E4E4"/>
              </w:rPr>
              <w:t>91,634</w:t>
            </w:r>
          </w:p>
        </w:tc>
        <w:tc>
          <w:tcPr>
            <w:tcW w:w="20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12</w:t>
            </w:r>
          </w:p>
        </w:tc>
        <w:tc>
          <w:tcPr>
            <w:tcW w:w="20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shd w:val="clear" w:color="auto" w:fill="E4E4E4"/>
          </w:tcPr>
          <w:p>
            <w:pPr>
              <w:ind w:left="580"/>
              <w:spacing w:after="0" w:line="220" w:lineRule="exact"/>
              <w:rPr>
                <w:sz w:val="20"/>
                <w:szCs w:val="20"/>
                <w:color w:val="auto"/>
              </w:rPr>
            </w:pPr>
            <w:r>
              <w:rPr>
                <w:rFonts w:ascii="Times New Roman" w:cs="Times New Roman" w:eastAsia="Times New Roman" w:hAnsi="Times New Roman"/>
                <w:sz w:val="20"/>
                <w:szCs w:val="20"/>
                <w:color w:val="auto"/>
                <w:w w:val="71"/>
              </w:rPr>
              <w:t>(43)</w:t>
            </w:r>
          </w:p>
        </w:tc>
        <w:tc>
          <w:tcPr>
            <w:tcW w:w="22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4E4E4"/>
              </w:rPr>
              <w:t>$</w:t>
            </w:r>
          </w:p>
        </w:tc>
        <w:tc>
          <w:tcPr>
            <w:tcW w:w="84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shd w:val="clear" w:color="auto" w:fill="E4E4E4"/>
              </w:rPr>
              <w:t>91,603</w:t>
            </w: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ind w:left="500" w:hanging="500"/>
        <w:spacing w:after="0"/>
        <w:tabs>
          <w:tab w:leader="none" w:pos="500" w:val="left"/>
        </w:tabs>
        <w:numPr>
          <w:ilvl w:val="0"/>
          <w:numId w:val="5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Prepaid Expenses and Other Current Assets</w:t>
      </w:r>
    </w:p>
    <w:p>
      <w:pPr>
        <w:spacing w:after="0" w:line="123" w:lineRule="exact"/>
        <w:rPr>
          <w:rFonts w:ascii="Times New Roman" w:cs="Times New Roman" w:eastAsia="Times New Roman" w:hAnsi="Times New Roman"/>
          <w:sz w:val="20"/>
          <w:szCs w:val="20"/>
          <w:b w:val="1"/>
          <w:bCs w:val="1"/>
          <w:color w:val="auto"/>
        </w:rPr>
      </w:pPr>
    </w:p>
    <w:p>
      <w:pPr>
        <w:ind w:left="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Prepaid expenses and other current assets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88"/>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74"/>
        </w:trPr>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4"/>
          </w:tcPr>
          <w:p>
            <w:pPr>
              <w:jc w:val="right"/>
              <w:ind w:right="846"/>
              <w:spacing w:after="0" w:line="17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5"/>
                <w:szCs w:val="15"/>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Prepaid research and development expenses</w:t>
            </w: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1,394</w:t>
            </w:r>
          </w:p>
        </w:tc>
        <w:tc>
          <w:tcPr>
            <w:tcW w:w="3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100" w:type="dxa"/>
            <w:vAlign w:val="bottom"/>
            <w:shd w:val="clear" w:color="auto" w:fill="E4E4E4"/>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Prepaid insurance</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944</w:t>
            </w:r>
          </w:p>
        </w:tc>
        <w:tc>
          <w:tcPr>
            <w:tcW w:w="100" w:type="dxa"/>
            <w:vAlign w:val="bottom"/>
          </w:tcPr>
          <w:p>
            <w:pPr>
              <w:spacing w:after="0"/>
              <w:rPr>
                <w:sz w:val="19"/>
                <w:szCs w:val="19"/>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Payroll tax receivable</w:t>
            </w:r>
          </w:p>
        </w:tc>
        <w:tc>
          <w:tcPr>
            <w:tcW w:w="140" w:type="dxa"/>
            <w:vAlign w:val="bottom"/>
            <w:shd w:val="clear" w:color="auto" w:fill="E4E4E4"/>
          </w:tcPr>
          <w:p>
            <w:pPr>
              <w:spacing w:after="0"/>
              <w:rPr>
                <w:sz w:val="19"/>
                <w:szCs w:val="19"/>
                <w:color w:val="auto"/>
              </w:rPr>
            </w:pP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shd w:val="clear" w:color="auto" w:fill="E4E4E4"/>
          </w:tcPr>
          <w:p>
            <w:pPr>
              <w:spacing w:after="0"/>
              <w:rPr>
                <w:sz w:val="19"/>
                <w:szCs w:val="19"/>
                <w:color w:val="auto"/>
              </w:rPr>
            </w:pPr>
          </w:p>
        </w:tc>
        <w:tc>
          <w:tcPr>
            <w:tcW w:w="100" w:type="dxa"/>
            <w:vAlign w:val="bottom"/>
            <w:shd w:val="clear" w:color="auto" w:fill="E4E4E4"/>
          </w:tcPr>
          <w:p>
            <w:pPr>
              <w:spacing w:after="0"/>
              <w:rPr>
                <w:sz w:val="19"/>
                <w:szCs w:val="19"/>
                <w:color w:val="auto"/>
              </w:rPr>
            </w:pP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208</w:t>
            </w:r>
          </w:p>
        </w:tc>
        <w:tc>
          <w:tcPr>
            <w:tcW w:w="100" w:type="dxa"/>
            <w:vAlign w:val="bottom"/>
            <w:shd w:val="clear" w:color="auto" w:fill="E4E4E4"/>
          </w:tcPr>
          <w:p>
            <w:pPr>
              <w:spacing w:after="0"/>
              <w:rPr>
                <w:sz w:val="19"/>
                <w:szCs w:val="19"/>
                <w:color w:val="auto"/>
              </w:rPr>
            </w:pPr>
          </w:p>
        </w:tc>
      </w:tr>
      <w:tr>
        <w:trPr>
          <w:trHeight w:val="230"/>
        </w:trPr>
        <w:tc>
          <w:tcPr>
            <w:tcW w:w="64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Other prepaid expenses and other assets</w:t>
            </w: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238</w:t>
            </w:r>
          </w:p>
        </w:tc>
        <w:tc>
          <w:tcPr>
            <w:tcW w:w="240" w:type="dxa"/>
            <w:vAlign w:val="bottom"/>
            <w:tcBorders>
              <w:bottom w:val="single" w:sz="8" w:color="E4E4E4"/>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w:t>
            </w:r>
          </w:p>
        </w:tc>
        <w:tc>
          <w:tcPr>
            <w:tcW w:w="100" w:type="dxa"/>
            <w:vAlign w:val="bottom"/>
            <w:tcBorders>
              <w:bottom w:val="single" w:sz="8" w:color="E4E4E4"/>
            </w:tcBorders>
          </w:tcPr>
          <w:p>
            <w:pPr>
              <w:spacing w:after="0"/>
              <w:rPr>
                <w:sz w:val="19"/>
                <w:szCs w:val="19"/>
                <w:color w:val="auto"/>
              </w:rPr>
            </w:pPr>
          </w:p>
        </w:tc>
      </w:tr>
      <w:tr>
        <w:trPr>
          <w:trHeight w:val="220"/>
        </w:trPr>
        <w:tc>
          <w:tcPr>
            <w:tcW w:w="6420" w:type="dxa"/>
            <w:vAlign w:val="bottom"/>
            <w:shd w:val="clear" w:color="auto" w:fill="E4E4E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prepaid expenses and other assets</w:t>
            </w:r>
          </w:p>
        </w:tc>
        <w:tc>
          <w:tcPr>
            <w:tcW w:w="14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2,311</w:t>
            </w:r>
          </w:p>
        </w:tc>
        <w:tc>
          <w:tcPr>
            <w:tcW w:w="24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4E4E4"/>
              </w:rPr>
              <w:t>$</w:t>
            </w:r>
          </w:p>
        </w:tc>
        <w:tc>
          <w:tcPr>
            <w:tcW w:w="120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2,107</w:t>
            </w:r>
          </w:p>
        </w:tc>
        <w:tc>
          <w:tcPr>
            <w:tcW w:w="100" w:type="dxa"/>
            <w:vAlign w:val="bottom"/>
            <w:shd w:val="clear" w:color="auto" w:fill="E4E4E4"/>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4" w:lineRule="exact"/>
        <w:rPr>
          <w:sz w:val="20"/>
          <w:szCs w:val="20"/>
          <w:color w:val="auto"/>
        </w:rPr>
      </w:pPr>
    </w:p>
    <w:p>
      <w:pPr>
        <w:ind w:left="500" w:hanging="500"/>
        <w:spacing w:after="0"/>
        <w:tabs>
          <w:tab w:leader="none" w:pos="500" w:val="left"/>
        </w:tabs>
        <w:numPr>
          <w:ilvl w:val="0"/>
          <w:numId w:val="5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Fixed Assets</w:t>
      </w:r>
    </w:p>
    <w:p>
      <w:pPr>
        <w:spacing w:after="0" w:line="123" w:lineRule="exact"/>
        <w:rPr>
          <w:rFonts w:ascii="Times New Roman" w:cs="Times New Roman" w:eastAsia="Times New Roman" w:hAnsi="Times New Roman"/>
          <w:sz w:val="20"/>
          <w:szCs w:val="20"/>
          <w:b w:val="1"/>
          <w:bCs w:val="1"/>
          <w:color w:val="auto"/>
        </w:rPr>
      </w:pPr>
    </w:p>
    <w:p>
      <w:pPr>
        <w:ind w:left="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Fixed assets, net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3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4320" w:type="dxa"/>
            <w:vAlign w:val="bottom"/>
          </w:tcPr>
          <w:p>
            <w:pPr>
              <w:spacing w:after="0"/>
              <w:rPr>
                <w:sz w:val="17"/>
                <w:szCs w:val="17"/>
                <w:color w:val="auto"/>
              </w:rPr>
            </w:pPr>
          </w:p>
        </w:tc>
        <w:tc>
          <w:tcPr>
            <w:tcW w:w="2520" w:type="dxa"/>
            <w:vAlign w:val="bottom"/>
          </w:tcPr>
          <w:p>
            <w:pPr>
              <w:jc w:val="center"/>
              <w:ind w:left="944"/>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r>
      <w:tr>
        <w:trPr>
          <w:trHeight w:val="174"/>
        </w:trPr>
        <w:tc>
          <w:tcPr>
            <w:tcW w:w="432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3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Computer equipment</w:t>
            </w:r>
          </w:p>
        </w:tc>
        <w:tc>
          <w:tcPr>
            <w:tcW w:w="2520" w:type="dxa"/>
            <w:vAlign w:val="bottom"/>
            <w:shd w:val="clear" w:color="auto" w:fill="E4E4E4"/>
          </w:tcPr>
          <w:p>
            <w:pPr>
              <w:jc w:val="center"/>
              <w:ind w:left="964"/>
              <w:spacing w:after="0"/>
              <w:rPr>
                <w:sz w:val="20"/>
                <w:szCs w:val="20"/>
                <w:color w:val="auto"/>
              </w:rPr>
            </w:pPr>
            <w:r>
              <w:rPr>
                <w:rFonts w:ascii="Times New Roman" w:cs="Times New Roman" w:eastAsia="Times New Roman" w:hAnsi="Times New Roman"/>
                <w:sz w:val="20"/>
                <w:szCs w:val="20"/>
                <w:color w:val="auto"/>
              </w:rPr>
              <w:t>5 years</w:t>
            </w:r>
          </w:p>
        </w:tc>
        <w:tc>
          <w:tcPr>
            <w:tcW w:w="240" w:type="dxa"/>
            <w:vAlign w:val="bottom"/>
            <w:shd w:val="clear" w:color="auto" w:fill="E4E4E4"/>
          </w:tcPr>
          <w:p>
            <w:pPr>
              <w:jc w:val="right"/>
              <w:ind w:right="47"/>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220" w:type="dxa"/>
            <w:vAlign w:val="bottom"/>
            <w:shd w:val="clear" w:color="auto" w:fill="E4E4E4"/>
          </w:tcPr>
          <w:p>
            <w:pPr>
              <w:spacing w:after="0"/>
              <w:rPr>
                <w:sz w:val="19"/>
                <w:szCs w:val="19"/>
                <w:color w:val="auto"/>
              </w:rPr>
            </w:pPr>
          </w:p>
        </w:tc>
        <w:tc>
          <w:tcPr>
            <w:tcW w:w="380" w:type="dxa"/>
            <w:vAlign w:val="bottom"/>
            <w:shd w:val="clear" w:color="auto" w:fill="E4E4E4"/>
          </w:tcPr>
          <w:p>
            <w:pPr>
              <w:jc w:val="right"/>
              <w:ind w:right="187"/>
              <w:spacing w:after="0"/>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100" w:type="dxa"/>
            <w:vAlign w:val="bottom"/>
            <w:shd w:val="clear" w:color="auto" w:fill="E4E4E4"/>
          </w:tcPr>
          <w:p>
            <w:pPr>
              <w:spacing w:after="0"/>
              <w:rPr>
                <w:sz w:val="19"/>
                <w:szCs w:val="19"/>
                <w:color w:val="auto"/>
              </w:rPr>
            </w:pPr>
          </w:p>
        </w:tc>
      </w:tr>
      <w:tr>
        <w:trPr>
          <w:trHeight w:val="230"/>
        </w:trPr>
        <w:tc>
          <w:tcPr>
            <w:tcW w:w="4320" w:type="dxa"/>
            <w:vAlign w:val="bottom"/>
          </w:tcPr>
          <w:p>
            <w:pPr>
              <w:spacing w:after="0"/>
              <w:rPr>
                <w:sz w:val="20"/>
                <w:szCs w:val="20"/>
                <w:color w:val="auto"/>
              </w:rPr>
            </w:pPr>
            <w:r>
              <w:rPr>
                <w:rFonts w:ascii="Times New Roman" w:cs="Times New Roman" w:eastAsia="Times New Roman" w:hAnsi="Times New Roman"/>
                <w:sz w:val="20"/>
                <w:szCs w:val="20"/>
                <w:color w:val="auto"/>
              </w:rPr>
              <w:t>Lab equipment</w:t>
            </w:r>
          </w:p>
        </w:tc>
        <w:tc>
          <w:tcPr>
            <w:tcW w:w="2520" w:type="dxa"/>
            <w:vAlign w:val="bottom"/>
          </w:tcPr>
          <w:p>
            <w:pPr>
              <w:jc w:val="center"/>
              <w:ind w:left="964"/>
              <w:spacing w:after="0"/>
              <w:rPr>
                <w:sz w:val="20"/>
                <w:szCs w:val="20"/>
                <w:color w:val="auto"/>
              </w:rPr>
            </w:pPr>
            <w:r>
              <w:rPr>
                <w:rFonts w:ascii="Times New Roman" w:cs="Times New Roman" w:eastAsia="Times New Roman" w:hAnsi="Times New Roman"/>
                <w:sz w:val="20"/>
                <w:szCs w:val="20"/>
                <w:color w:val="auto"/>
              </w:rPr>
              <w:t>5 years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w:t>
            </w:r>
          </w:p>
        </w:tc>
        <w:tc>
          <w:tcPr>
            <w:tcW w:w="100" w:type="dxa"/>
            <w:vAlign w:val="bottom"/>
          </w:tcPr>
          <w:p>
            <w:pPr>
              <w:spacing w:after="0"/>
              <w:rPr>
                <w:sz w:val="19"/>
                <w:szCs w:val="19"/>
                <w:color w:val="auto"/>
              </w:rPr>
            </w:pPr>
          </w:p>
        </w:tc>
      </w:tr>
      <w:tr>
        <w:trPr>
          <w:trHeight w:val="230"/>
        </w:trPr>
        <w:tc>
          <w:tcPr>
            <w:tcW w:w="43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Furniture and fixtures</w:t>
            </w:r>
          </w:p>
        </w:tc>
        <w:tc>
          <w:tcPr>
            <w:tcW w:w="2520" w:type="dxa"/>
            <w:vAlign w:val="bottom"/>
            <w:shd w:val="clear" w:color="auto" w:fill="E4E4E4"/>
          </w:tcPr>
          <w:p>
            <w:pPr>
              <w:jc w:val="center"/>
              <w:ind w:left="964"/>
              <w:spacing w:after="0"/>
              <w:rPr>
                <w:sz w:val="20"/>
                <w:szCs w:val="20"/>
                <w:color w:val="auto"/>
              </w:rPr>
            </w:pPr>
            <w:r>
              <w:rPr>
                <w:rFonts w:ascii="Times New Roman" w:cs="Times New Roman" w:eastAsia="Times New Roman" w:hAnsi="Times New Roman"/>
                <w:sz w:val="20"/>
                <w:szCs w:val="20"/>
                <w:color w:val="auto"/>
              </w:rPr>
              <w:t>7 years</w:t>
            </w:r>
          </w:p>
        </w:tc>
        <w:tc>
          <w:tcPr>
            <w:tcW w:w="240" w:type="dxa"/>
            <w:vAlign w:val="bottom"/>
            <w:shd w:val="clear" w:color="auto" w:fill="E4E4E4"/>
          </w:tcPr>
          <w:p>
            <w:pPr>
              <w:spacing w:after="0"/>
              <w:rPr>
                <w:sz w:val="19"/>
                <w:szCs w:val="19"/>
                <w:color w:val="auto"/>
              </w:rPr>
            </w:pPr>
          </w:p>
        </w:tc>
        <w:tc>
          <w:tcPr>
            <w:tcW w:w="8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22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7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456</w:t>
            </w:r>
          </w:p>
        </w:tc>
        <w:tc>
          <w:tcPr>
            <w:tcW w:w="100" w:type="dxa"/>
            <w:vAlign w:val="bottom"/>
            <w:shd w:val="clear" w:color="auto" w:fill="E4E4E4"/>
          </w:tcPr>
          <w:p>
            <w:pPr>
              <w:spacing w:after="0"/>
              <w:rPr>
                <w:sz w:val="19"/>
                <w:szCs w:val="19"/>
                <w:color w:val="auto"/>
              </w:rPr>
            </w:pPr>
          </w:p>
        </w:tc>
      </w:tr>
      <w:tr>
        <w:trPr>
          <w:trHeight w:val="230"/>
        </w:trPr>
        <w:tc>
          <w:tcPr>
            <w:tcW w:w="43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520" w:type="dxa"/>
            <w:vAlign w:val="bottom"/>
            <w:tcBorders>
              <w:bottom w:val="single" w:sz="8" w:color="E4E4E4"/>
            </w:tcBorders>
          </w:tcPr>
          <w:p>
            <w:pPr>
              <w:jc w:val="center"/>
              <w:ind w:left="964"/>
              <w:spacing w:after="0"/>
              <w:rPr>
                <w:sz w:val="20"/>
                <w:szCs w:val="20"/>
                <w:color w:val="auto"/>
              </w:rPr>
            </w:pPr>
            <w:r>
              <w:rPr>
                <w:rFonts w:ascii="Times New Roman" w:cs="Times New Roman" w:eastAsia="Times New Roman" w:hAnsi="Times New Roman"/>
                <w:sz w:val="20"/>
                <w:szCs w:val="20"/>
                <w:color w:val="auto"/>
              </w:rPr>
              <w:t>lease term</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20" w:type="dxa"/>
            <w:vAlign w:val="bottom"/>
            <w:tcBorders>
              <w:bottom w:val="single" w:sz="8" w:color="E4E4E4"/>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00" w:type="dxa"/>
            <w:vAlign w:val="bottom"/>
            <w:tcBorders>
              <w:bottom w:val="single" w:sz="8" w:color="E4E4E4"/>
            </w:tcBorders>
          </w:tcPr>
          <w:p>
            <w:pPr>
              <w:spacing w:after="0"/>
              <w:rPr>
                <w:sz w:val="19"/>
                <w:szCs w:val="19"/>
                <w:color w:val="auto"/>
              </w:rPr>
            </w:pPr>
          </w:p>
        </w:tc>
      </w:tr>
      <w:tr>
        <w:trPr>
          <w:trHeight w:val="220"/>
        </w:trPr>
        <w:tc>
          <w:tcPr>
            <w:tcW w:w="4320" w:type="dxa"/>
            <w:vAlign w:val="bottom"/>
            <w:shd w:val="clear" w:color="auto" w:fill="E4E4E4"/>
          </w:tcPr>
          <w:p>
            <w:pPr>
              <w:ind w:left="60"/>
              <w:spacing w:after="0" w:line="220" w:lineRule="exact"/>
              <w:rPr>
                <w:sz w:val="20"/>
                <w:szCs w:val="20"/>
                <w:color w:val="auto"/>
              </w:rPr>
            </w:pPr>
            <w:r>
              <w:rPr>
                <w:rFonts w:ascii="Times New Roman" w:cs="Times New Roman" w:eastAsia="Times New Roman" w:hAnsi="Times New Roman"/>
                <w:sz w:val="20"/>
                <w:szCs w:val="20"/>
                <w:color w:val="auto"/>
              </w:rPr>
              <w:t>Total property, plant and equipment</w:t>
            </w:r>
          </w:p>
        </w:tc>
        <w:tc>
          <w:tcPr>
            <w:tcW w:w="2520" w:type="dxa"/>
            <w:vAlign w:val="bottom"/>
            <w:shd w:val="clear" w:color="auto" w:fill="E4E4E4"/>
          </w:tcPr>
          <w:p>
            <w:pPr>
              <w:spacing w:after="0"/>
              <w:rPr>
                <w:sz w:val="19"/>
                <w:szCs w:val="19"/>
                <w:color w:val="auto"/>
              </w:rPr>
            </w:pPr>
          </w:p>
        </w:tc>
        <w:tc>
          <w:tcPr>
            <w:tcW w:w="240" w:type="dxa"/>
            <w:vAlign w:val="bottom"/>
            <w:shd w:val="clear" w:color="auto" w:fill="E4E4E4"/>
          </w:tcPr>
          <w:p>
            <w:pPr>
              <w:spacing w:after="0"/>
              <w:rPr>
                <w:sz w:val="19"/>
                <w:szCs w:val="19"/>
                <w:color w:val="auto"/>
              </w:rPr>
            </w:pPr>
          </w:p>
        </w:tc>
        <w:tc>
          <w:tcPr>
            <w:tcW w:w="86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1,745</w:t>
            </w:r>
          </w:p>
        </w:tc>
        <w:tc>
          <w:tcPr>
            <w:tcW w:w="220" w:type="dxa"/>
            <w:vAlign w:val="bottom"/>
            <w:shd w:val="clear" w:color="auto" w:fill="E4E4E4"/>
          </w:tcPr>
          <w:p>
            <w:pPr>
              <w:spacing w:after="0"/>
              <w:rPr>
                <w:sz w:val="19"/>
                <w:szCs w:val="19"/>
                <w:color w:val="auto"/>
              </w:rPr>
            </w:pPr>
          </w:p>
        </w:tc>
        <w:tc>
          <w:tcPr>
            <w:tcW w:w="380" w:type="dxa"/>
            <w:vAlign w:val="bottom"/>
            <w:shd w:val="clear" w:color="auto" w:fill="E4E4E4"/>
          </w:tcPr>
          <w:p>
            <w:pPr>
              <w:spacing w:after="0"/>
              <w:rPr>
                <w:sz w:val="19"/>
                <w:szCs w:val="19"/>
                <w:color w:val="auto"/>
              </w:rPr>
            </w:pPr>
          </w:p>
        </w:tc>
        <w:tc>
          <w:tcPr>
            <w:tcW w:w="7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1,645</w:t>
            </w:r>
          </w:p>
        </w:tc>
        <w:tc>
          <w:tcPr>
            <w:tcW w:w="100" w:type="dxa"/>
            <w:vAlign w:val="bottom"/>
            <w:shd w:val="clear" w:color="auto" w:fill="E4E4E4"/>
          </w:tcPr>
          <w:p>
            <w:pPr>
              <w:spacing w:after="0"/>
              <w:rPr>
                <w:sz w:val="19"/>
                <w:szCs w:val="19"/>
                <w:color w:val="auto"/>
              </w:rPr>
            </w:pPr>
          </w:p>
        </w:tc>
      </w:tr>
      <w:tr>
        <w:trPr>
          <w:trHeight w:val="230"/>
        </w:trPr>
        <w:tc>
          <w:tcPr>
            <w:tcW w:w="43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Less: Accumulated depreciation</w:t>
            </w:r>
          </w:p>
        </w:tc>
        <w:tc>
          <w:tcPr>
            <w:tcW w:w="2520" w:type="dxa"/>
            <w:vAlign w:val="bottom"/>
            <w:tcBorders>
              <w:bottom w:val="single" w:sz="8" w:color="E4E4E4"/>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(914)</w:t>
            </w:r>
          </w:p>
        </w:tc>
        <w:tc>
          <w:tcPr>
            <w:tcW w:w="220" w:type="dxa"/>
            <w:vAlign w:val="bottom"/>
            <w:tcBorders>
              <w:bottom w:val="single" w:sz="8" w:color="E4E4E4"/>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w:t>
            </w:r>
          </w:p>
        </w:tc>
        <w:tc>
          <w:tcPr>
            <w:tcW w:w="100" w:type="dxa"/>
            <w:vAlign w:val="bottom"/>
            <w:tcBorders>
              <w:bottom w:val="single" w:sz="8" w:color="E4E4E4"/>
            </w:tcBorders>
          </w:tcPr>
          <w:p>
            <w:pPr>
              <w:spacing w:after="0"/>
              <w:rPr>
                <w:sz w:val="19"/>
                <w:szCs w:val="19"/>
                <w:color w:val="auto"/>
              </w:rPr>
            </w:pPr>
          </w:p>
        </w:tc>
      </w:tr>
      <w:tr>
        <w:trPr>
          <w:trHeight w:val="220"/>
        </w:trPr>
        <w:tc>
          <w:tcPr>
            <w:tcW w:w="4320" w:type="dxa"/>
            <w:vAlign w:val="bottom"/>
            <w:shd w:val="clear" w:color="auto" w:fill="E4E4E4"/>
          </w:tcPr>
          <w:p>
            <w:pPr>
              <w:ind w:left="60"/>
              <w:spacing w:after="0" w:line="220" w:lineRule="exact"/>
              <w:rPr>
                <w:sz w:val="20"/>
                <w:szCs w:val="20"/>
                <w:color w:val="auto"/>
              </w:rPr>
            </w:pPr>
            <w:r>
              <w:rPr>
                <w:rFonts w:ascii="Times New Roman" w:cs="Times New Roman" w:eastAsia="Times New Roman" w:hAnsi="Times New Roman"/>
                <w:sz w:val="20"/>
                <w:szCs w:val="20"/>
                <w:color w:val="auto"/>
              </w:rPr>
              <w:t>Property, plant and equipment, net</w:t>
            </w:r>
          </w:p>
        </w:tc>
        <w:tc>
          <w:tcPr>
            <w:tcW w:w="2520" w:type="dxa"/>
            <w:vAlign w:val="bottom"/>
            <w:shd w:val="clear" w:color="auto" w:fill="E4E4E4"/>
          </w:tcPr>
          <w:p>
            <w:pPr>
              <w:spacing w:after="0"/>
              <w:rPr>
                <w:sz w:val="19"/>
                <w:szCs w:val="19"/>
                <w:color w:val="auto"/>
              </w:rPr>
            </w:pPr>
          </w:p>
        </w:tc>
        <w:tc>
          <w:tcPr>
            <w:tcW w:w="240" w:type="dxa"/>
            <w:vAlign w:val="bottom"/>
            <w:tcBorders>
              <w:bottom w:val="single" w:sz="8" w:color="auto"/>
            </w:tcBorders>
            <w:shd w:val="clear" w:color="auto" w:fill="E4E4E4"/>
          </w:tcPr>
          <w:p>
            <w:pPr>
              <w:jc w:val="right"/>
              <w:ind w:right="4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831</w:t>
            </w:r>
          </w:p>
        </w:tc>
        <w:tc>
          <w:tcPr>
            <w:tcW w:w="220" w:type="dxa"/>
            <w:vAlign w:val="bottom"/>
            <w:shd w:val="clear" w:color="auto" w:fill="E4E4E4"/>
          </w:tcPr>
          <w:p>
            <w:pPr>
              <w:spacing w:after="0"/>
              <w:rPr>
                <w:sz w:val="19"/>
                <w:szCs w:val="19"/>
                <w:color w:val="auto"/>
              </w:rPr>
            </w:pPr>
          </w:p>
        </w:tc>
        <w:tc>
          <w:tcPr>
            <w:tcW w:w="380" w:type="dxa"/>
            <w:vAlign w:val="bottom"/>
            <w:tcBorders>
              <w:bottom w:val="single" w:sz="8" w:color="auto"/>
            </w:tcBorders>
            <w:shd w:val="clear" w:color="auto" w:fill="E4E4E4"/>
          </w:tcPr>
          <w:p>
            <w:pPr>
              <w:jc w:val="right"/>
              <w:ind w:right="187"/>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72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1,049</w:t>
            </w:r>
          </w:p>
        </w:tc>
        <w:tc>
          <w:tcPr>
            <w:tcW w:w="100" w:type="dxa"/>
            <w:vAlign w:val="bottom"/>
            <w:shd w:val="clear" w:color="auto" w:fill="E4E4E4"/>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7" w:lineRule="exact"/>
        <w:rPr>
          <w:sz w:val="20"/>
          <w:szCs w:val="20"/>
          <w:color w:val="auto"/>
        </w:rPr>
      </w:pPr>
    </w:p>
    <w:p>
      <w:pPr>
        <w:ind w:right="200" w:firstLine="490"/>
        <w:spacing w:after="0" w:line="259" w:lineRule="auto"/>
        <w:rPr>
          <w:sz w:val="20"/>
          <w:szCs w:val="20"/>
          <w:color w:val="auto"/>
        </w:rPr>
      </w:pPr>
      <w:r>
        <w:rPr>
          <w:rFonts w:ascii="Times New Roman" w:cs="Times New Roman" w:eastAsia="Times New Roman" w:hAnsi="Times New Roman"/>
          <w:sz w:val="20"/>
          <w:szCs w:val="20"/>
          <w:color w:val="auto"/>
        </w:rPr>
        <w:t>Depreciation expense was $0.2 million for the years ended December 31, 2022 and 2021, respectively. In addition, for the years ended December 31, 2022 and 2021, there was $0.1 million of depreciation related to sublet assets recorded as other expense.</w:t>
      </w:r>
    </w:p>
    <w:p>
      <w:pPr>
        <w:sectPr>
          <w:pgSz w:w="11880" w:h="15480" w:orient="portrait"/>
          <w:cols w:equalWidth="0" w:num="1">
            <w:col w:w="9360"/>
          </w:cols>
          <w:pgMar w:left="1260" w:top="1238" w:right="12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9360"/>
          </w:cols>
          <w:pgMar w:left="1260" w:top="1238" w:right="1260" w:bottom="8" w:gutter="0" w:footer="0" w:header="0"/>
          <w:type w:val="continuous"/>
        </w:sectPr>
      </w:pPr>
    </w:p>
    <w:bookmarkStart w:id="112" w:name="page113"/>
    <w:bookmarkEnd w:id="112"/>
    <w:p>
      <w:pPr>
        <w:ind w:left="500" w:hanging="500"/>
        <w:spacing w:after="0"/>
        <w:tabs>
          <w:tab w:leader="none" w:pos="500" w:val="left"/>
        </w:tabs>
        <w:numPr>
          <w:ilvl w:val="0"/>
          <w:numId w:val="5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Accrued Expenses</w:t>
      </w:r>
    </w:p>
    <w:p>
      <w:pPr>
        <w:spacing w:after="0" w:line="123" w:lineRule="exact"/>
        <w:rPr>
          <w:rFonts w:ascii="Times New Roman" w:cs="Times New Roman" w:eastAsia="Times New Roman" w:hAnsi="Times New Roman"/>
          <w:sz w:val="20"/>
          <w:szCs w:val="20"/>
          <w:b w:val="1"/>
          <w:bCs w:val="1"/>
          <w:color w:val="auto"/>
        </w:rPr>
      </w:pPr>
    </w:p>
    <w:p>
      <w:pPr>
        <w:ind w:left="50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Accrued expenses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8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4"/>
        </w:trPr>
        <w:tc>
          <w:tcPr>
            <w:tcW w:w="64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8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r>
      <w:tr>
        <w:trPr>
          <w:trHeight w:val="174"/>
        </w:trPr>
        <w:tc>
          <w:tcPr>
            <w:tcW w:w="6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700" w:type="dxa"/>
            <w:vAlign w:val="bottom"/>
            <w:gridSpan w:val="4"/>
          </w:tcPr>
          <w:p>
            <w:pPr>
              <w:jc w:val="right"/>
              <w:ind w:right="847"/>
              <w:spacing w:after="0" w:line="174"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5"/>
                <w:szCs w:val="15"/>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Accrued research and development expenses</w:t>
            </w:r>
          </w:p>
        </w:tc>
        <w:tc>
          <w:tcPr>
            <w:tcW w:w="1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5,921</w:t>
            </w:r>
          </w:p>
        </w:tc>
        <w:tc>
          <w:tcPr>
            <w:tcW w:w="340" w:type="dxa"/>
            <w:vAlign w:val="bottom"/>
            <w:gridSpan w:val="2"/>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5,042</w:t>
            </w:r>
          </w:p>
        </w:tc>
        <w:tc>
          <w:tcPr>
            <w:tcW w:w="100" w:type="dxa"/>
            <w:vAlign w:val="bottom"/>
            <w:shd w:val="clear" w:color="auto" w:fill="E4E4E4"/>
          </w:tcPr>
          <w:p>
            <w:pPr>
              <w:spacing w:after="0"/>
              <w:rPr>
                <w:sz w:val="19"/>
                <w:szCs w:val="19"/>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20"/>
                <w:szCs w:val="20"/>
                <w:color w:val="auto"/>
              </w:rPr>
              <w:t>Accrued payroll and related expenses</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w:t>
            </w:r>
          </w:p>
        </w:tc>
        <w:tc>
          <w:tcPr>
            <w:tcW w:w="100" w:type="dxa"/>
            <w:vAlign w:val="bottom"/>
          </w:tcPr>
          <w:p>
            <w:pPr>
              <w:spacing w:after="0"/>
              <w:rPr>
                <w:sz w:val="19"/>
                <w:szCs w:val="19"/>
                <w:color w:val="auto"/>
              </w:rPr>
            </w:pP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Accrued other</w:t>
            </w:r>
          </w:p>
        </w:tc>
        <w:tc>
          <w:tcPr>
            <w:tcW w:w="140" w:type="dxa"/>
            <w:vAlign w:val="bottom"/>
            <w:tcBorders>
              <w:bottom w:val="single" w:sz="8" w:color="auto"/>
            </w:tcBorders>
            <w:shd w:val="clear" w:color="auto" w:fill="E4E4E4"/>
          </w:tcPr>
          <w:p>
            <w:pPr>
              <w:spacing w:after="0"/>
              <w:rPr>
                <w:sz w:val="19"/>
                <w:szCs w:val="19"/>
                <w:color w:val="auto"/>
              </w:rPr>
            </w:pPr>
          </w:p>
        </w:tc>
        <w:tc>
          <w:tcPr>
            <w:tcW w:w="116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441</w:t>
            </w:r>
          </w:p>
        </w:tc>
        <w:tc>
          <w:tcPr>
            <w:tcW w:w="240" w:type="dxa"/>
            <w:vAlign w:val="bottom"/>
            <w:shd w:val="clear" w:color="auto" w:fill="E4E4E4"/>
          </w:tcPr>
          <w:p>
            <w:pPr>
              <w:spacing w:after="0"/>
              <w:rPr>
                <w:sz w:val="19"/>
                <w:szCs w:val="19"/>
                <w:color w:val="auto"/>
              </w:rPr>
            </w:pPr>
          </w:p>
        </w:tc>
        <w:tc>
          <w:tcPr>
            <w:tcW w:w="100" w:type="dxa"/>
            <w:vAlign w:val="bottom"/>
            <w:tcBorders>
              <w:bottom w:val="single" w:sz="8" w:color="auto"/>
            </w:tcBorders>
            <w:shd w:val="clear" w:color="auto" w:fill="E4E4E4"/>
          </w:tcPr>
          <w:p>
            <w:pPr>
              <w:spacing w:after="0"/>
              <w:rPr>
                <w:sz w:val="19"/>
                <w:szCs w:val="19"/>
                <w:color w:val="auto"/>
              </w:rPr>
            </w:pPr>
          </w:p>
        </w:tc>
        <w:tc>
          <w:tcPr>
            <w:tcW w:w="12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452</w:t>
            </w:r>
          </w:p>
        </w:tc>
        <w:tc>
          <w:tcPr>
            <w:tcW w:w="100" w:type="dxa"/>
            <w:vAlign w:val="bottom"/>
            <w:shd w:val="clear" w:color="auto" w:fill="E4E4E4"/>
          </w:tcPr>
          <w:p>
            <w:pPr>
              <w:spacing w:after="0"/>
              <w:rPr>
                <w:sz w:val="19"/>
                <w:szCs w:val="19"/>
                <w:color w:val="auto"/>
              </w:rPr>
            </w:pPr>
          </w:p>
        </w:tc>
      </w:tr>
      <w:tr>
        <w:trPr>
          <w:trHeight w:val="220"/>
        </w:trPr>
        <w:tc>
          <w:tcPr>
            <w:tcW w:w="6420" w:type="dxa"/>
            <w:vAlign w:val="bottom"/>
          </w:tcPr>
          <w:p>
            <w:pPr>
              <w:spacing w:after="0" w:line="220" w:lineRule="exact"/>
              <w:rPr>
                <w:sz w:val="20"/>
                <w:szCs w:val="20"/>
                <w:color w:val="auto"/>
              </w:rPr>
            </w:pPr>
            <w:r>
              <w:rPr>
                <w:rFonts w:ascii="Times New Roman" w:cs="Times New Roman" w:eastAsia="Times New Roman" w:hAnsi="Times New Roman"/>
                <w:sz w:val="20"/>
                <w:szCs w:val="20"/>
                <w:color w:val="auto"/>
              </w:rPr>
              <w:t>Total accrued expenses and other current liabilities</w:t>
            </w:r>
          </w:p>
        </w:tc>
        <w:tc>
          <w:tcPr>
            <w:tcW w:w="14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8,408</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6,592</w:t>
            </w:r>
          </w:p>
        </w:tc>
        <w:tc>
          <w:tcPr>
            <w:tcW w:w="10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3" w:lineRule="exact"/>
        <w:rPr>
          <w:sz w:val="20"/>
          <w:szCs w:val="20"/>
          <w:color w:val="auto"/>
        </w:rPr>
      </w:pPr>
    </w:p>
    <w:p>
      <w:pPr>
        <w:ind w:right="5440"/>
        <w:spacing w:after="0" w:line="386" w:lineRule="auto"/>
        <w:tabs>
          <w:tab w:leader="none" w:pos="490"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Stockholders’ Equity and Stock Options </w:t>
      </w:r>
      <w:r>
        <w:rPr>
          <w:rFonts w:ascii="Times New Roman" w:cs="Times New Roman" w:eastAsia="Times New Roman" w:hAnsi="Times New Roman"/>
          <w:sz w:val="19"/>
          <w:szCs w:val="19"/>
          <w:b w:val="1"/>
          <w:bCs w:val="1"/>
          <w:i w:val="1"/>
          <w:iCs w:val="1"/>
          <w:color w:val="auto"/>
        </w:rPr>
        <w:t>Common Stock and Prefunded warrants</w:t>
      </w: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On May 28, 2020, the Company entered into a securities purchase agreement with certain accredited investors (the “Purchasers”) for the sale by the Company in a private placement of 6,105,359 shares of the Company’s common stock and prefunded warrants to purchase an aggregate of 628,403 shares of the Company’s common stock, for a price of $11.88 per share of the common stock and $11.87 per prefunded warrant. The prefunded warrants are exercisable at an exercise price of $0.01 and are exercisable indefinitely. The Purchasers may exercise the prefunded warrants on a cashless basis in the event that there is no effective registration statement covering the resale of the shares of common stock underlying the prefunded warrants on the date in which the Company is required to deliver the shares. The private placement closed on June 1, 2020. The aggregate gross proceeds for the issuance and sale of the common stock and prefunded warrants were $80.0 million; transaction costs totaled $4.6 million and resulted in net proceeds of $75.4 million. The Company’s Registration Statement on Form S-3, filed with the SEC on June 26, 2020, registered the resale of 6,105,359 shares of common stock sold and the 628,403 shares of common stock underlying the prefunded warrants. MTS Health Partners served as placement agent to the Company in connection with the private placement. As partial compensation for these services, the Company issued MTS Health Partners 35,260 shares of common stock.</w:t>
      </w:r>
    </w:p>
    <w:p>
      <w:pPr>
        <w:spacing w:after="0" w:line="80" w:lineRule="exact"/>
        <w:rPr>
          <w:sz w:val="20"/>
          <w:szCs w:val="20"/>
          <w:color w:val="auto"/>
        </w:rPr>
      </w:pPr>
    </w:p>
    <w:p>
      <w:pPr>
        <w:ind w:right="100" w:firstLine="490"/>
        <w:spacing w:after="0" w:line="245" w:lineRule="auto"/>
        <w:rPr>
          <w:sz w:val="20"/>
          <w:szCs w:val="20"/>
          <w:color w:val="auto"/>
        </w:rPr>
      </w:pPr>
      <w:r>
        <w:rPr>
          <w:rFonts w:ascii="Times New Roman" w:cs="Times New Roman" w:eastAsia="Times New Roman" w:hAnsi="Times New Roman"/>
          <w:sz w:val="20"/>
          <w:szCs w:val="20"/>
          <w:color w:val="auto"/>
        </w:rPr>
        <w:t>As of December 31, 2022, the Company’s Amended and Restated Certificate of Incorporation, authorized the Company to issue up to 115,000,000 shares of $0.001 par value common stock, of which 43,269,200 shares were issued and outstanding, and up to 5,000,000 shares of $0.001 par value undesignated preferred stock, of which no shares were issued or outstanding. The voting, dividend and liquidation rights of the holders of the Company’s common stock are subject to and qualified by the rights, powers and preferences of the holders of the preferred stock. Each share of common stock entitles the holder to one vote on all matters submitted to a vote of the Company’s stockholders. Common stockholders are entitled to receive dividends, as may be declared by the board of directors of the Company (the “Board”), if any. No cash dividends have been declared or paid to date.</w:t>
      </w:r>
    </w:p>
    <w:p>
      <w:pPr>
        <w:spacing w:after="0" w:line="82"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auto"/>
        </w:rPr>
        <w:t>In July 2021, the Company sold 2,342,720 shares under an “at-the-market” equity distribution agreement (the "Prior ATM Agreement") with Piper Sandler &amp; Co. for net proceeds of $19.9 million. The Prior ATM Agreement was terminated in November 2022 in connection with the establishment of a new "at-the-market" offering program (see 2022 ATM Agreement below). An aggregate of 2,354,244 shares of common stock were sold pursuant to the Prior ATM Agreement for net proceeds of $20.1 million.</w:t>
      </w:r>
    </w:p>
    <w:p>
      <w:pPr>
        <w:spacing w:after="0" w:line="77" w:lineRule="exact"/>
        <w:rPr>
          <w:sz w:val="20"/>
          <w:szCs w:val="20"/>
          <w:color w:val="auto"/>
        </w:rPr>
      </w:pPr>
    </w:p>
    <w:p>
      <w:pPr>
        <w:ind w:right="100" w:firstLine="490"/>
        <w:spacing w:after="0" w:line="259" w:lineRule="auto"/>
        <w:rPr>
          <w:sz w:val="20"/>
          <w:szCs w:val="20"/>
          <w:color w:val="auto"/>
        </w:rPr>
      </w:pPr>
      <w:r>
        <w:rPr>
          <w:rFonts w:ascii="Times New Roman" w:cs="Times New Roman" w:eastAsia="Times New Roman" w:hAnsi="Times New Roman"/>
          <w:sz w:val="20"/>
          <w:szCs w:val="20"/>
          <w:color w:val="auto"/>
        </w:rPr>
        <w:t>In September 2022, the Company sold 25,558,750 shares of common stock in an underwritten public offering price of $3.15 per share and received net proceeds, net of underwriting discounts and commissions and offering costs of $75.2 million.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ATM Agreement</w:t>
      </w:r>
    </w:p>
    <w:p>
      <w:pPr>
        <w:spacing w:after="0" w:line="118" w:lineRule="exact"/>
        <w:rPr>
          <w:sz w:val="20"/>
          <w:szCs w:val="20"/>
          <w:color w:val="auto"/>
        </w:rPr>
      </w:pPr>
    </w:p>
    <w:p>
      <w:pPr>
        <w:ind w:right="280" w:firstLine="490"/>
        <w:spacing w:after="0" w:line="253" w:lineRule="auto"/>
        <w:rPr>
          <w:sz w:val="20"/>
          <w:szCs w:val="20"/>
          <w:color w:val="auto"/>
        </w:rPr>
      </w:pPr>
      <w:r>
        <w:rPr>
          <w:rFonts w:ascii="Times New Roman" w:cs="Times New Roman" w:eastAsia="Times New Roman" w:hAnsi="Times New Roman"/>
          <w:sz w:val="20"/>
          <w:szCs w:val="20"/>
          <w:color w:val="auto"/>
        </w:rPr>
        <w:t>On November 10, 2022, the Company entered into a sales agreement (the "ATM Agreement") with a Guggenheim Securities, LLC in connection with the establishment of an “at-the-market” offering program under which the Company may sell up to an aggregate of $50.0 million of shares of common stock (the “ATM Shares”) from time to time.</w:t>
      </w:r>
    </w:p>
    <w:p>
      <w:pPr>
        <w:spacing w:after="0" w:line="70" w:lineRule="exact"/>
        <w:rPr>
          <w:sz w:val="20"/>
          <w:szCs w:val="20"/>
          <w:color w:val="auto"/>
        </w:rPr>
      </w:pPr>
    </w:p>
    <w:p>
      <w:pPr>
        <w:ind w:right="60" w:firstLine="490"/>
        <w:spacing w:after="0" w:line="253" w:lineRule="auto"/>
        <w:rPr>
          <w:sz w:val="20"/>
          <w:szCs w:val="20"/>
          <w:color w:val="auto"/>
        </w:rPr>
      </w:pPr>
      <w:r>
        <w:rPr>
          <w:rFonts w:ascii="Times New Roman" w:cs="Times New Roman" w:eastAsia="Times New Roman" w:hAnsi="Times New Roman"/>
          <w:sz w:val="20"/>
          <w:szCs w:val="20"/>
          <w:color w:val="auto"/>
        </w:rPr>
        <w:t>Under the ATM Agreement, the Company sets the parameters for the sale of ATM Shares, including the number of ATM Shares to be issued, the time period during which sales are requested to be made, limitations on the number of ATM Shares that may be sold in any one trading day and any minimum price below which sales may not be made. Sales of the ATM Shares, if any, under the ATM Agreement may be made in transactions that are deemed</w:t>
      </w:r>
    </w:p>
    <w:p>
      <w:pPr>
        <w:sectPr>
          <w:pgSz w:w="11880" w:h="15480" w:orient="portrait"/>
          <w:cols w:equalWidth="0" w:num="1">
            <w:col w:w="9360"/>
          </w:cols>
          <w:pgMar w:left="1260" w:top="1235" w:right="1260" w:bottom="8"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9360"/>
          </w:cols>
          <w:pgMar w:left="1260" w:top="1235" w:right="1260" w:bottom="8" w:gutter="0" w:footer="0" w:header="0"/>
          <w:type w:val="continuous"/>
        </w:sectPr>
      </w:pPr>
    </w:p>
    <w:bookmarkStart w:id="113" w:name="page114"/>
    <w:bookmarkEnd w:id="113"/>
    <w:p>
      <w:pPr>
        <w:ind w:right="120"/>
        <w:spacing w:after="0" w:line="246" w:lineRule="auto"/>
        <w:rPr>
          <w:sz w:val="20"/>
          <w:szCs w:val="20"/>
          <w:color w:val="auto"/>
        </w:rPr>
      </w:pPr>
      <w:r>
        <w:rPr>
          <w:rFonts w:ascii="Times New Roman" w:cs="Times New Roman" w:eastAsia="Times New Roman" w:hAnsi="Times New Roman"/>
          <w:sz w:val="20"/>
          <w:szCs w:val="20"/>
          <w:color w:val="auto"/>
        </w:rPr>
        <w:t>to be “at-the-market offerings” as defined in Rule 415 under the Securities Act. The Company pays its investment bank a commission equal to 3.0% of the gross proceeds of any ATM Shares sold through its investment bank under the ATM Agreement and reimburses the investment bank for certain specified expenses. The ATM Agreement contains customary representations, warranties and agreements by the Company, indemnification obligations of the Company and its investment bank, other customary obligations of the parties and termination provisions. The Company has no obligation to sell any of the ATM Shares and may at any time suspend offers under the ATM Agreement.</w:t>
      </w:r>
    </w:p>
    <w:p>
      <w:pPr>
        <w:spacing w:after="0" w:line="80"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auto"/>
        </w:rPr>
        <w:t>The ATM Shares will be offered and sold pursuant to the Company’s Registration Statement on Form S-3, filed by the Company on November 10, 2022 and effective as of November 21, 2022 (the “Registration Statement”), and the sales agreement prospectus that forms a part of such Registration Statement. As of the date of this Annual Report on Form 10-K, no ATM Shares have been sold pursuant to the ATM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2020 Equity Incentive Plan</w:t>
      </w:r>
    </w:p>
    <w:p>
      <w:pPr>
        <w:spacing w:after="0" w:line="118" w:lineRule="exact"/>
        <w:rPr>
          <w:sz w:val="20"/>
          <w:szCs w:val="20"/>
          <w:color w:val="auto"/>
        </w:rPr>
      </w:pPr>
    </w:p>
    <w:p>
      <w:pPr>
        <w:ind w:right="40" w:firstLine="490"/>
        <w:spacing w:after="0" w:line="245" w:lineRule="auto"/>
        <w:rPr>
          <w:sz w:val="20"/>
          <w:szCs w:val="20"/>
          <w:color w:val="auto"/>
        </w:rPr>
      </w:pPr>
      <w:r>
        <w:rPr>
          <w:rFonts w:ascii="Times New Roman" w:cs="Times New Roman" w:eastAsia="Times New Roman" w:hAnsi="Times New Roman"/>
          <w:sz w:val="20"/>
          <w:szCs w:val="20"/>
          <w:color w:val="auto"/>
        </w:rPr>
        <w:t>The Board adopted the 2020 Equity Incentive Plan (the "2020 Plan") on July 16, 2020 and the stockholders of the Company approved the 2020 Plan on September 29, 2020. The 2020 Plan replaced the predecessor plans (the "Prior Plans") that the Company assumed following its merger with Zafgen in May 2020. Options outstanding under the Prior Plans will remain outstanding, unchanged, and subject to the terms of the Prior Plans and the respective award agreements, and no further awards will be made under the Prior Plans. However, if any award previously granted under the Prior Plans, expires, terminates, is canceled, or is forfeited for any reason after the approval of the 2020 Plan, the shares subject to that award will be added to the 2020 Plan share pool so that they can be utilized for new grants under the 2020 Plan.</w:t>
      </w:r>
    </w:p>
    <w:p>
      <w:pPr>
        <w:spacing w:after="0" w:line="82"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auto"/>
        </w:rPr>
        <w:t>The 2020 Plan provides for the grant of incentive stock options (“ISOs”), nonstatutory stock options (“NSOs”), stock appreciation rights, restricted stock awards, restricted stock unit awards, and cash or other stock-based awards. ISOs may be granted only to the Company’s employees, including the Company’s officers, and the employees of the Company’s affiliates. All other awards may be granted to the Company’s employees, including the Company’s officers, the Company’s non-employee directors and consultants, and the employees and consultants of the Company’s affiliates.</w:t>
      </w:r>
    </w:p>
    <w:p>
      <w:pPr>
        <w:spacing w:after="0" w:line="80" w:lineRule="exact"/>
        <w:rPr>
          <w:sz w:val="20"/>
          <w:szCs w:val="20"/>
          <w:color w:val="auto"/>
        </w:rPr>
      </w:pPr>
    </w:p>
    <w:p>
      <w:pPr>
        <w:ind w:right="80" w:firstLine="490"/>
        <w:spacing w:after="0" w:line="244" w:lineRule="auto"/>
        <w:rPr>
          <w:sz w:val="20"/>
          <w:szCs w:val="20"/>
          <w:color w:val="auto"/>
        </w:rPr>
      </w:pPr>
      <w:r>
        <w:rPr>
          <w:rFonts w:ascii="Times New Roman" w:cs="Times New Roman" w:eastAsia="Times New Roman" w:hAnsi="Times New Roman"/>
          <w:sz w:val="20"/>
          <w:szCs w:val="20"/>
          <w:color w:val="auto"/>
        </w:rPr>
        <w:t>The maximum number of shares that may be issued in respect of any awards under the 2020 Plan is the sum of: (i) 1,700,000 shares plus (ii) an annual increase on January 1, 2021 and each anniversary of such date thereafter through January 1, 2030, equal to the lesser of (A) 4% of the shares issued and outstanding on the last day of the immediately preceding fiscal year, or (B) such smaller number of shares as determined by the Board (collectively, the “Plan Limit”). The maximum aggregate number of shares that may be issued under the 2020 Plan is 8,000,000 over the ten-year term of the 2020 Plan. During the twelve months ended December 31, 2022 and 2021, respectively, options to purchase 148,623 and 56,966 shares issued under the Prior Plans were canceled and became available for grant under the 2020 Plan. As of December 31, 2022, 1,054,277 shares of common stock were available for grant under the 2020 Plan.</w:t>
      </w:r>
    </w:p>
    <w:p>
      <w:pPr>
        <w:spacing w:after="0" w:line="86" w:lineRule="exact"/>
        <w:rPr>
          <w:sz w:val="20"/>
          <w:szCs w:val="20"/>
          <w:color w:val="auto"/>
        </w:rPr>
      </w:pPr>
    </w:p>
    <w:p>
      <w:pPr>
        <w:jc w:val="both"/>
        <w:ind w:right="240" w:firstLine="490"/>
        <w:spacing w:after="0" w:line="259" w:lineRule="auto"/>
        <w:rPr>
          <w:sz w:val="20"/>
          <w:szCs w:val="20"/>
          <w:color w:val="auto"/>
        </w:rPr>
      </w:pPr>
      <w:r>
        <w:rPr>
          <w:rFonts w:ascii="Times New Roman" w:cs="Times New Roman" w:eastAsia="Times New Roman" w:hAnsi="Times New Roman"/>
          <w:sz w:val="20"/>
          <w:szCs w:val="20"/>
          <w:color w:val="auto"/>
        </w:rPr>
        <w:t>As permitted by the 2020 Plan, the Company added 1,730,768 and 708,418 shares available for grant to the 2020 Plan on January 1, 2023 and January 1, 2022, respectively, increasing the maximum number of shares of the Company’s common stock that may be issued under the 2020 Plan as of January 1, 2023 to 2,785,045 shares.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 Valuation</w:t>
      </w:r>
    </w:p>
    <w:p>
      <w:pPr>
        <w:spacing w:after="0" w:line="118" w:lineRule="exact"/>
        <w:rPr>
          <w:sz w:val="20"/>
          <w:szCs w:val="20"/>
          <w:color w:val="auto"/>
        </w:rPr>
      </w:pPr>
    </w:p>
    <w:p>
      <w:pPr>
        <w:ind w:right="100" w:firstLine="490"/>
        <w:spacing w:after="0" w:line="279" w:lineRule="auto"/>
        <w:rPr>
          <w:sz w:val="20"/>
          <w:szCs w:val="20"/>
          <w:color w:val="auto"/>
        </w:rPr>
      </w:pPr>
      <w:r>
        <w:rPr>
          <w:rFonts w:ascii="Times New Roman" w:cs="Times New Roman" w:eastAsia="Times New Roman" w:hAnsi="Times New Roman"/>
          <w:sz w:val="20"/>
          <w:szCs w:val="20"/>
          <w:color w:val="auto"/>
        </w:rPr>
        <w:t>The following table presents, on a weighted average basis, the assumptions used in the Black-Scholes option-pricing model to determine the grant-date fair value of stock options granted to employees: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960" w:type="dxa"/>
            <w:vAlign w:val="bottom"/>
          </w:tcPr>
          <w:p>
            <w:pPr>
              <w:jc w:val="center"/>
              <w:ind w:left="26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380" w:type="dxa"/>
            <w:vAlign w:val="bottom"/>
          </w:tcPr>
          <w:p>
            <w:pPr>
              <w:spacing w:after="0"/>
              <w:rPr>
                <w:sz w:val="17"/>
                <w:szCs w:val="17"/>
                <w:color w:val="auto"/>
              </w:rPr>
            </w:pPr>
          </w:p>
        </w:tc>
        <w:tc>
          <w:tcPr>
            <w:tcW w:w="1540" w:type="dxa"/>
            <w:vAlign w:val="bottom"/>
            <w:gridSpan w:val="2"/>
          </w:tcPr>
          <w:p>
            <w:pPr>
              <w:jc w:val="center"/>
              <w:ind w:left="12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7"/>
                <w:szCs w:val="17"/>
                <w:color w:val="auto"/>
              </w:rPr>
            </w:pPr>
          </w:p>
        </w:tc>
      </w:tr>
      <w:tr>
        <w:trPr>
          <w:trHeight w:val="220"/>
        </w:trPr>
        <w:tc>
          <w:tcPr>
            <w:tcW w:w="638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Risk-free interest rate</w:t>
            </w:r>
          </w:p>
        </w:tc>
        <w:tc>
          <w:tcPr>
            <w:tcW w:w="960" w:type="dxa"/>
            <w:vAlign w:val="bottom"/>
            <w:tcBorders>
              <w:top w:val="single" w:sz="8" w:color="auto"/>
            </w:tcBorders>
            <w:shd w:val="clear" w:color="auto" w:fill="E4E4E4"/>
          </w:tcPr>
          <w:p>
            <w:pPr>
              <w:jc w:val="center"/>
              <w:ind w:left="265"/>
              <w:spacing w:after="0" w:line="220" w:lineRule="exact"/>
              <w:rPr>
                <w:sz w:val="20"/>
                <w:szCs w:val="20"/>
                <w:color w:val="auto"/>
              </w:rPr>
            </w:pPr>
            <w:r>
              <w:rPr>
                <w:rFonts w:ascii="Times New Roman" w:cs="Times New Roman" w:eastAsia="Times New Roman" w:hAnsi="Times New Roman"/>
                <w:sz w:val="20"/>
                <w:szCs w:val="20"/>
                <w:color w:val="auto"/>
              </w:rPr>
              <w:t>2.15%</w:t>
            </w:r>
          </w:p>
        </w:tc>
        <w:tc>
          <w:tcPr>
            <w:tcW w:w="380" w:type="dxa"/>
            <w:vAlign w:val="bottom"/>
            <w:tcBorders>
              <w:top w:val="single" w:sz="8" w:color="auto"/>
            </w:tcBorders>
            <w:shd w:val="clear" w:color="auto" w:fill="E4E4E4"/>
          </w:tcPr>
          <w:p>
            <w:pPr>
              <w:spacing w:after="0"/>
              <w:rPr>
                <w:sz w:val="19"/>
                <w:szCs w:val="19"/>
                <w:color w:val="auto"/>
              </w:rPr>
            </w:pPr>
          </w:p>
        </w:tc>
        <w:tc>
          <w:tcPr>
            <w:tcW w:w="200" w:type="dxa"/>
            <w:vAlign w:val="bottom"/>
            <w:tcBorders>
              <w:top w:val="single" w:sz="8" w:color="E4E4E4"/>
            </w:tcBorders>
            <w:shd w:val="clear" w:color="auto" w:fill="E4E4E4"/>
          </w:tcPr>
          <w:p>
            <w:pPr>
              <w:spacing w:after="0"/>
              <w:rPr>
                <w:sz w:val="19"/>
                <w:szCs w:val="19"/>
                <w:color w:val="auto"/>
              </w:rPr>
            </w:pPr>
          </w:p>
        </w:tc>
        <w:tc>
          <w:tcPr>
            <w:tcW w:w="1340" w:type="dxa"/>
            <w:vAlign w:val="bottom"/>
            <w:tcBorders>
              <w:top w:val="single" w:sz="8" w:color="auto"/>
            </w:tcBorders>
            <w:shd w:val="clear" w:color="auto" w:fill="E4E4E4"/>
          </w:tcPr>
          <w:p>
            <w:pPr>
              <w:jc w:val="center"/>
              <w:spacing w:after="0" w:line="220" w:lineRule="exact"/>
              <w:rPr>
                <w:sz w:val="20"/>
                <w:szCs w:val="20"/>
                <w:color w:val="auto"/>
              </w:rPr>
            </w:pPr>
            <w:r>
              <w:rPr>
                <w:rFonts w:ascii="Times New Roman" w:cs="Times New Roman" w:eastAsia="Times New Roman" w:hAnsi="Times New Roman"/>
                <w:sz w:val="20"/>
                <w:szCs w:val="20"/>
                <w:color w:val="auto"/>
              </w:rPr>
              <w:t>0.89%</w:t>
            </w:r>
          </w:p>
        </w:tc>
        <w:tc>
          <w:tcPr>
            <w:tcW w:w="100" w:type="dxa"/>
            <w:vAlign w:val="bottom"/>
            <w:tcBorders>
              <w:top w:val="single" w:sz="8" w:color="E4E4E4"/>
            </w:tcBorders>
            <w:shd w:val="clear" w:color="auto" w:fill="E4E4E4"/>
          </w:tcPr>
          <w:p>
            <w:pPr>
              <w:spacing w:after="0"/>
              <w:rPr>
                <w:sz w:val="19"/>
                <w:szCs w:val="19"/>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Expected term (in years)</w:t>
            </w:r>
          </w:p>
        </w:tc>
        <w:tc>
          <w:tcPr>
            <w:tcW w:w="9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6.19</w:t>
            </w:r>
          </w:p>
        </w:tc>
        <w:tc>
          <w:tcPr>
            <w:tcW w:w="100" w:type="dxa"/>
            <w:vAlign w:val="bottom"/>
          </w:tcPr>
          <w:p>
            <w:pPr>
              <w:spacing w:after="0"/>
              <w:rPr>
                <w:sz w:val="19"/>
                <w:szCs w:val="19"/>
                <w:color w:val="auto"/>
              </w:rPr>
            </w:pPr>
          </w:p>
        </w:tc>
      </w:tr>
      <w:tr>
        <w:trPr>
          <w:trHeight w:val="230"/>
        </w:trPr>
        <w:tc>
          <w:tcPr>
            <w:tcW w:w="638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Expected volatility</w:t>
            </w:r>
          </w:p>
        </w:tc>
        <w:tc>
          <w:tcPr>
            <w:tcW w:w="960" w:type="dxa"/>
            <w:vAlign w:val="bottom"/>
            <w:shd w:val="clear" w:color="auto" w:fill="E4E4E4"/>
          </w:tcPr>
          <w:p>
            <w:pPr>
              <w:jc w:val="center"/>
              <w:ind w:left="285"/>
              <w:spacing w:after="0"/>
              <w:rPr>
                <w:sz w:val="20"/>
                <w:szCs w:val="20"/>
                <w:color w:val="auto"/>
              </w:rPr>
            </w:pPr>
            <w:r>
              <w:rPr>
                <w:rFonts w:ascii="Times New Roman" w:cs="Times New Roman" w:eastAsia="Times New Roman" w:hAnsi="Times New Roman"/>
                <w:sz w:val="20"/>
                <w:szCs w:val="20"/>
                <w:color w:val="auto"/>
              </w:rPr>
              <w:t>89%</w:t>
            </w:r>
          </w:p>
        </w:tc>
        <w:tc>
          <w:tcPr>
            <w:tcW w:w="380" w:type="dxa"/>
            <w:vAlign w:val="bottom"/>
            <w:shd w:val="clear" w:color="auto" w:fill="E4E4E4"/>
          </w:tcPr>
          <w:p>
            <w:pPr>
              <w:spacing w:after="0"/>
              <w:rPr>
                <w:sz w:val="19"/>
                <w:szCs w:val="19"/>
                <w:color w:val="auto"/>
              </w:rPr>
            </w:pPr>
          </w:p>
        </w:tc>
        <w:tc>
          <w:tcPr>
            <w:tcW w:w="1540" w:type="dxa"/>
            <w:vAlign w:val="bottom"/>
            <w:gridSpan w:val="2"/>
            <w:shd w:val="clear" w:color="auto" w:fill="E4E4E4"/>
          </w:tcPr>
          <w:p>
            <w:pPr>
              <w:jc w:val="center"/>
              <w:ind w:left="127"/>
              <w:spacing w:after="0"/>
              <w:rPr>
                <w:sz w:val="20"/>
                <w:szCs w:val="20"/>
                <w:color w:val="auto"/>
              </w:rPr>
            </w:pPr>
            <w:r>
              <w:rPr>
                <w:rFonts w:ascii="Times New Roman" w:cs="Times New Roman" w:eastAsia="Times New Roman" w:hAnsi="Times New Roman"/>
                <w:sz w:val="20"/>
                <w:szCs w:val="20"/>
                <w:color w:val="auto"/>
                <w:w w:val="98"/>
              </w:rPr>
              <w:t>91%</w:t>
            </w:r>
          </w:p>
        </w:tc>
        <w:tc>
          <w:tcPr>
            <w:tcW w:w="100" w:type="dxa"/>
            <w:vAlign w:val="bottom"/>
            <w:shd w:val="clear" w:color="auto" w:fill="E4E4E4"/>
          </w:tcPr>
          <w:p>
            <w:pPr>
              <w:spacing w:after="0"/>
              <w:rPr>
                <w:sz w:val="19"/>
                <w:szCs w:val="19"/>
                <w:color w:val="auto"/>
              </w:rPr>
            </w:pPr>
          </w:p>
        </w:tc>
      </w:tr>
      <w:tr>
        <w:trPr>
          <w:trHeight w:val="268"/>
        </w:trPr>
        <w:tc>
          <w:tcPr>
            <w:tcW w:w="6380" w:type="dxa"/>
            <w:vAlign w:val="bottom"/>
          </w:tcPr>
          <w:p>
            <w:pPr>
              <w:spacing w:after="0"/>
              <w:rPr>
                <w:sz w:val="20"/>
                <w:szCs w:val="20"/>
                <w:color w:val="auto"/>
              </w:rPr>
            </w:pPr>
            <w:r>
              <w:rPr>
                <w:rFonts w:ascii="Times New Roman" w:cs="Times New Roman" w:eastAsia="Times New Roman" w:hAnsi="Times New Roman"/>
                <w:sz w:val="20"/>
                <w:szCs w:val="20"/>
                <w:color w:val="auto"/>
              </w:rPr>
              <w:t>Dividend yield</w:t>
            </w:r>
          </w:p>
        </w:tc>
        <w:tc>
          <w:tcPr>
            <w:tcW w:w="960" w:type="dxa"/>
            <w:vAlign w:val="bottom"/>
          </w:tcPr>
          <w:p>
            <w:pPr>
              <w:jc w:val="center"/>
              <w:ind w:left="265"/>
              <w:spacing w:after="0"/>
              <w:rPr>
                <w:sz w:val="20"/>
                <w:szCs w:val="20"/>
                <w:color w:val="auto"/>
              </w:rPr>
            </w:pPr>
            <w:r>
              <w:rPr>
                <w:rFonts w:ascii="Times New Roman" w:cs="Times New Roman" w:eastAsia="Times New Roman" w:hAnsi="Times New Roman"/>
                <w:sz w:val="20"/>
                <w:szCs w:val="20"/>
                <w:color w:val="auto"/>
              </w:rPr>
              <w:t>0.00%</w:t>
            </w:r>
          </w:p>
        </w:tc>
        <w:tc>
          <w:tcPr>
            <w:tcW w:w="380" w:type="dxa"/>
            <w:vAlign w:val="bottom"/>
          </w:tcPr>
          <w:p>
            <w:pPr>
              <w:spacing w:after="0"/>
              <w:rPr>
                <w:sz w:val="23"/>
                <w:szCs w:val="23"/>
                <w:color w:val="auto"/>
              </w:rPr>
            </w:pPr>
          </w:p>
        </w:tc>
        <w:tc>
          <w:tcPr>
            <w:tcW w:w="1540" w:type="dxa"/>
            <w:vAlign w:val="bottom"/>
            <w:gridSpan w:val="2"/>
          </w:tcPr>
          <w:p>
            <w:pPr>
              <w:jc w:val="center"/>
              <w:ind w:left="127"/>
              <w:spacing w:after="0"/>
              <w:rPr>
                <w:sz w:val="20"/>
                <w:szCs w:val="20"/>
                <w:color w:val="auto"/>
              </w:rPr>
            </w:pPr>
            <w:r>
              <w:rPr>
                <w:rFonts w:ascii="Times New Roman" w:cs="Times New Roman" w:eastAsia="Times New Roman" w:hAnsi="Times New Roman"/>
                <w:sz w:val="20"/>
                <w:szCs w:val="20"/>
                <w:color w:val="auto"/>
              </w:rPr>
              <w:t>0.00%</w:t>
            </w:r>
          </w:p>
        </w:tc>
        <w:tc>
          <w:tcPr>
            <w:tcW w:w="10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360"/>
          </w:cols>
          <w:pgMar w:left="1260" w:top="1238" w:right="12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9360"/>
          </w:cols>
          <w:pgMar w:left="1260" w:top="1238" w:right="1260" w:bottom="8"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b w:val="1"/>
          <w:bCs w:val="1"/>
          <w:i w:val="1"/>
          <w:iCs w:val="1"/>
          <w:color w:val="auto"/>
        </w:rPr>
        <w:t>Stock Options</w:t>
      </w:r>
    </w:p>
    <w:p>
      <w:pPr>
        <w:spacing w:after="0" w:line="6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The following table summarizes the Company’s stock option activity for the twelve months ended</w:t>
      </w:r>
    </w:p>
    <w:p>
      <w:pPr>
        <w:spacing w:after="0"/>
        <w:rPr>
          <w:sz w:val="20"/>
          <w:szCs w:val="20"/>
          <w:color w:val="auto"/>
        </w:rPr>
      </w:pPr>
      <w:r>
        <w:rPr>
          <w:rFonts w:ascii="Times New Roman" w:cs="Times New Roman" w:eastAsia="Times New Roman" w:hAnsi="Times New Roman"/>
          <w:sz w:val="20"/>
          <w:szCs w:val="20"/>
          <w:color w:val="auto"/>
        </w:rPr>
        <w:t>December 31, 2022 (amounts in millions, except for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vMerge w:val="restart"/>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5"/>
                <w:szCs w:val="15"/>
                <w:color w:val="auto"/>
              </w:rPr>
            </w:pPr>
          </w:p>
        </w:tc>
        <w:tc>
          <w:tcPr>
            <w:tcW w:w="840" w:type="dxa"/>
            <w:vAlign w:val="bottom"/>
          </w:tcPr>
          <w:p>
            <w:pPr>
              <w:jc w:val="center"/>
              <w:ind w:right="8"/>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10"/>
              <w:spacing w:after="0"/>
              <w:rPr>
                <w:sz w:val="20"/>
                <w:szCs w:val="20"/>
                <w:color w:val="auto"/>
              </w:rPr>
            </w:pPr>
            <w:r>
              <w:rPr>
                <w:rFonts w:ascii="Times New Roman" w:cs="Times New Roman" w:eastAsia="Times New Roman" w:hAnsi="Times New Roman"/>
                <w:sz w:val="16"/>
                <w:szCs w:val="16"/>
                <w:b w:val="1"/>
                <w:bCs w:val="1"/>
                <w:color w:val="auto"/>
                <w:w w:val="98"/>
              </w:rPr>
              <w:t>Value (a)</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4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5"/>
                <w:szCs w:val="15"/>
                <w:color w:val="auto"/>
              </w:rPr>
            </w:pPr>
          </w:p>
        </w:tc>
        <w:tc>
          <w:tcPr>
            <w:tcW w:w="840" w:type="dxa"/>
            <w:vAlign w:val="bottom"/>
            <w:vMerge w:val="restart"/>
          </w:tcPr>
          <w:p>
            <w:pPr>
              <w:jc w:val="center"/>
              <w:ind w:right="8"/>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1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Term (in</w:t>
            </w:r>
          </w:p>
        </w:tc>
        <w:tc>
          <w:tcPr>
            <w:tcW w:w="200" w:type="dxa"/>
            <w:vAlign w:val="bottom"/>
          </w:tcPr>
          <w:p>
            <w:pPr>
              <w:spacing w:after="0"/>
              <w:rPr>
                <w:sz w:val="15"/>
                <w:szCs w:val="15"/>
                <w:color w:val="auto"/>
              </w:rPr>
            </w:pPr>
          </w:p>
        </w:tc>
        <w:tc>
          <w:tcPr>
            <w:tcW w:w="9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20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80" w:type="dxa"/>
            <w:vAlign w:val="bottom"/>
            <w:tcBorders>
              <w:top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b w:val="1"/>
                <w:bCs w:val="1"/>
                <w:color w:val="auto"/>
              </w:rPr>
              <w:t>Outstanding as of December 31, 2021</w:t>
            </w:r>
          </w:p>
        </w:tc>
        <w:tc>
          <w:tcPr>
            <w:tcW w:w="100" w:type="dxa"/>
            <w:vAlign w:val="bottom"/>
          </w:tcPr>
          <w:p>
            <w:pPr>
              <w:spacing w:after="0"/>
              <w:rPr>
                <w:sz w:val="19"/>
                <w:szCs w:val="19"/>
                <w:color w:val="auto"/>
              </w:rPr>
            </w:pPr>
          </w:p>
        </w:tc>
        <w:tc>
          <w:tcPr>
            <w:tcW w:w="100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2,523,305</w:t>
            </w:r>
          </w:p>
        </w:tc>
        <w:tc>
          <w:tcPr>
            <w:tcW w:w="200" w:type="dxa"/>
            <w:vAlign w:val="bottom"/>
            <w:tcBorders>
              <w:top w:val="single" w:sz="8" w:color="E4E4E4"/>
            </w:tcBorders>
            <w:shd w:val="clear" w:color="auto" w:fill="E4E4E4"/>
          </w:tcPr>
          <w:p>
            <w:pPr>
              <w:spacing w:after="0"/>
              <w:rPr>
                <w:sz w:val="19"/>
                <w:szCs w:val="19"/>
                <w:color w:val="auto"/>
              </w:rPr>
            </w:pPr>
          </w:p>
        </w:tc>
        <w:tc>
          <w:tcPr>
            <w:tcW w:w="100" w:type="dxa"/>
            <w:vAlign w:val="bottom"/>
            <w:tcBorders>
              <w:top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79"/>
                <w:shd w:val="clear" w:color="auto" w:fill="E4E4E4"/>
              </w:rPr>
              <w:t>$</w:t>
            </w:r>
          </w:p>
        </w:tc>
        <w:tc>
          <w:tcPr>
            <w:tcW w:w="840" w:type="dxa"/>
            <w:vAlign w:val="bottom"/>
            <w:tcBorders>
              <w:top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18.88</w:t>
            </w:r>
          </w:p>
        </w:tc>
        <w:tc>
          <w:tcPr>
            <w:tcW w:w="180" w:type="dxa"/>
            <w:vAlign w:val="bottom"/>
            <w:tcBorders>
              <w:top w:val="single" w:sz="8" w:color="E4E4E4"/>
            </w:tcBorders>
            <w:shd w:val="clear" w:color="auto" w:fill="E4E4E4"/>
          </w:tcPr>
          <w:p>
            <w:pPr>
              <w:spacing w:after="0"/>
              <w:rPr>
                <w:sz w:val="19"/>
                <w:szCs w:val="19"/>
                <w:color w:val="auto"/>
              </w:rPr>
            </w:pPr>
          </w:p>
        </w:tc>
        <w:tc>
          <w:tcPr>
            <w:tcW w:w="1000" w:type="dxa"/>
            <w:vAlign w:val="bottom"/>
            <w:tcBorders>
              <w:top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7.6</w:t>
            </w:r>
          </w:p>
        </w:tc>
        <w:tc>
          <w:tcPr>
            <w:tcW w:w="200" w:type="dxa"/>
            <w:vAlign w:val="bottom"/>
            <w:tcBorders>
              <w:top w:val="single" w:sz="8" w:color="E4E4E4"/>
            </w:tcBorders>
            <w:shd w:val="clear" w:color="auto" w:fill="E4E4E4"/>
          </w:tcPr>
          <w:p>
            <w:pPr>
              <w:spacing w:after="0"/>
              <w:rPr>
                <w:sz w:val="19"/>
                <w:szCs w:val="19"/>
                <w:color w:val="auto"/>
              </w:rPr>
            </w:pPr>
          </w:p>
        </w:tc>
        <w:tc>
          <w:tcPr>
            <w:tcW w:w="120" w:type="dxa"/>
            <w:vAlign w:val="bottom"/>
            <w:tcBorders>
              <w:top w:val="single" w:sz="8" w:color="auto"/>
            </w:tcBorders>
            <w:shd w:val="clear" w:color="auto" w:fill="E4E4E4"/>
          </w:tcPr>
          <w:p>
            <w:pPr>
              <w:spacing w:after="0"/>
              <w:rPr>
                <w:sz w:val="19"/>
                <w:szCs w:val="19"/>
                <w:color w:val="auto"/>
              </w:rPr>
            </w:pPr>
          </w:p>
        </w:tc>
        <w:tc>
          <w:tcPr>
            <w:tcW w:w="840" w:type="dxa"/>
            <w:vAlign w:val="bottom"/>
            <w:tcBorders>
              <w:top w:val="single" w:sz="8" w:color="auto"/>
            </w:tcBorders>
            <w:shd w:val="clear" w:color="auto" w:fill="E4E4E4"/>
          </w:tcPr>
          <w:p>
            <w:pPr>
              <w:spacing w:after="0"/>
              <w:rPr>
                <w:sz w:val="19"/>
                <w:szCs w:val="19"/>
                <w:color w:val="auto"/>
              </w:rPr>
            </w:pPr>
          </w:p>
        </w:tc>
        <w:tc>
          <w:tcPr>
            <w:tcW w:w="100" w:type="dxa"/>
            <w:vAlign w:val="bottom"/>
            <w:tcBorders>
              <w:top w:val="single" w:sz="8" w:color="E4E4E4"/>
            </w:tcBorders>
            <w:shd w:val="clear" w:color="auto" w:fill="E4E4E4"/>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Granted</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878,450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w:t>
            </w: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680" w:type="dxa"/>
            <w:vAlign w:val="bottom"/>
            <w:shd w:val="clear" w:color="auto" w:fill="E4E4E4"/>
          </w:tcPr>
          <w:p>
            <w:pPr>
              <w:ind w:left="400"/>
              <w:spacing w:after="0"/>
              <w:rPr>
                <w:sz w:val="20"/>
                <w:szCs w:val="20"/>
                <w:color w:val="auto"/>
              </w:rPr>
            </w:pPr>
            <w:r>
              <w:rPr>
                <w:rFonts w:ascii="Times New Roman" w:cs="Times New Roman" w:eastAsia="Times New Roman" w:hAnsi="Times New Roman"/>
                <w:sz w:val="20"/>
                <w:szCs w:val="20"/>
                <w:color w:val="auto"/>
              </w:rPr>
              <w:t>Forfeited/Expired</w:t>
            </w:r>
          </w:p>
        </w:tc>
        <w:tc>
          <w:tcPr>
            <w:tcW w:w="1300" w:type="dxa"/>
            <w:vAlign w:val="bottom"/>
            <w:gridSpan w:val="3"/>
            <w:shd w:val="clear" w:color="auto" w:fill="E4E4E4"/>
          </w:tcPr>
          <w:p>
            <w:pPr>
              <w:jc w:val="right"/>
              <w:ind w:right="140"/>
              <w:spacing w:after="0"/>
              <w:rPr>
                <w:sz w:val="20"/>
                <w:szCs w:val="20"/>
                <w:color w:val="auto"/>
              </w:rPr>
            </w:pPr>
            <w:r>
              <w:rPr>
                <w:rFonts w:ascii="Times New Roman" w:cs="Times New Roman" w:eastAsia="Times New Roman" w:hAnsi="Times New Roman"/>
                <w:sz w:val="20"/>
                <w:szCs w:val="20"/>
                <w:color w:val="auto"/>
              </w:rPr>
              <w:t>(330,227)</w:t>
            </w:r>
          </w:p>
        </w:tc>
        <w:tc>
          <w:tcPr>
            <w:tcW w:w="100" w:type="dxa"/>
            <w:vAlign w:val="bottom"/>
            <w:shd w:val="clear" w:color="auto" w:fill="E4E4E4"/>
          </w:tcPr>
          <w:p>
            <w:pPr>
              <w:spacing w:after="0"/>
              <w:rPr>
                <w:sz w:val="21"/>
                <w:szCs w:val="21"/>
                <w:color w:val="auto"/>
              </w:rPr>
            </w:pPr>
          </w:p>
        </w:tc>
        <w:tc>
          <w:tcPr>
            <w:tcW w:w="84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49.85</w:t>
            </w:r>
          </w:p>
        </w:tc>
        <w:tc>
          <w:tcPr>
            <w:tcW w:w="180" w:type="dxa"/>
            <w:vAlign w:val="bottom"/>
            <w:shd w:val="clear" w:color="auto" w:fill="E4E4E4"/>
          </w:tcPr>
          <w:p>
            <w:pPr>
              <w:spacing w:after="0"/>
              <w:rPr>
                <w:sz w:val="21"/>
                <w:szCs w:val="21"/>
                <w:color w:val="auto"/>
              </w:rPr>
            </w:pPr>
          </w:p>
        </w:tc>
        <w:tc>
          <w:tcPr>
            <w:tcW w:w="1000" w:type="dxa"/>
            <w:vAlign w:val="bottom"/>
            <w:shd w:val="clear" w:color="auto" w:fill="E4E4E4"/>
          </w:tcPr>
          <w:p>
            <w:pPr>
              <w:spacing w:after="0"/>
              <w:rPr>
                <w:sz w:val="21"/>
                <w:szCs w:val="21"/>
                <w:color w:val="auto"/>
              </w:rPr>
            </w:pPr>
          </w:p>
        </w:tc>
        <w:tc>
          <w:tcPr>
            <w:tcW w:w="200" w:type="dxa"/>
            <w:vAlign w:val="bottom"/>
            <w:shd w:val="clear" w:color="auto" w:fill="E4E4E4"/>
          </w:tcPr>
          <w:p>
            <w:pPr>
              <w:spacing w:after="0"/>
              <w:rPr>
                <w:sz w:val="21"/>
                <w:szCs w:val="21"/>
                <w:color w:val="auto"/>
              </w:rPr>
            </w:pPr>
          </w:p>
        </w:tc>
        <w:tc>
          <w:tcPr>
            <w:tcW w:w="120" w:type="dxa"/>
            <w:vAlign w:val="bottom"/>
            <w:shd w:val="clear" w:color="auto" w:fill="E4E4E4"/>
          </w:tcPr>
          <w:p>
            <w:pPr>
              <w:spacing w:after="0"/>
              <w:rPr>
                <w:sz w:val="21"/>
                <w:szCs w:val="21"/>
                <w:color w:val="auto"/>
              </w:rPr>
            </w:pPr>
          </w:p>
        </w:tc>
        <w:tc>
          <w:tcPr>
            <w:tcW w:w="840" w:type="dxa"/>
            <w:vAlign w:val="bottom"/>
            <w:shd w:val="clear" w:color="auto" w:fill="E4E4E4"/>
          </w:tcPr>
          <w:p>
            <w:pPr>
              <w:spacing w:after="0"/>
              <w:rPr>
                <w:sz w:val="21"/>
                <w:szCs w:val="21"/>
                <w:color w:val="auto"/>
              </w:rPr>
            </w:pPr>
          </w:p>
        </w:tc>
        <w:tc>
          <w:tcPr>
            <w:tcW w:w="100" w:type="dxa"/>
            <w:vAlign w:val="bottom"/>
            <w:shd w:val="clear" w:color="auto" w:fill="E4E4E4"/>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2022</w:t>
            </w:r>
          </w:p>
        </w:tc>
        <w:tc>
          <w:tcPr>
            <w:tcW w:w="100" w:type="dxa"/>
            <w:vAlign w:val="bottom"/>
            <w:tcBorders>
              <w:top w:val="single" w:sz="8" w:color="E4E4E4"/>
              <w:bottom w:val="single" w:sz="8" w:color="E4E4E4"/>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12.13</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80" w:type="dxa"/>
            <w:vAlign w:val="bottom"/>
            <w:tcBorders>
              <w:bottom w:val="single" w:sz="8" w:color="E4E4E4"/>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3,071,528</w:t>
            </w:r>
          </w:p>
        </w:tc>
        <w:tc>
          <w:tcPr>
            <w:tcW w:w="200" w:type="dxa"/>
            <w:vAlign w:val="bottom"/>
            <w:tcBorders>
              <w:bottom w:val="single" w:sz="8" w:color="E4E4E4"/>
            </w:tcBorders>
          </w:tcPr>
          <w:p>
            <w:pPr>
              <w:spacing w:after="0"/>
              <w:rPr>
                <w:sz w:val="20"/>
                <w:szCs w:val="20"/>
                <w:color w:val="auto"/>
              </w:rPr>
            </w:pPr>
          </w:p>
        </w:tc>
        <w:tc>
          <w:tcPr>
            <w:tcW w:w="100" w:type="dxa"/>
            <w:vAlign w:val="bottom"/>
            <w:tcBorders>
              <w:bottom w:val="single" w:sz="8" w:color="E4E4E4"/>
            </w:tcBorders>
            <w:vMerge w:val="continue"/>
          </w:tcPr>
          <w:p>
            <w:pPr>
              <w:spacing w:after="0"/>
              <w:rPr>
                <w:sz w:val="20"/>
                <w:szCs w:val="20"/>
                <w:color w:val="auto"/>
              </w:rPr>
            </w:pPr>
          </w:p>
        </w:tc>
        <w:tc>
          <w:tcPr>
            <w:tcW w:w="840" w:type="dxa"/>
            <w:vAlign w:val="bottom"/>
            <w:tcBorders>
              <w:bottom w:val="single" w:sz="8" w:color="E4E4E4"/>
            </w:tcBorders>
            <w:vMerge w:val="continue"/>
          </w:tcPr>
          <w:p>
            <w:pPr>
              <w:spacing w:after="0"/>
              <w:rPr>
                <w:sz w:val="20"/>
                <w:szCs w:val="20"/>
                <w:color w:val="auto"/>
              </w:rPr>
            </w:pPr>
          </w:p>
        </w:tc>
        <w:tc>
          <w:tcPr>
            <w:tcW w:w="1180" w:type="dxa"/>
            <w:vAlign w:val="bottom"/>
            <w:tcBorders>
              <w:bottom w:val="single" w:sz="8" w:color="E4E4E4"/>
            </w:tcBorders>
            <w:gridSpan w:val="2"/>
            <w:vMerge w:val="continue"/>
          </w:tcPr>
          <w:p>
            <w:pPr>
              <w:spacing w:after="0"/>
              <w:rPr>
                <w:sz w:val="20"/>
                <w:szCs w:val="20"/>
                <w:color w:val="auto"/>
              </w:rPr>
            </w:pPr>
          </w:p>
        </w:tc>
        <w:tc>
          <w:tcPr>
            <w:tcW w:w="320" w:type="dxa"/>
            <w:vAlign w:val="bottom"/>
            <w:tcBorders>
              <w:bottom w:val="single" w:sz="8" w:color="E4E4E4"/>
            </w:tcBorders>
            <w:gridSpan w:val="2"/>
            <w:vMerge w:val="continue"/>
          </w:tcPr>
          <w:p>
            <w:pPr>
              <w:spacing w:after="0"/>
              <w:rPr>
                <w:sz w:val="20"/>
                <w:szCs w:val="20"/>
                <w:color w:val="auto"/>
              </w:rPr>
            </w:pPr>
          </w:p>
        </w:tc>
        <w:tc>
          <w:tcPr>
            <w:tcW w:w="840" w:type="dxa"/>
            <w:vAlign w:val="bottom"/>
            <w:tcBorders>
              <w:bottom w:val="single" w:sz="8" w:color="E4E4E4"/>
            </w:tcBorders>
            <w:vMerge w:val="continue"/>
          </w:tcPr>
          <w:p>
            <w:pPr>
              <w:spacing w:after="0"/>
              <w:rPr>
                <w:sz w:val="20"/>
                <w:szCs w:val="20"/>
                <w:color w:val="auto"/>
              </w:rPr>
            </w:pPr>
          </w:p>
        </w:tc>
        <w:tc>
          <w:tcPr>
            <w:tcW w:w="100" w:type="dxa"/>
            <w:vAlign w:val="bottom"/>
            <w:tcBorders>
              <w:bottom w:val="single" w:sz="8" w:color="E4E4E4"/>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E4E4E4"/>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Exercisable as of December 31, 2022</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1,454,738</w:t>
            </w:r>
          </w:p>
        </w:tc>
        <w:tc>
          <w:tcPr>
            <w:tcW w:w="200" w:type="dxa"/>
            <w:vAlign w:val="bottom"/>
            <w:shd w:val="clear" w:color="auto" w:fill="E4E4E4"/>
          </w:tcPr>
          <w:p>
            <w:pPr>
              <w:spacing w:after="0"/>
              <w:rPr>
                <w:sz w:val="18"/>
                <w:szCs w:val="18"/>
                <w:color w:val="auto"/>
              </w:rPr>
            </w:pPr>
          </w:p>
        </w:tc>
        <w:tc>
          <w:tcPr>
            <w:tcW w:w="100" w:type="dxa"/>
            <w:vAlign w:val="bottom"/>
            <w:shd w:val="clear" w:color="auto" w:fill="E4E4E4"/>
          </w:tcPr>
          <w:p>
            <w:pPr>
              <w:jc w:val="right"/>
              <w:spacing w:after="0" w:line="215"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shd w:val="clear" w:color="auto" w:fill="E4E4E4"/>
          </w:tcPr>
          <w:p>
            <w:pPr>
              <w:jc w:val="right"/>
              <w:spacing w:after="0" w:line="215" w:lineRule="exact"/>
              <w:rPr>
                <w:sz w:val="20"/>
                <w:szCs w:val="20"/>
                <w:color w:val="auto"/>
              </w:rPr>
            </w:pPr>
            <w:r>
              <w:rPr>
                <w:rFonts w:ascii="Times New Roman" w:cs="Times New Roman" w:eastAsia="Times New Roman" w:hAnsi="Times New Roman"/>
                <w:sz w:val="20"/>
                <w:szCs w:val="20"/>
                <w:color w:val="auto"/>
              </w:rPr>
              <w:t>14.37</w:t>
            </w:r>
          </w:p>
        </w:tc>
        <w:tc>
          <w:tcPr>
            <w:tcW w:w="1180" w:type="dxa"/>
            <w:vAlign w:val="bottom"/>
            <w:gridSpan w:val="2"/>
            <w:shd w:val="clear" w:color="auto" w:fill="E4E4E4"/>
          </w:tcPr>
          <w:p>
            <w:pPr>
              <w:jc w:val="right"/>
              <w:spacing w:after="0" w:line="215" w:lineRule="exact"/>
              <w:rPr>
                <w:sz w:val="20"/>
                <w:szCs w:val="20"/>
                <w:color w:val="auto"/>
              </w:rPr>
            </w:pPr>
            <w:r>
              <w:rPr>
                <w:rFonts w:ascii="Times New Roman" w:cs="Times New Roman" w:eastAsia="Times New Roman" w:hAnsi="Times New Roman"/>
                <w:sz w:val="20"/>
                <w:szCs w:val="20"/>
                <w:color w:val="auto"/>
              </w:rPr>
              <w:t>6.6</w:t>
            </w:r>
          </w:p>
        </w:tc>
        <w:tc>
          <w:tcPr>
            <w:tcW w:w="320" w:type="dxa"/>
            <w:vAlign w:val="bottom"/>
            <w:gridSpan w:val="2"/>
            <w:shd w:val="clear" w:color="auto" w:fill="E4E4E4"/>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840" w:type="dxa"/>
            <w:vAlign w:val="bottom"/>
            <w:shd w:val="clear" w:color="auto" w:fill="E4E4E4"/>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0" w:type="dxa"/>
            <w:vAlign w:val="bottom"/>
            <w:shd w:val="clear" w:color="auto" w:fill="E4E4E4"/>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Vested and expected to vest as of December 31, 2022</w:t>
            </w:r>
          </w:p>
        </w:tc>
        <w:tc>
          <w:tcPr>
            <w:tcW w:w="100" w:type="dxa"/>
            <w:vAlign w:val="bottom"/>
            <w:vMerge w:val="restart"/>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12.13</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7.6</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0.3</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3,071,528</w:t>
            </w:r>
          </w:p>
        </w:tc>
        <w:tc>
          <w:tcPr>
            <w:tcW w:w="20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-1009015</wp:posOffset>
            </wp:positionV>
            <wp:extent cx="716280" cy="177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 cy="177800"/>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-564515</wp:posOffset>
            </wp:positionV>
            <wp:extent cx="716280" cy="549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 cy="549275"/>
                    </a:xfrm>
                    <a:prstGeom prst="rect">
                      <a:avLst/>
                    </a:prstGeom>
                    <a:noFill/>
                  </pic:spPr>
                </pic:pic>
              </a:graphicData>
            </a:graphic>
          </wp:anchor>
        </w:drawing>
      </w:r>
    </w:p>
    <w:p>
      <w:pPr>
        <w:spacing w:after="0" w:line="79" w:lineRule="exact"/>
        <w:rPr>
          <w:sz w:val="20"/>
          <w:szCs w:val="20"/>
          <w:color w:val="auto"/>
        </w:rPr>
      </w:pPr>
    </w:p>
    <w:p>
      <w:pPr>
        <w:ind w:left="720" w:right="300" w:hanging="360"/>
        <w:spacing w:after="0" w:line="259" w:lineRule="auto"/>
        <w:tabs>
          <w:tab w:leader="none" w:pos="72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intrinsic value is calculated as the difference between the exercise price of the underlying options and the fair value of the common stock for the options that were in the money at December 31,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2022 Option Grants</w:t>
      </w:r>
    </w:p>
    <w:p>
      <w:pPr>
        <w:spacing w:after="0" w:line="118" w:lineRule="exact"/>
        <w:rPr>
          <w:sz w:val="20"/>
          <w:szCs w:val="20"/>
          <w:color w:val="auto"/>
        </w:rPr>
      </w:pPr>
    </w:p>
    <w:p>
      <w:pPr>
        <w:ind w:right="120" w:firstLine="490"/>
        <w:spacing w:after="0" w:line="246" w:lineRule="auto"/>
        <w:rPr>
          <w:sz w:val="20"/>
          <w:szCs w:val="20"/>
          <w:color w:val="auto"/>
        </w:rPr>
      </w:pPr>
      <w:r>
        <w:rPr>
          <w:rFonts w:ascii="Times New Roman" w:cs="Times New Roman" w:eastAsia="Times New Roman" w:hAnsi="Times New Roman"/>
          <w:sz w:val="20"/>
          <w:szCs w:val="20"/>
          <w:color w:val="auto"/>
        </w:rPr>
        <w:t>During the twelve months ended December 31, 2022, the Company granted options to purchase 878,450 shares of common stock to employees and directors of the Company under the 2020 Plan. The options have an exercise price equal to the closing stock price as of the grant date. Of the 878,450 options granted in 2022, 836,950 were granted to employees and vest over four years with 25% vesting on the first anniversary of the grant and the remainder vesting in equal monthly installments thereafter. The remaining 41,500 options were annual grants to the Company's directors and vest one year from the grant date. The weighted-average grant date fair value of options granted during the twelve months ended December 31, 2022 was $5.21.</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January 2023 Option Grants</w:t>
      </w:r>
    </w:p>
    <w:p>
      <w:pPr>
        <w:spacing w:after="0" w:line="118" w:lineRule="exact"/>
        <w:rPr>
          <w:sz w:val="20"/>
          <w:szCs w:val="20"/>
          <w:color w:val="auto"/>
        </w:rPr>
      </w:pPr>
    </w:p>
    <w:p>
      <w:pPr>
        <w:ind w:right="60" w:firstLine="490"/>
        <w:spacing w:after="0" w:line="249" w:lineRule="auto"/>
        <w:rPr>
          <w:sz w:val="20"/>
          <w:szCs w:val="20"/>
          <w:color w:val="auto"/>
        </w:rPr>
      </w:pPr>
      <w:r>
        <w:rPr>
          <w:rFonts w:ascii="Times New Roman" w:cs="Times New Roman" w:eastAsia="Times New Roman" w:hAnsi="Times New Roman"/>
          <w:sz w:val="20"/>
          <w:szCs w:val="20"/>
          <w:color w:val="auto"/>
        </w:rPr>
        <w:t>On January 31, 2023, the Company granted options to purchase 1,031,000 shares of common stock and 650,000 shares of restricted stock to employees under the 2020 Plan. The options have an exercise price equal to the closing stock price as of the grant date, and vest over four years, with 25% vesting on the first anniversary of the grant and the remainder vesting in equal monthly installments thereafter. The shares of restricted stock which will vest annually over four years.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Stock-Based Compensation</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Stock-based compensation expense was classified in the consolidated statements of operations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4"/>
        </w:trPr>
        <w:tc>
          <w:tcPr>
            <w:tcW w:w="6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74"/>
        </w:trPr>
        <w:tc>
          <w:tcPr>
            <w:tcW w:w="6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jc w:val="right"/>
              <w:ind w:right="85"/>
              <w:spacing w:after="0" w:line="174" w:lineRule="exact"/>
              <w:rPr>
                <w:sz w:val="20"/>
                <w:szCs w:val="20"/>
                <w:color w:val="auto"/>
              </w:rPr>
            </w:pPr>
            <w:r>
              <w:rPr>
                <w:rFonts w:ascii="Times New Roman" w:cs="Times New Roman" w:eastAsia="Times New Roman" w:hAnsi="Times New Roman"/>
                <w:sz w:val="16"/>
                <w:szCs w:val="16"/>
                <w:b w:val="1"/>
                <w:bCs w:val="1"/>
                <w:color w:val="auto"/>
              </w:rPr>
              <w:t>(in</w:t>
            </w:r>
          </w:p>
        </w:tc>
        <w:tc>
          <w:tcPr>
            <w:tcW w:w="1060" w:type="dxa"/>
            <w:vAlign w:val="bottom"/>
            <w:gridSpan w:val="2"/>
          </w:tcPr>
          <w:p>
            <w:pPr>
              <w:jc w:val="center"/>
              <w:ind w:right="370"/>
              <w:spacing w:after="0" w:line="174" w:lineRule="exact"/>
              <w:rPr>
                <w:sz w:val="20"/>
                <w:szCs w:val="20"/>
                <w:color w:val="auto"/>
              </w:rPr>
            </w:pPr>
            <w:r>
              <w:rPr>
                <w:rFonts w:ascii="Times New Roman" w:cs="Times New Roman" w:eastAsia="Times New Roman" w:hAnsi="Times New Roman"/>
                <w:sz w:val="16"/>
                <w:szCs w:val="16"/>
                <w:b w:val="1"/>
                <w:bCs w:val="1"/>
                <w:color w:val="auto"/>
                <w:w w:val="80"/>
              </w:rPr>
              <w:t>thousands)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30"/>
        </w:trPr>
        <w:tc>
          <w:tcPr>
            <w:tcW w:w="6160" w:type="dxa"/>
            <w:vAlign w:val="bottom"/>
            <w:tcBorders>
              <w:bottom w:val="single" w:sz="8" w:color="E4E4E4"/>
            </w:tcBorders>
            <w:shd w:val="clear" w:color="auto" w:fill="E4E4E4"/>
          </w:tcPr>
          <w:p>
            <w:pPr>
              <w:spacing w:after="0"/>
              <w:rPr>
                <w:sz w:val="20"/>
                <w:szCs w:val="20"/>
                <w:color w:val="auto"/>
              </w:rPr>
            </w:pPr>
            <w:r>
              <w:rPr>
                <w:rFonts w:ascii="Times New Roman" w:cs="Times New Roman" w:eastAsia="Times New Roman" w:hAnsi="Times New Roman"/>
                <w:sz w:val="20"/>
                <w:szCs w:val="20"/>
                <w:color w:val="auto"/>
              </w:rPr>
              <w:t>Research and development</w:t>
            </w:r>
          </w:p>
        </w:tc>
        <w:tc>
          <w:tcPr>
            <w:tcW w:w="980" w:type="dxa"/>
            <w:vAlign w:val="bottom"/>
            <w:gridSpan w:val="2"/>
            <w:shd w:val="clear" w:color="auto" w:fill="E4E4E4"/>
          </w:tcPr>
          <w:p>
            <w:pPr>
              <w:jc w:val="right"/>
              <w:ind w:right="633"/>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w w:val="97"/>
              </w:rPr>
              <w:t>2,771</w:t>
            </w:r>
          </w:p>
        </w:tc>
        <w:tc>
          <w:tcPr>
            <w:tcW w:w="1060" w:type="dxa"/>
            <w:vAlign w:val="bottom"/>
            <w:gridSpan w:val="2"/>
            <w:shd w:val="clear" w:color="auto" w:fill="E4E4E4"/>
          </w:tcPr>
          <w:p>
            <w:pPr>
              <w:jc w:val="center"/>
              <w:ind w:right="390"/>
              <w:spacing w:after="0"/>
              <w:rPr>
                <w:sz w:val="20"/>
                <w:szCs w:val="20"/>
                <w:color w:val="auto"/>
              </w:rPr>
            </w:pPr>
            <w:r>
              <w:rPr>
                <w:rFonts w:ascii="Times New Roman" w:cs="Times New Roman" w:eastAsia="Times New Roman" w:hAnsi="Times New Roman"/>
                <w:sz w:val="20"/>
                <w:szCs w:val="20"/>
                <w:color w:val="auto"/>
                <w:w w:val="99"/>
              </w:rPr>
              <w:t>$</w:t>
            </w:r>
          </w:p>
        </w:tc>
        <w:tc>
          <w:tcPr>
            <w:tcW w:w="46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w w:val="97"/>
              </w:rPr>
              <w:t>2,104</w:t>
            </w:r>
          </w:p>
        </w:tc>
        <w:tc>
          <w:tcPr>
            <w:tcW w:w="100" w:type="dxa"/>
            <w:vAlign w:val="bottom"/>
            <w:shd w:val="clear" w:color="auto" w:fill="E4E4E4"/>
          </w:tcPr>
          <w:p>
            <w:pPr>
              <w:spacing w:after="0"/>
              <w:rPr>
                <w:sz w:val="19"/>
                <w:szCs w:val="19"/>
                <w:color w:val="auto"/>
              </w:rPr>
            </w:pPr>
          </w:p>
        </w:tc>
        <w:tc>
          <w:tcPr>
            <w:tcW w:w="140" w:type="dxa"/>
            <w:vAlign w:val="bottom"/>
          </w:tcPr>
          <w:p>
            <w:pPr>
              <w:spacing w:after="0"/>
              <w:rPr>
                <w:sz w:val="19"/>
                <w:szCs w:val="19"/>
                <w:color w:val="auto"/>
              </w:rPr>
            </w:pPr>
          </w:p>
        </w:tc>
      </w:tr>
      <w:tr>
        <w:trPr>
          <w:trHeight w:val="210"/>
        </w:trPr>
        <w:tc>
          <w:tcPr>
            <w:tcW w:w="6160" w:type="dxa"/>
            <w:vAlign w:val="bottom"/>
            <w:tcBorders>
              <w:bottom w:val="single" w:sz="8" w:color="E4E4E4"/>
            </w:tcBorders>
          </w:tcPr>
          <w:p>
            <w:pPr>
              <w:spacing w:after="0" w:line="210" w:lineRule="exact"/>
              <w:rPr>
                <w:sz w:val="20"/>
                <w:szCs w:val="20"/>
                <w:color w:val="auto"/>
              </w:rPr>
            </w:pPr>
            <w:r>
              <w:rPr>
                <w:rFonts w:ascii="Times New Roman" w:cs="Times New Roman" w:eastAsia="Times New Roman" w:hAnsi="Times New Roman"/>
                <w:sz w:val="20"/>
                <w:szCs w:val="20"/>
                <w:color w:val="auto"/>
              </w:rPr>
              <w:t>General and administrative</w:t>
            </w:r>
          </w:p>
        </w:tc>
        <w:tc>
          <w:tcPr>
            <w:tcW w:w="160" w:type="dxa"/>
            <w:vAlign w:val="bottom"/>
            <w:tcBorders>
              <w:bottom w:val="single" w:sz="8" w:color="E4E4E4"/>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97"/>
              </w:rPr>
              <w:t>3,848</w:t>
            </w:r>
          </w:p>
        </w:tc>
        <w:tc>
          <w:tcPr>
            <w:tcW w:w="240" w:type="dxa"/>
            <w:vAlign w:val="bottom"/>
            <w:tcBorders>
              <w:bottom w:val="single" w:sz="8" w:color="E4E4E4"/>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97"/>
              </w:rPr>
              <w:t>3,369</w:t>
            </w:r>
          </w:p>
        </w:tc>
        <w:tc>
          <w:tcPr>
            <w:tcW w:w="100" w:type="dxa"/>
            <w:vAlign w:val="bottom"/>
            <w:tcBorders>
              <w:bottom w:val="single" w:sz="8" w:color="E4E4E4"/>
            </w:tcBorders>
          </w:tcPr>
          <w:p>
            <w:pPr>
              <w:spacing w:after="0"/>
              <w:rPr>
                <w:sz w:val="18"/>
                <w:szCs w:val="18"/>
                <w:color w:val="auto"/>
              </w:rPr>
            </w:pPr>
          </w:p>
        </w:tc>
        <w:tc>
          <w:tcPr>
            <w:tcW w:w="140" w:type="dxa"/>
            <w:vAlign w:val="bottom"/>
          </w:tcPr>
          <w:p>
            <w:pPr>
              <w:spacing w:after="0"/>
              <w:rPr>
                <w:sz w:val="18"/>
                <w:szCs w:val="18"/>
                <w:color w:val="auto"/>
              </w:rPr>
            </w:pPr>
          </w:p>
        </w:tc>
      </w:tr>
      <w:tr>
        <w:trPr>
          <w:trHeight w:val="220"/>
        </w:trPr>
        <w:tc>
          <w:tcPr>
            <w:tcW w:w="6160" w:type="dxa"/>
            <w:vAlign w:val="bottom"/>
            <w:shd w:val="clear" w:color="auto" w:fill="E4E4E4"/>
          </w:tcPr>
          <w:p>
            <w:pPr>
              <w:spacing w:after="0"/>
              <w:rPr>
                <w:sz w:val="19"/>
                <w:szCs w:val="19"/>
                <w:color w:val="auto"/>
              </w:rPr>
            </w:pPr>
          </w:p>
        </w:tc>
        <w:tc>
          <w:tcPr>
            <w:tcW w:w="160" w:type="dxa"/>
            <w:vAlign w:val="bottom"/>
            <w:shd w:val="clear" w:color="auto" w:fill="E4E4E4"/>
          </w:tcPr>
          <w:p>
            <w:pPr>
              <w:spacing w:after="0"/>
              <w:rPr>
                <w:sz w:val="19"/>
                <w:szCs w:val="19"/>
                <w:color w:val="auto"/>
              </w:rPr>
            </w:pPr>
          </w:p>
        </w:tc>
        <w:tc>
          <w:tcPr>
            <w:tcW w:w="820" w:type="dxa"/>
            <w:vAlign w:val="bottom"/>
            <w:tcBorders>
              <w:bottom w:val="single" w:sz="8" w:color="auto"/>
            </w:tcBorders>
            <w:shd w:val="clear" w:color="auto" w:fill="E4E4E4"/>
          </w:tcPr>
          <w:p>
            <w:pPr>
              <w:jc w:val="right"/>
              <w:ind w:right="633"/>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46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6,619</w:t>
            </w:r>
          </w:p>
        </w:tc>
        <w:tc>
          <w:tcPr>
            <w:tcW w:w="240" w:type="dxa"/>
            <w:vAlign w:val="bottom"/>
            <w:shd w:val="clear" w:color="auto" w:fill="E4E4E4"/>
          </w:tcPr>
          <w:p>
            <w:pPr>
              <w:spacing w:after="0"/>
              <w:rPr>
                <w:sz w:val="19"/>
                <w:szCs w:val="19"/>
                <w:color w:val="auto"/>
              </w:rPr>
            </w:pPr>
          </w:p>
        </w:tc>
        <w:tc>
          <w:tcPr>
            <w:tcW w:w="820" w:type="dxa"/>
            <w:vAlign w:val="bottom"/>
            <w:tcBorders>
              <w:bottom w:val="single" w:sz="8" w:color="auto"/>
            </w:tcBorders>
            <w:shd w:val="clear" w:color="auto" w:fill="E4E4E4"/>
          </w:tcPr>
          <w:p>
            <w:pPr>
              <w:jc w:val="center"/>
              <w:ind w:right="630"/>
              <w:spacing w:after="0" w:line="220" w:lineRule="exact"/>
              <w:rPr>
                <w:sz w:val="20"/>
                <w:szCs w:val="20"/>
                <w:color w:val="auto"/>
              </w:rPr>
            </w:pPr>
            <w:r>
              <w:rPr>
                <w:rFonts w:ascii="Times New Roman" w:cs="Times New Roman" w:eastAsia="Times New Roman" w:hAnsi="Times New Roman"/>
                <w:sz w:val="20"/>
                <w:szCs w:val="20"/>
                <w:color w:val="auto"/>
                <w:w w:val="99"/>
              </w:rPr>
              <w:t>$</w:t>
            </w:r>
          </w:p>
        </w:tc>
        <w:tc>
          <w:tcPr>
            <w:tcW w:w="46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w w:val="97"/>
              </w:rPr>
              <w:t>5,473</w:t>
            </w:r>
          </w:p>
        </w:tc>
        <w:tc>
          <w:tcPr>
            <w:tcW w:w="100" w:type="dxa"/>
            <w:vAlign w:val="bottom"/>
            <w:shd w:val="clear" w:color="auto" w:fill="E4E4E4"/>
          </w:tcPr>
          <w:p>
            <w:pPr>
              <w:spacing w:after="0"/>
              <w:rPr>
                <w:sz w:val="19"/>
                <w:szCs w:val="19"/>
                <w:color w:val="auto"/>
              </w:rPr>
            </w:pPr>
          </w:p>
        </w:tc>
        <w:tc>
          <w:tcPr>
            <w:tcW w:w="14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-491490</wp:posOffset>
            </wp:positionV>
            <wp:extent cx="5981700" cy="330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81700" cy="330200"/>
                    </a:xfrm>
                    <a:prstGeom prst="rect">
                      <a:avLst/>
                    </a:prstGeom>
                    <a:noFill/>
                  </pic:spPr>
                </pic:pic>
              </a:graphicData>
            </a:graphic>
          </wp:anchor>
        </w:drawing>
      </w:r>
    </w:p>
    <w:p>
      <w:pPr>
        <w:spacing w:after="0" w:line="79" w:lineRule="exact"/>
        <w:rPr>
          <w:sz w:val="20"/>
          <w:szCs w:val="20"/>
          <w:color w:val="auto"/>
        </w:rPr>
      </w:pPr>
    </w:p>
    <w:p>
      <w:pPr>
        <w:ind w:right="340" w:firstLine="490"/>
        <w:spacing w:after="0" w:line="279" w:lineRule="auto"/>
        <w:rPr>
          <w:sz w:val="20"/>
          <w:szCs w:val="20"/>
          <w:color w:val="auto"/>
        </w:rPr>
      </w:pPr>
      <w:r>
        <w:rPr>
          <w:rFonts w:ascii="Times New Roman" w:cs="Times New Roman" w:eastAsia="Times New Roman" w:hAnsi="Times New Roman"/>
          <w:sz w:val="20"/>
          <w:szCs w:val="20"/>
          <w:color w:val="auto"/>
        </w:rPr>
        <w:t>As of December 31, 2022, total unrecognized compensation expense related to unvested stock options was $11.8 million, which is expected to be recognized over a weighted average period of 2.14 years.</w:t>
      </w:r>
    </w:p>
    <w:p>
      <w:pPr>
        <w:sectPr>
          <w:pgSz w:w="11880" w:h="15480" w:orient="portrait"/>
          <w:cols w:equalWidth="0" w:num="1">
            <w:col w:w="9360"/>
          </w:cols>
          <w:pgMar w:left="1260" w:top="1217" w:right="12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1880" w:h="15480" w:orient="portrait"/>
          <w:cols w:equalWidth="0" w:num="1">
            <w:col w:w="9360"/>
          </w:cols>
          <w:pgMar w:left="1260" w:top="1217" w:right="1260" w:bottom="8" w:gutter="0" w:footer="0" w:header="0"/>
          <w:type w:val="continuous"/>
        </w:sectPr>
      </w:pPr>
    </w:p>
    <w:bookmarkStart w:id="115" w:name="page116"/>
    <w:bookmarkEnd w:id="115"/>
    <w:p>
      <w:pPr>
        <w:ind w:right="6020"/>
        <w:spacing w:after="0" w:line="386" w:lineRule="auto"/>
        <w:tabs>
          <w:tab w:leader="none" w:pos="490"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Commitments and Contingencies </w:t>
      </w:r>
      <w:r>
        <w:rPr>
          <w:rFonts w:ascii="Times New Roman" w:cs="Times New Roman" w:eastAsia="Times New Roman" w:hAnsi="Times New Roman"/>
          <w:sz w:val="19"/>
          <w:szCs w:val="19"/>
          <w:b w:val="1"/>
          <w:bCs w:val="1"/>
          <w:i w:val="1"/>
          <w:iCs w:val="1"/>
          <w:color w:val="auto"/>
        </w:rPr>
        <w:t>Intellectual Property Licenses</w:t>
      </w:r>
    </w:p>
    <w:p>
      <w:pPr>
        <w:ind w:right="60" w:firstLine="490"/>
        <w:spacing w:after="0" w:line="246" w:lineRule="auto"/>
        <w:rPr>
          <w:sz w:val="20"/>
          <w:szCs w:val="20"/>
          <w:color w:val="auto"/>
        </w:rPr>
      </w:pPr>
      <w:r>
        <w:rPr>
          <w:rFonts w:ascii="Times New Roman" w:cs="Times New Roman" w:eastAsia="Times New Roman" w:hAnsi="Times New Roman"/>
          <w:sz w:val="20"/>
          <w:szCs w:val="20"/>
          <w:color w:val="auto"/>
        </w:rPr>
        <w:t>The Company is party to an exclusive License Agreement (the “WFUHS License”), dated November 30, 2016, as amended, with Wake Forest University Health Sciences (“WFUHS”) and an exclusive License Agreement (the “IU License”), dated November 30, 2016, as amended, with Indiana University (“IU”). Such agreements provide for a transferable, worldwide license to certain patent rights regarding technology used by the Company with respect to the development of CTI-1601. Both agreements continue from their effective date through the last to expire of the applicable agreement’s licensed patents unless earlier terminated by either party in accordance with their terms.</w:t>
      </w:r>
    </w:p>
    <w:p>
      <w:pPr>
        <w:spacing w:after="0" w:line="80" w:lineRule="exact"/>
        <w:rPr>
          <w:sz w:val="20"/>
          <w:szCs w:val="20"/>
          <w:color w:val="auto"/>
        </w:rPr>
      </w:pPr>
    </w:p>
    <w:p>
      <w:pPr>
        <w:ind w:right="60" w:firstLine="490"/>
        <w:spacing w:after="0" w:line="243" w:lineRule="auto"/>
        <w:rPr>
          <w:sz w:val="20"/>
          <w:szCs w:val="20"/>
          <w:color w:val="auto"/>
        </w:rPr>
      </w:pPr>
      <w:r>
        <w:rPr>
          <w:rFonts w:ascii="Times New Roman" w:cs="Times New Roman" w:eastAsia="Times New Roman" w:hAnsi="Times New Roman"/>
          <w:sz w:val="20"/>
          <w:szCs w:val="20"/>
          <w:color w:val="auto"/>
        </w:rPr>
        <w:t>In partial consideration for the right and license granted under these agreements, the Company will pay each of WFUHS and IU a royalty of a low single digit percentage of net sales of licensed products depending on whether there is a valid patent covering such products. As additional consideration for these agreements, the Company is obligated to pay each of WFUHS and IU certain milestone payments of up to $2.6 million in the aggregate upon the achievement of certain developmental milestones, which commenced with the enrollment of the first patient in a Phase 1 clinical trial. The Company enrolled the first patient in its SAD trial on December 11, 2019 and paid WFUHS and IU less than $0.1 million. The Company will also pay each of WFUHS and IU sublicensing fees ranging from a high-single digit to a low double-digit percentage of sublicense consideration depending on the Company’s achievement of certain regulatory milestones as of the time of receipt of the sublicense consideration. The Company is also obligated to reimburse WFUHS and IU for patent-related expenses. In the event that the Company disputes the validity of any of the licensed patents, the royalty rate would be tripled during such dispute. The Company is also obligated to pay to IU a minimum annual royalty of less than $0.1 million per annum.</w:t>
      </w:r>
    </w:p>
    <w:p>
      <w:pPr>
        <w:spacing w:after="0" w:line="86" w:lineRule="exact"/>
        <w:rPr>
          <w:sz w:val="20"/>
          <w:szCs w:val="20"/>
          <w:color w:val="auto"/>
        </w:rPr>
      </w:pPr>
    </w:p>
    <w:p>
      <w:pPr>
        <w:ind w:firstLine="490"/>
        <w:spacing w:after="0" w:line="253" w:lineRule="auto"/>
        <w:rPr>
          <w:sz w:val="20"/>
          <w:szCs w:val="20"/>
          <w:color w:val="auto"/>
        </w:rPr>
      </w:pPr>
      <w:r>
        <w:rPr>
          <w:rFonts w:ascii="Times New Roman" w:cs="Times New Roman" w:eastAsia="Times New Roman" w:hAnsi="Times New Roman"/>
          <w:sz w:val="20"/>
          <w:szCs w:val="20"/>
          <w:color w:val="auto"/>
        </w:rPr>
        <w:t>In the event that the Company is required to pay IU consideration, then the Company may deduct 20% of such IU consideration on a dollar-for-dollar basis from the consideration due to WFUHS. In the event that the Company is required to pay WFUHS consideration, then the Company may deduct 60% of such WFUHS consideration on a dollar-for-dollar basis from the consideration due to IU.</w:t>
      </w:r>
    </w:p>
    <w:p>
      <w:pPr>
        <w:spacing w:after="0" w:line="70" w:lineRule="exact"/>
        <w:rPr>
          <w:sz w:val="20"/>
          <w:szCs w:val="20"/>
          <w:color w:val="auto"/>
        </w:rPr>
      </w:pPr>
    </w:p>
    <w:p>
      <w:pPr>
        <w:ind w:right="140" w:firstLine="490"/>
        <w:spacing w:after="0" w:line="259" w:lineRule="auto"/>
        <w:rPr>
          <w:sz w:val="20"/>
          <w:szCs w:val="20"/>
          <w:color w:val="auto"/>
        </w:rPr>
      </w:pPr>
      <w:r>
        <w:rPr>
          <w:rFonts w:ascii="Times New Roman" w:cs="Times New Roman" w:eastAsia="Times New Roman" w:hAnsi="Times New Roman"/>
          <w:sz w:val="20"/>
          <w:szCs w:val="20"/>
          <w:color w:val="auto"/>
        </w:rPr>
        <w:t>In 2022, the Company initiated dosing of a phase 2 study. Pursuant to the terms of both the WFUHS License and the IU License, the company recognized milestone expense of $0.3 million within research and development expenses.</w:t>
      </w:r>
    </w:p>
    <w:p>
      <w:pPr>
        <w:spacing w:after="0" w:line="65" w:lineRule="exact"/>
        <w:rPr>
          <w:sz w:val="20"/>
          <w:szCs w:val="20"/>
          <w:color w:val="auto"/>
        </w:rPr>
      </w:pPr>
    </w:p>
    <w:p>
      <w:pPr>
        <w:ind w:right="340" w:firstLine="490"/>
        <w:spacing w:after="0" w:line="279" w:lineRule="auto"/>
        <w:rPr>
          <w:sz w:val="20"/>
          <w:szCs w:val="20"/>
          <w:color w:val="auto"/>
        </w:rPr>
      </w:pPr>
      <w:r>
        <w:rPr>
          <w:rFonts w:ascii="Times New Roman" w:cs="Times New Roman" w:eastAsia="Times New Roman" w:hAnsi="Times New Roman"/>
          <w:sz w:val="20"/>
          <w:szCs w:val="20"/>
          <w:color w:val="auto"/>
        </w:rPr>
        <w:t>Both agreements continue from their effective date through the last to expire of the licensed patents unless earlier terminated by either party in accordance with their terms.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Leases</w:t>
      </w:r>
    </w:p>
    <w:p>
      <w:pPr>
        <w:spacing w:after="0" w:line="118"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auto"/>
        </w:rPr>
        <w:t>On May 28, 2020, the Company acquired a non-cancellable operating lease for approximately 17,705 square feet of office space (the “Premises”). The lease expires on October 30, 2029. As part of the agreement, the Company is required to maintain a letter of credit, which upon signing was $1.3 million and is classified as restricted cash within the consolidated financial statements. In addition to the base rent, the Company is also responsible for its share of operating expenses, electricity and real estate taxes, which costs are not included in the determination of the leases’ right-of-use assets or lease liabilities. The right-of-use asset is being amortized to other income/(expense) over the remaining lease term as a result of the sublease described below.</w:t>
      </w:r>
    </w:p>
    <w:p>
      <w:pPr>
        <w:spacing w:after="0" w:line="80" w:lineRule="exact"/>
        <w:rPr>
          <w:sz w:val="20"/>
          <w:szCs w:val="20"/>
          <w:color w:val="auto"/>
        </w:rPr>
      </w:pPr>
    </w:p>
    <w:p>
      <w:pPr>
        <w:ind w:firstLine="490"/>
        <w:spacing w:after="0" w:line="249" w:lineRule="auto"/>
        <w:rPr>
          <w:sz w:val="20"/>
          <w:szCs w:val="20"/>
          <w:color w:val="auto"/>
        </w:rPr>
      </w:pPr>
      <w:r>
        <w:rPr>
          <w:rFonts w:ascii="Times New Roman" w:cs="Times New Roman" w:eastAsia="Times New Roman" w:hAnsi="Times New Roman"/>
          <w:sz w:val="20"/>
          <w:szCs w:val="20"/>
          <w:color w:val="auto"/>
        </w:rPr>
        <w:t>On October 27, 2020, the Company entered into a sublease agreement (the “Sublease”) with Massachusetts Municipal Association, Inc. (the “Subtenant”), whereby the Company sublet the entire Premises to the Subtenant. The initial term of the Sublease commenced on December 4, 2020 and continues until October 30, 2029. In connection with the Sublease, the Company evaluated the need for impairment under ASC 360 and determined there was no impairment.</w:t>
      </w:r>
    </w:p>
    <w:p>
      <w:pPr>
        <w:sectPr>
          <w:pgSz w:w="11880" w:h="15480" w:orient="portrait"/>
          <w:cols w:equalWidth="0" w:num="1">
            <w:col w:w="9340"/>
          </w:cols>
          <w:pgMar w:left="1260" w:top="1235" w:right="128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9340"/>
          </w:cols>
          <w:pgMar w:left="1260" w:top="1235" w:right="1280" w:bottom="8" w:gutter="0" w:footer="0" w:header="0"/>
          <w:type w:val="continuous"/>
        </w:sectPr>
      </w:pPr>
    </w:p>
    <w:bookmarkStart w:id="116" w:name="page117"/>
    <w:bookmarkEnd w:id="116"/>
    <w:p>
      <w:pPr>
        <w:ind w:right="20" w:firstLine="490"/>
        <w:spacing w:after="0" w:line="244" w:lineRule="auto"/>
        <w:rPr>
          <w:sz w:val="20"/>
          <w:szCs w:val="20"/>
          <w:color w:val="auto"/>
        </w:rPr>
      </w:pPr>
      <w:r>
        <w:rPr>
          <w:rFonts w:ascii="Times New Roman" w:cs="Times New Roman" w:eastAsia="Times New Roman" w:hAnsi="Times New Roman"/>
          <w:sz w:val="20"/>
          <w:szCs w:val="20"/>
          <w:color w:val="auto"/>
        </w:rPr>
        <w:t>The Sublease provided for an initial annual base rent of $0.8 million, which increases annually up to a maximum annual base rent of $1.0 million. The Subtenant also is responsible for paying to the Company future increases in operating costs (commencing on January 1, 2022), future increases in annual tax costs (commencing July 1, 2021) and all utility costs (commencing March 1, 2021) attributable to the Premises during the term of the Sublease. As part of the Sublease, the subtenant deposited a letter of credit in the amount of $0.8 million to assure their performance under the sublease. If there are no uncured events of default under the sublease, the amount of this security deposit decreases over time to $0.4 million on the sixth anniversary of the Sublease. The Company records sublease income, lease expense and depreciation on the sublet assets on this sublease on a straight-line basis as a component of other income/(expense).</w:t>
      </w:r>
    </w:p>
    <w:p>
      <w:pPr>
        <w:spacing w:after="0" w:line="86" w:lineRule="exact"/>
        <w:rPr>
          <w:sz w:val="20"/>
          <w:szCs w:val="20"/>
          <w:color w:val="auto"/>
        </w:rPr>
      </w:pPr>
    </w:p>
    <w:p>
      <w:pPr>
        <w:ind w:right="20" w:firstLine="490"/>
        <w:spacing w:after="0" w:line="246" w:lineRule="auto"/>
        <w:rPr>
          <w:sz w:val="20"/>
          <w:szCs w:val="20"/>
          <w:color w:val="auto"/>
        </w:rPr>
      </w:pPr>
      <w:r>
        <w:rPr>
          <w:rFonts w:ascii="Times New Roman" w:cs="Times New Roman" w:eastAsia="Times New Roman" w:hAnsi="Times New Roman"/>
          <w:sz w:val="20"/>
          <w:szCs w:val="20"/>
          <w:color w:val="auto"/>
        </w:rPr>
        <w:t>On November 5, 2018, the Company entered into an operating lease for office and lab space in Philadelphia, Pennsylvania, effective as of January 1, 2019, and expiring on December 31, 2020 with an option to extend the lease for two additional years. On August 4, 2020, the Company executed the first option to extend the lease for an additional year, expiring on December 31, 2021. On August 9, 2021, the Company executed the remaining option to extend the lease for an additional year, expiring on December 31, 2022. On January 3, 2023, the Company entered into a one-year extension of this lease. The Company has determined this lease extension qualifies as a short-term lease and have applied the accounting policy election to not record the related right-of-use asset and lease liabilities.</w:t>
      </w:r>
    </w:p>
    <w:p>
      <w:pPr>
        <w:spacing w:after="0" w:line="80" w:lineRule="exact"/>
        <w:rPr>
          <w:sz w:val="20"/>
          <w:szCs w:val="20"/>
          <w:color w:val="auto"/>
        </w:rPr>
      </w:pPr>
    </w:p>
    <w:p>
      <w:pPr>
        <w:ind w:right="120" w:firstLine="490"/>
        <w:spacing w:after="0" w:line="253" w:lineRule="auto"/>
        <w:rPr>
          <w:sz w:val="20"/>
          <w:szCs w:val="20"/>
          <w:color w:val="auto"/>
        </w:rPr>
      </w:pPr>
      <w:r>
        <w:rPr>
          <w:rFonts w:ascii="Times New Roman" w:cs="Times New Roman" w:eastAsia="Times New Roman" w:hAnsi="Times New Roman"/>
          <w:sz w:val="20"/>
          <w:szCs w:val="20"/>
          <w:color w:val="auto"/>
        </w:rPr>
        <w:t>Expense arising from operating leases was $0.3 million during the twelve months ended December 31, 2022 and 2021, respectively. For operating leases, the weighted-average remaining lease term for leases at December 31, 2022 and 2021 was 6.8 and 7.6 years, respectively. For operating leases, the weighted average discount rate for leases at December 31, 2022 and 2021 was 11.0%. The Company has not entered into any financing leases.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auto"/>
        </w:rPr>
        <w:t>Maturities of lease liabilities due under these lease agreements as of December 31, 2022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169545</wp:posOffset>
            </wp:positionV>
            <wp:extent cx="5982335" cy="272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82335" cy="27241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260" w:type="dxa"/>
            <w:vAlign w:val="bottom"/>
          </w:tcPr>
          <w:p>
            <w:pPr>
              <w:spacing w:after="0"/>
              <w:rPr>
                <w:sz w:val="16"/>
                <w:szCs w:val="16"/>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Operating</w:t>
            </w:r>
          </w:p>
        </w:tc>
      </w:tr>
      <w:tr>
        <w:trPr>
          <w:trHeight w:val="181"/>
        </w:trPr>
        <w:tc>
          <w:tcPr>
            <w:tcW w:w="1840" w:type="dxa"/>
            <w:vAlign w:val="bottom"/>
            <w:tcBorders>
              <w:top w:val="single" w:sz="8" w:color="auto"/>
            </w:tcBorders>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(in thousands)</w:t>
            </w:r>
          </w:p>
        </w:tc>
        <w:tc>
          <w:tcPr>
            <w:tcW w:w="5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gridSpan w:val="2"/>
          </w:tcPr>
          <w:p>
            <w:pPr>
              <w:jc w:val="center"/>
              <w:ind w:right="360"/>
              <w:spacing w:after="0" w:line="181" w:lineRule="exact"/>
              <w:rPr>
                <w:sz w:val="20"/>
                <w:szCs w:val="20"/>
                <w:color w:val="auto"/>
              </w:rPr>
            </w:pPr>
            <w:r>
              <w:rPr>
                <w:rFonts w:ascii="Times New Roman" w:cs="Times New Roman" w:eastAsia="Times New Roman" w:hAnsi="Times New Roman"/>
                <w:sz w:val="16"/>
                <w:szCs w:val="16"/>
                <w:b w:val="1"/>
                <w:bCs w:val="1"/>
                <w:color w:val="auto"/>
              </w:rPr>
              <w:t>Leases</w:t>
            </w:r>
          </w:p>
        </w:tc>
      </w:tr>
      <w:tr>
        <w:trPr>
          <w:trHeight w:val="230"/>
        </w:trPr>
        <w:tc>
          <w:tcPr>
            <w:tcW w:w="18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2023</w:t>
            </w:r>
          </w:p>
        </w:tc>
        <w:tc>
          <w:tcPr>
            <w:tcW w:w="5840" w:type="dxa"/>
            <w:vAlign w:val="bottom"/>
            <w:shd w:val="clear" w:color="auto" w:fill="E4E4E4"/>
          </w:tcPr>
          <w:p>
            <w:pPr>
              <w:spacing w:after="0"/>
              <w:rPr>
                <w:sz w:val="19"/>
                <w:szCs w:val="19"/>
                <w:color w:val="auto"/>
              </w:rPr>
            </w:pPr>
          </w:p>
        </w:tc>
        <w:tc>
          <w:tcPr>
            <w:tcW w:w="260" w:type="dxa"/>
            <w:vAlign w:val="bottom"/>
            <w:shd w:val="clear" w:color="auto" w:fill="E4E4E4"/>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1,147</w:t>
            </w:r>
          </w:p>
        </w:tc>
        <w:tc>
          <w:tcPr>
            <w:tcW w:w="100" w:type="dxa"/>
            <w:vAlign w:val="bottom"/>
            <w:shd w:val="clear" w:color="auto" w:fill="E4E4E4"/>
          </w:tcPr>
          <w:p>
            <w:pPr>
              <w:spacing w:after="0"/>
              <w:rPr>
                <w:sz w:val="19"/>
                <w:szCs w:val="19"/>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5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w:t>
            </w:r>
          </w:p>
        </w:tc>
        <w:tc>
          <w:tcPr>
            <w:tcW w:w="100" w:type="dxa"/>
            <w:vAlign w:val="bottom"/>
          </w:tcPr>
          <w:p>
            <w:pPr>
              <w:spacing w:after="0"/>
              <w:rPr>
                <w:sz w:val="19"/>
                <w:szCs w:val="19"/>
                <w:color w:val="auto"/>
              </w:rPr>
            </w:pPr>
          </w:p>
        </w:tc>
      </w:tr>
      <w:tr>
        <w:trPr>
          <w:trHeight w:val="230"/>
        </w:trPr>
        <w:tc>
          <w:tcPr>
            <w:tcW w:w="18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2025</w:t>
            </w:r>
          </w:p>
        </w:tc>
        <w:tc>
          <w:tcPr>
            <w:tcW w:w="58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1,083</w:t>
            </w:r>
          </w:p>
        </w:tc>
        <w:tc>
          <w:tcPr>
            <w:tcW w:w="100" w:type="dxa"/>
            <w:vAlign w:val="bottom"/>
            <w:shd w:val="clear" w:color="auto" w:fill="E4E4E4"/>
          </w:tcPr>
          <w:p>
            <w:pPr>
              <w:spacing w:after="0"/>
              <w:rPr>
                <w:sz w:val="19"/>
                <w:szCs w:val="19"/>
                <w:color w:val="auto"/>
              </w:rPr>
            </w:pPr>
          </w:p>
        </w:tc>
      </w:tr>
      <w:tr>
        <w:trPr>
          <w:trHeight w:val="230"/>
        </w:trPr>
        <w:tc>
          <w:tcPr>
            <w:tcW w:w="18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5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1,101</w:t>
            </w:r>
          </w:p>
        </w:tc>
        <w:tc>
          <w:tcPr>
            <w:tcW w:w="100" w:type="dxa"/>
            <w:vAlign w:val="bottom"/>
          </w:tcPr>
          <w:p>
            <w:pPr>
              <w:spacing w:after="0"/>
              <w:rPr>
                <w:sz w:val="19"/>
                <w:szCs w:val="19"/>
                <w:color w:val="auto"/>
              </w:rPr>
            </w:pPr>
          </w:p>
        </w:tc>
      </w:tr>
      <w:tr>
        <w:trPr>
          <w:trHeight w:val="230"/>
        </w:trPr>
        <w:tc>
          <w:tcPr>
            <w:tcW w:w="184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2027</w:t>
            </w:r>
          </w:p>
        </w:tc>
        <w:tc>
          <w:tcPr>
            <w:tcW w:w="5840" w:type="dxa"/>
            <w:vAlign w:val="bottom"/>
            <w:shd w:val="clear" w:color="auto" w:fill="E4E4E4"/>
          </w:tcPr>
          <w:p>
            <w:pPr>
              <w:spacing w:after="0"/>
              <w:rPr>
                <w:sz w:val="19"/>
                <w:szCs w:val="19"/>
                <w:color w:val="auto"/>
              </w:rPr>
            </w:pPr>
          </w:p>
        </w:tc>
        <w:tc>
          <w:tcPr>
            <w:tcW w:w="26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1,118</w:t>
            </w:r>
          </w:p>
        </w:tc>
        <w:tc>
          <w:tcPr>
            <w:tcW w:w="100" w:type="dxa"/>
            <w:vAlign w:val="bottom"/>
            <w:shd w:val="clear" w:color="auto" w:fill="E4E4E4"/>
          </w:tcPr>
          <w:p>
            <w:pPr>
              <w:spacing w:after="0"/>
              <w:rPr>
                <w:sz w:val="19"/>
                <w:szCs w:val="19"/>
                <w:color w:val="auto"/>
              </w:rPr>
            </w:pPr>
          </w:p>
        </w:tc>
      </w:tr>
      <w:tr>
        <w:trPr>
          <w:trHeight w:val="230"/>
        </w:trPr>
        <w:tc>
          <w:tcPr>
            <w:tcW w:w="7680" w:type="dxa"/>
            <w:vAlign w:val="bottom"/>
            <w:tcBorders>
              <w:bottom w:val="single" w:sz="8" w:color="E4E4E4"/>
            </w:tcBorders>
            <w:gridSpan w:val="2"/>
          </w:tcPr>
          <w:p>
            <w:pPr>
              <w:spacing w:after="0"/>
              <w:rPr>
                <w:sz w:val="20"/>
                <w:szCs w:val="20"/>
                <w:color w:val="auto"/>
              </w:rPr>
            </w:pPr>
            <w:r>
              <w:rPr>
                <w:rFonts w:ascii="Times New Roman" w:cs="Times New Roman" w:eastAsia="Times New Roman" w:hAnsi="Times New Roman"/>
                <w:sz w:val="20"/>
                <w:szCs w:val="20"/>
                <w:color w:val="auto"/>
              </w:rPr>
              <w:t>Thereafter</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2,095</w:t>
            </w:r>
          </w:p>
        </w:tc>
        <w:tc>
          <w:tcPr>
            <w:tcW w:w="100" w:type="dxa"/>
            <w:vAlign w:val="bottom"/>
            <w:tcBorders>
              <w:bottom w:val="single" w:sz="8" w:color="E4E4E4"/>
            </w:tcBorders>
          </w:tcPr>
          <w:p>
            <w:pPr>
              <w:spacing w:after="0"/>
              <w:rPr>
                <w:sz w:val="19"/>
                <w:szCs w:val="19"/>
                <w:color w:val="auto"/>
              </w:rPr>
            </w:pPr>
          </w:p>
        </w:tc>
      </w:tr>
      <w:tr>
        <w:trPr>
          <w:trHeight w:val="220"/>
        </w:trPr>
        <w:tc>
          <w:tcPr>
            <w:tcW w:w="7680" w:type="dxa"/>
            <w:vAlign w:val="bottom"/>
            <w:gridSpan w:val="2"/>
            <w:shd w:val="clear" w:color="auto" w:fill="E4E4E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lease payments</w:t>
            </w:r>
          </w:p>
        </w:tc>
        <w:tc>
          <w:tcPr>
            <w:tcW w:w="260" w:type="dxa"/>
            <w:vAlign w:val="bottom"/>
            <w:shd w:val="clear" w:color="auto" w:fill="E4E4E4"/>
          </w:tcPr>
          <w:p>
            <w:pPr>
              <w:spacing w:after="0"/>
              <w:rPr>
                <w:sz w:val="19"/>
                <w:szCs w:val="19"/>
                <w:color w:val="auto"/>
              </w:rPr>
            </w:pPr>
          </w:p>
        </w:tc>
        <w:tc>
          <w:tcPr>
            <w:tcW w:w="132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7,609</w:t>
            </w:r>
          </w:p>
        </w:tc>
        <w:tc>
          <w:tcPr>
            <w:tcW w:w="100" w:type="dxa"/>
            <w:vAlign w:val="bottom"/>
            <w:shd w:val="clear" w:color="auto" w:fill="E4E4E4"/>
          </w:tcPr>
          <w:p>
            <w:pPr>
              <w:spacing w:after="0"/>
              <w:rPr>
                <w:sz w:val="19"/>
                <w:szCs w:val="19"/>
                <w:color w:val="auto"/>
              </w:rPr>
            </w:pPr>
          </w:p>
        </w:tc>
      </w:tr>
      <w:tr>
        <w:trPr>
          <w:trHeight w:val="230"/>
        </w:trPr>
        <w:tc>
          <w:tcPr>
            <w:tcW w:w="7680" w:type="dxa"/>
            <w:vAlign w:val="bottom"/>
            <w:tcBorders>
              <w:bottom w:val="single" w:sz="8" w:color="E4E4E4"/>
            </w:tcBorders>
            <w:gridSpan w:val="2"/>
          </w:tcPr>
          <w:p>
            <w:pPr>
              <w:spacing w:after="0"/>
              <w:rPr>
                <w:sz w:val="20"/>
                <w:szCs w:val="20"/>
                <w:color w:val="auto"/>
              </w:rPr>
            </w:pPr>
            <w:r>
              <w:rPr>
                <w:rFonts w:ascii="Times New Roman" w:cs="Times New Roman" w:eastAsia="Times New Roman" w:hAnsi="Times New Roman"/>
                <w:sz w:val="20"/>
                <w:szCs w:val="20"/>
                <w:color w:val="auto"/>
              </w:rPr>
              <w:t>Less: imputed interest</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(2,201)</w:t>
            </w:r>
          </w:p>
        </w:tc>
        <w:tc>
          <w:tcPr>
            <w:tcW w:w="100" w:type="dxa"/>
            <w:vAlign w:val="bottom"/>
            <w:tcBorders>
              <w:bottom w:val="single" w:sz="8" w:color="E4E4E4"/>
            </w:tcBorders>
          </w:tcPr>
          <w:p>
            <w:pPr>
              <w:spacing w:after="0"/>
              <w:rPr>
                <w:sz w:val="19"/>
                <w:szCs w:val="19"/>
                <w:color w:val="auto"/>
              </w:rPr>
            </w:pPr>
          </w:p>
        </w:tc>
      </w:tr>
      <w:tr>
        <w:trPr>
          <w:trHeight w:val="220"/>
        </w:trPr>
        <w:tc>
          <w:tcPr>
            <w:tcW w:w="7680" w:type="dxa"/>
            <w:vAlign w:val="bottom"/>
            <w:gridSpan w:val="2"/>
            <w:shd w:val="clear" w:color="auto" w:fill="E4E4E4"/>
          </w:tcPr>
          <w:p>
            <w:pPr>
              <w:ind w:left="200"/>
              <w:spacing w:after="0" w:line="220" w:lineRule="exact"/>
              <w:rPr>
                <w:sz w:val="20"/>
                <w:szCs w:val="20"/>
                <w:color w:val="auto"/>
              </w:rPr>
            </w:pPr>
            <w:r>
              <w:rPr>
                <w:rFonts w:ascii="Times New Roman" w:cs="Times New Roman" w:eastAsia="Times New Roman" w:hAnsi="Times New Roman"/>
                <w:sz w:val="20"/>
                <w:szCs w:val="20"/>
                <w:color w:val="auto"/>
              </w:rPr>
              <w:t>Present value of lease liabilities</w:t>
            </w:r>
          </w:p>
        </w:tc>
        <w:tc>
          <w:tcPr>
            <w:tcW w:w="260" w:type="dxa"/>
            <w:vAlign w:val="bottom"/>
            <w:tcBorders>
              <w:bottom w:val="single" w:sz="8" w:color="auto"/>
            </w:tcBorders>
            <w:shd w:val="clear" w:color="auto" w:fill="E4E4E4"/>
          </w:tcPr>
          <w:p>
            <w:pPr>
              <w:jc w:val="right"/>
              <w:ind w:right="6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32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5,408</w:t>
            </w:r>
          </w:p>
        </w:tc>
        <w:tc>
          <w:tcPr>
            <w:tcW w:w="100" w:type="dxa"/>
            <w:vAlign w:val="bottom"/>
            <w:shd w:val="clear" w:color="auto" w:fill="E4E4E4"/>
          </w:tcPr>
          <w:p>
            <w:pPr>
              <w:spacing w:after="0"/>
              <w:rPr>
                <w:sz w:val="19"/>
                <w:szCs w:val="19"/>
                <w:color w:val="auto"/>
              </w:rPr>
            </w:pPr>
          </w:p>
        </w:tc>
      </w:tr>
      <w:tr>
        <w:trPr>
          <w:trHeight w:val="20"/>
        </w:trPr>
        <w:tc>
          <w:tcPr>
            <w:tcW w:w="18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Legal Proceedings</w:t>
      </w:r>
    </w:p>
    <w:p>
      <w:pPr>
        <w:spacing w:after="0" w:line="118" w:lineRule="exact"/>
        <w:rPr>
          <w:sz w:val="20"/>
          <w:szCs w:val="20"/>
          <w:color w:val="auto"/>
        </w:rPr>
      </w:pPr>
    </w:p>
    <w:p>
      <w:pPr>
        <w:ind w:right="60" w:firstLine="490"/>
        <w:spacing w:after="0" w:line="259" w:lineRule="auto"/>
        <w:rPr>
          <w:sz w:val="20"/>
          <w:szCs w:val="20"/>
          <w:color w:val="auto"/>
        </w:rPr>
      </w:pPr>
      <w:r>
        <w:rPr>
          <w:rFonts w:ascii="Times New Roman" w:cs="Times New Roman" w:eastAsia="Times New Roman" w:hAnsi="Times New Roman"/>
          <w:sz w:val="20"/>
          <w:szCs w:val="20"/>
          <w:color w:val="333333"/>
        </w:rPr>
        <w:t>The Company is not currently a party to any litigation, nor is management aware of any pending or threatened litigation against the Company, that it believes would materially affect the Company’s business, operating results, financial condition or cash flows.</w:t>
      </w:r>
    </w:p>
    <w:p>
      <w:pPr>
        <w:spacing w:after="0" w:line="62" w:lineRule="exact"/>
        <w:rPr>
          <w:sz w:val="20"/>
          <w:szCs w:val="20"/>
          <w:color w:val="auto"/>
        </w:rPr>
      </w:pPr>
    </w:p>
    <w:p>
      <w:pPr>
        <w:ind w:left="500" w:hanging="500"/>
        <w:spacing w:after="0"/>
        <w:tabs>
          <w:tab w:leader="none" w:pos="500" w:val="left"/>
        </w:tabs>
        <w:numPr>
          <w:ilvl w:val="0"/>
          <w:numId w:val="6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123" w:lineRule="exact"/>
        <w:rPr>
          <w:sz w:val="20"/>
          <w:szCs w:val="20"/>
          <w:color w:val="auto"/>
        </w:rPr>
      </w:pPr>
    </w:p>
    <w:p>
      <w:pPr>
        <w:ind w:right="180" w:firstLine="490"/>
        <w:spacing w:after="0" w:line="279" w:lineRule="auto"/>
        <w:rPr>
          <w:sz w:val="20"/>
          <w:szCs w:val="20"/>
          <w:color w:val="auto"/>
        </w:rPr>
      </w:pPr>
      <w:r>
        <w:rPr>
          <w:rFonts w:ascii="Times New Roman" w:cs="Times New Roman" w:eastAsia="Times New Roman" w:hAnsi="Times New Roman"/>
          <w:sz w:val="20"/>
          <w:szCs w:val="20"/>
          <w:color w:val="333333"/>
        </w:rPr>
        <w:t>During the years ended December 31, 2022, and 2021, the Company recorded no income tax benefits for the net operating losses incurred in each year due to its uncertainty of realizing a benefit from those items.</w:t>
      </w:r>
    </w:p>
    <w:p>
      <w:pPr>
        <w:spacing w:after="0" w:line="4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333333"/>
        </w:rPr>
        <w:t>The domestic and foreign components of loss before income taxes are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74"/>
        </w:trPr>
        <w:tc>
          <w:tcPr>
            <w:tcW w:w="6420" w:type="dxa"/>
            <w:vAlign w:val="bottom"/>
            <w:tcBorders>
              <w:bottom w:val="single" w:sz="8" w:color="E4E4E4"/>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E4E4E4"/>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5"/>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64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Domestic</w:t>
            </w:r>
          </w:p>
        </w:tc>
        <w:tc>
          <w:tcPr>
            <w:tcW w:w="300" w:type="dxa"/>
            <w:vAlign w:val="bottom"/>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4E4E4"/>
          </w:tcPr>
          <w:p>
            <w:pPr>
              <w:jc w:val="right"/>
              <w:ind w:right="8"/>
              <w:spacing w:after="0" w:line="220" w:lineRule="exact"/>
              <w:rPr>
                <w:sz w:val="20"/>
                <w:szCs w:val="20"/>
                <w:color w:val="auto"/>
              </w:rPr>
            </w:pPr>
            <w:r>
              <w:rPr>
                <w:rFonts w:ascii="Times New Roman" w:cs="Times New Roman" w:eastAsia="Times New Roman" w:hAnsi="Times New Roman"/>
                <w:sz w:val="20"/>
                <w:szCs w:val="20"/>
                <w:color w:val="auto"/>
              </w:rPr>
              <w:t>(35,339)</w:t>
            </w:r>
          </w:p>
        </w:tc>
        <w:tc>
          <w:tcPr>
            <w:tcW w:w="140" w:type="dxa"/>
            <w:vAlign w:val="bottom"/>
            <w:shd w:val="clear" w:color="auto" w:fill="E4E4E4"/>
          </w:tcPr>
          <w:p>
            <w:pPr>
              <w:spacing w:after="0"/>
              <w:rPr>
                <w:sz w:val="19"/>
                <w:szCs w:val="19"/>
                <w:color w:val="auto"/>
              </w:rPr>
            </w:pPr>
          </w:p>
        </w:tc>
        <w:tc>
          <w:tcPr>
            <w:tcW w:w="300" w:type="dxa"/>
            <w:vAlign w:val="bottom"/>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(50,617)</w:t>
            </w:r>
          </w:p>
        </w:tc>
      </w:tr>
      <w:tr>
        <w:trPr>
          <w:trHeight w:val="230"/>
        </w:trPr>
        <w:tc>
          <w:tcPr>
            <w:tcW w:w="64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(16)</w:t>
            </w:r>
          </w:p>
        </w:tc>
        <w:tc>
          <w:tcPr>
            <w:tcW w:w="140" w:type="dxa"/>
            <w:vAlign w:val="bottom"/>
            <w:tcBorders>
              <w:bottom w:val="single" w:sz="8" w:color="E4E4E4"/>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20"/>
        </w:trPr>
        <w:tc>
          <w:tcPr>
            <w:tcW w:w="6420" w:type="dxa"/>
            <w:vAlign w:val="bottom"/>
            <w:shd w:val="clear" w:color="auto" w:fill="E4E4E4"/>
          </w:tcPr>
          <w:p>
            <w:pPr>
              <w:spacing w:after="0"/>
              <w:rPr>
                <w:sz w:val="19"/>
                <w:szCs w:val="19"/>
                <w:color w:val="auto"/>
              </w:rPr>
            </w:pPr>
          </w:p>
        </w:tc>
        <w:tc>
          <w:tcPr>
            <w:tcW w:w="300" w:type="dxa"/>
            <w:vAlign w:val="bottom"/>
            <w:tcBorders>
              <w:bottom w:val="single" w:sz="8" w:color="auto"/>
            </w:tcBorders>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4E4E4"/>
          </w:tcPr>
          <w:p>
            <w:pPr>
              <w:jc w:val="right"/>
              <w:ind w:right="8"/>
              <w:spacing w:after="0" w:line="220" w:lineRule="exact"/>
              <w:rPr>
                <w:sz w:val="20"/>
                <w:szCs w:val="20"/>
                <w:color w:val="auto"/>
              </w:rPr>
            </w:pPr>
            <w:r>
              <w:rPr>
                <w:rFonts w:ascii="Times New Roman" w:cs="Times New Roman" w:eastAsia="Times New Roman" w:hAnsi="Times New Roman"/>
                <w:sz w:val="20"/>
                <w:szCs w:val="20"/>
                <w:color w:val="auto"/>
              </w:rPr>
              <w:t>(35,355)</w:t>
            </w:r>
          </w:p>
        </w:tc>
        <w:tc>
          <w:tcPr>
            <w:tcW w:w="140" w:type="dxa"/>
            <w:vAlign w:val="bottom"/>
            <w:shd w:val="clear" w:color="auto" w:fill="E4E4E4"/>
          </w:tcPr>
          <w:p>
            <w:pPr>
              <w:spacing w:after="0"/>
              <w:rPr>
                <w:sz w:val="19"/>
                <w:szCs w:val="19"/>
                <w:color w:val="auto"/>
              </w:rPr>
            </w:pPr>
          </w:p>
        </w:tc>
        <w:tc>
          <w:tcPr>
            <w:tcW w:w="300" w:type="dxa"/>
            <w:vAlign w:val="bottom"/>
            <w:tcBorders>
              <w:bottom w:val="single" w:sz="8" w:color="auto"/>
            </w:tcBorders>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(50,636)</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880" w:h="15480" w:orient="portrait"/>
          <w:cols w:equalWidth="0" w:num="1">
            <w:col w:w="9360"/>
          </w:cols>
          <w:pgMar w:left="1260" w:top="1238" w:right="12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F-19</w:t>
      </w:r>
    </w:p>
    <w:p>
      <w:pPr>
        <w:sectPr>
          <w:pgSz w:w="11880" w:h="15480" w:orient="portrait"/>
          <w:cols w:equalWidth="0" w:num="1">
            <w:col w:w="9360"/>
          </w:cols>
          <w:pgMar w:left="1260" w:top="1238" w:right="1260" w:bottom="8" w:gutter="0" w:footer="0" w:header="0"/>
          <w:type w:val="continuous"/>
        </w:sectPr>
      </w:pPr>
    </w:p>
    <w:bookmarkStart w:id="117" w:name="page118"/>
    <w:bookmarkEnd w:id="117"/>
    <w:p>
      <w:pPr>
        <w:ind w:right="120" w:firstLine="490"/>
        <w:spacing w:after="0" w:line="279" w:lineRule="auto"/>
        <w:rPr>
          <w:sz w:val="20"/>
          <w:szCs w:val="20"/>
          <w:color w:val="auto"/>
        </w:rPr>
      </w:pPr>
      <w:r>
        <w:rPr>
          <w:rFonts w:ascii="Times New Roman" w:cs="Times New Roman" w:eastAsia="Times New Roman" w:hAnsi="Times New Roman"/>
          <w:sz w:val="20"/>
          <w:szCs w:val="20"/>
          <w:color w:val="333333"/>
        </w:rPr>
        <w:t>A reconciliation of the U.S. federal statutory income tax rate to the Company’s effective income tax rate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60" w:type="dxa"/>
            <w:vAlign w:val="bottom"/>
          </w:tcPr>
          <w:p>
            <w:pPr>
              <w:spacing w:after="0"/>
              <w:rPr>
                <w:sz w:val="17"/>
                <w:szCs w:val="17"/>
                <w:color w:val="auto"/>
              </w:rPr>
            </w:pPr>
          </w:p>
        </w:tc>
        <w:tc>
          <w:tcPr>
            <w:tcW w:w="2380" w:type="dxa"/>
            <w:vAlign w:val="bottom"/>
            <w:tcBorders>
              <w:bottom w:val="single" w:sz="8" w:color="auto"/>
            </w:tcBorders>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620" w:type="dxa"/>
            <w:vAlign w:val="bottom"/>
            <w:tcBorders>
              <w:bottom w:val="single" w:sz="8" w:color="auto"/>
            </w:tcBorders>
          </w:tcPr>
          <w:p>
            <w:pPr>
              <w:spacing w:after="0"/>
              <w:rPr>
                <w:sz w:val="17"/>
                <w:szCs w:val="17"/>
                <w:color w:val="auto"/>
              </w:rPr>
            </w:pPr>
          </w:p>
        </w:tc>
      </w:tr>
      <w:tr>
        <w:trPr>
          <w:trHeight w:val="174"/>
        </w:trPr>
        <w:tc>
          <w:tcPr>
            <w:tcW w:w="6360" w:type="dxa"/>
            <w:vAlign w:val="bottom"/>
          </w:tcPr>
          <w:p>
            <w:pPr>
              <w:spacing w:after="0"/>
              <w:rPr>
                <w:sz w:val="15"/>
                <w:szCs w:val="15"/>
                <w:color w:val="auto"/>
              </w:rPr>
            </w:pPr>
          </w:p>
        </w:tc>
        <w:tc>
          <w:tcPr>
            <w:tcW w:w="820" w:type="dxa"/>
            <w:vAlign w:val="bottom"/>
          </w:tcPr>
          <w:p>
            <w:pPr>
              <w:jc w:val="right"/>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560" w:type="dxa"/>
            <w:vAlign w:val="bottom"/>
            <w:gridSpan w:val="4"/>
          </w:tcPr>
          <w:p>
            <w:pPr>
              <w:jc w:val="right"/>
              <w:ind w:right="40"/>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c>
          <w:tcPr>
            <w:tcW w:w="620" w:type="dxa"/>
            <w:vAlign w:val="bottom"/>
          </w:tcPr>
          <w:p>
            <w:pPr>
              <w:spacing w:after="0"/>
              <w:rPr>
                <w:sz w:val="15"/>
                <w:szCs w:val="15"/>
                <w:color w:val="auto"/>
              </w:rPr>
            </w:pPr>
          </w:p>
        </w:tc>
      </w:tr>
      <w:tr>
        <w:trPr>
          <w:trHeight w:val="200"/>
        </w:trPr>
        <w:tc>
          <w:tcPr>
            <w:tcW w:w="6360" w:type="dxa"/>
            <w:vAlign w:val="bottom"/>
            <w:tcBorders>
              <w:top w:val="single" w:sz="8" w:color="E4E4E4"/>
              <w:bottom w:val="single" w:sz="8" w:color="E4E4E4"/>
              <w:right w:val="single" w:sz="8" w:color="E4E4E4"/>
            </w:tcBorders>
            <w:shd w:val="clear" w:color="auto" w:fill="E4E4E4"/>
          </w:tcPr>
          <w:p>
            <w:pPr>
              <w:spacing w:after="0" w:line="199" w:lineRule="exact"/>
              <w:rPr>
                <w:sz w:val="20"/>
                <w:szCs w:val="20"/>
                <w:color w:val="auto"/>
              </w:rPr>
            </w:pPr>
            <w:r>
              <w:rPr>
                <w:rFonts w:ascii="Times New Roman" w:cs="Times New Roman" w:eastAsia="Times New Roman" w:hAnsi="Times New Roman"/>
                <w:sz w:val="20"/>
                <w:szCs w:val="20"/>
                <w:color w:val="auto"/>
              </w:rPr>
              <w:t>Federal statutory income tax rate</w:t>
            </w:r>
          </w:p>
        </w:tc>
        <w:tc>
          <w:tcPr>
            <w:tcW w:w="8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right"/>
              <w:spacing w:after="0" w:line="199" w:lineRule="exact"/>
              <w:rPr>
                <w:sz w:val="20"/>
                <w:szCs w:val="20"/>
                <w:color w:val="auto"/>
              </w:rPr>
            </w:pPr>
            <w:r>
              <w:rPr>
                <w:rFonts w:ascii="Times New Roman" w:cs="Times New Roman" w:eastAsia="Times New Roman" w:hAnsi="Times New Roman"/>
                <w:sz w:val="20"/>
                <w:szCs w:val="20"/>
                <w:color w:val="auto"/>
              </w:rPr>
              <w:t>21.0%</w:t>
            </w:r>
          </w:p>
        </w:tc>
        <w:tc>
          <w:tcPr>
            <w:tcW w:w="100" w:type="dxa"/>
            <w:vAlign w:val="bottom"/>
            <w:tcBorders>
              <w:top w:val="single" w:sz="8" w:color="E4E4E4"/>
              <w:bottom w:val="single" w:sz="8" w:color="E4E4E4"/>
            </w:tcBorders>
            <w:shd w:val="clear" w:color="auto" w:fill="E4E4E4"/>
          </w:tcPr>
          <w:p>
            <w:pPr>
              <w:spacing w:after="0"/>
              <w:rPr>
                <w:sz w:val="17"/>
                <w:szCs w:val="17"/>
                <w:color w:val="auto"/>
              </w:rPr>
            </w:pPr>
          </w:p>
        </w:tc>
        <w:tc>
          <w:tcPr>
            <w:tcW w:w="840" w:type="dxa"/>
            <w:vAlign w:val="bottom"/>
            <w:tcBorders>
              <w:top w:val="single" w:sz="8" w:color="auto"/>
              <w:bottom w:val="single" w:sz="8" w:color="E4E4E4"/>
            </w:tcBorders>
            <w:shd w:val="clear" w:color="auto" w:fill="E4E4E4"/>
          </w:tcPr>
          <w:p>
            <w:pPr>
              <w:spacing w:after="0"/>
              <w:rPr>
                <w:sz w:val="17"/>
                <w:szCs w:val="17"/>
                <w:color w:val="auto"/>
              </w:rPr>
            </w:pPr>
          </w:p>
        </w:tc>
        <w:tc>
          <w:tcPr>
            <w:tcW w:w="620" w:type="dxa"/>
            <w:vAlign w:val="bottom"/>
            <w:tcBorders>
              <w:top w:val="single" w:sz="8" w:color="auto"/>
              <w:bottom w:val="single" w:sz="8" w:color="E4E4E4"/>
            </w:tcBorders>
            <w:shd w:val="clear" w:color="auto" w:fill="E4E4E4"/>
          </w:tcPr>
          <w:p>
            <w:pPr>
              <w:jc w:val="right"/>
              <w:spacing w:after="0" w:line="199" w:lineRule="exact"/>
              <w:rPr>
                <w:sz w:val="20"/>
                <w:szCs w:val="20"/>
                <w:color w:val="auto"/>
              </w:rPr>
            </w:pPr>
            <w:r>
              <w:rPr>
                <w:rFonts w:ascii="Times New Roman" w:cs="Times New Roman" w:eastAsia="Times New Roman" w:hAnsi="Times New Roman"/>
                <w:sz w:val="20"/>
                <w:szCs w:val="20"/>
                <w:color w:val="auto"/>
              </w:rPr>
              <w:t>21.0%</w:t>
            </w:r>
          </w:p>
        </w:tc>
      </w:tr>
      <w:tr>
        <w:trPr>
          <w:trHeight w:val="230"/>
        </w:trPr>
        <w:tc>
          <w:tcPr>
            <w:tcW w:w="63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State taxes, net of federal benefit</w:t>
            </w: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3.4</w:t>
            </w:r>
          </w:p>
        </w:tc>
      </w:tr>
      <w:tr>
        <w:trPr>
          <w:trHeight w:val="230"/>
        </w:trPr>
        <w:tc>
          <w:tcPr>
            <w:tcW w:w="718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Change in state tax rate</w:t>
            </w:r>
          </w:p>
        </w:tc>
        <w:tc>
          <w:tcPr>
            <w:tcW w:w="62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auto"/>
              </w:rPr>
              <w:t>(7.9)</w:t>
            </w: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(14.5)</w:t>
            </w:r>
          </w:p>
        </w:tc>
      </w:tr>
      <w:tr>
        <w:trPr>
          <w:trHeight w:val="230"/>
        </w:trPr>
        <w:tc>
          <w:tcPr>
            <w:tcW w:w="71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Federal and state research and development tax credit</w:t>
            </w:r>
          </w:p>
        </w:tc>
        <w:tc>
          <w:tcPr>
            <w:tcW w:w="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7.9</w:t>
            </w:r>
          </w:p>
        </w:tc>
      </w:tr>
      <w:tr>
        <w:trPr>
          <w:trHeight w:val="230"/>
        </w:trPr>
        <w:tc>
          <w:tcPr>
            <w:tcW w:w="7180" w:type="dxa"/>
            <w:vAlign w:val="bottom"/>
            <w:gridSpan w:val="2"/>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Nondeductible permanent differences</w:t>
            </w:r>
          </w:p>
        </w:tc>
        <w:tc>
          <w:tcPr>
            <w:tcW w:w="620" w:type="dxa"/>
            <w:vAlign w:val="bottom"/>
            <w:gridSpan w:val="2"/>
            <w:shd w:val="clear" w:color="auto" w:fill="E4E4E4"/>
          </w:tcPr>
          <w:p>
            <w:pPr>
              <w:jc w:val="right"/>
              <w:ind w:right="100"/>
              <w:spacing w:after="0"/>
              <w:rPr>
                <w:sz w:val="20"/>
                <w:szCs w:val="20"/>
                <w:color w:val="auto"/>
              </w:rPr>
            </w:pPr>
            <w:r>
              <w:rPr>
                <w:rFonts w:ascii="Times New Roman" w:cs="Times New Roman" w:eastAsia="Times New Roman" w:hAnsi="Times New Roman"/>
                <w:sz w:val="20"/>
                <w:szCs w:val="20"/>
                <w:color w:val="auto"/>
              </w:rPr>
              <w:t>(1.0)</w:t>
            </w:r>
          </w:p>
        </w:tc>
        <w:tc>
          <w:tcPr>
            <w:tcW w:w="100" w:type="dxa"/>
            <w:vAlign w:val="bottom"/>
            <w:shd w:val="clear" w:color="auto" w:fill="E4E4E4"/>
          </w:tcPr>
          <w:p>
            <w:pPr>
              <w:spacing w:after="0"/>
              <w:rPr>
                <w:sz w:val="19"/>
                <w:szCs w:val="19"/>
                <w:color w:val="auto"/>
              </w:rPr>
            </w:pPr>
          </w:p>
        </w:tc>
        <w:tc>
          <w:tcPr>
            <w:tcW w:w="840" w:type="dxa"/>
            <w:vAlign w:val="bottom"/>
            <w:shd w:val="clear" w:color="auto" w:fill="E4E4E4"/>
          </w:tcPr>
          <w:p>
            <w:pPr>
              <w:spacing w:after="0"/>
              <w:rPr>
                <w:sz w:val="19"/>
                <w:szCs w:val="19"/>
                <w:color w:val="auto"/>
              </w:rPr>
            </w:pPr>
          </w:p>
        </w:tc>
        <w:tc>
          <w:tcPr>
            <w:tcW w:w="62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(0.6)</w:t>
            </w:r>
          </w:p>
        </w:tc>
      </w:tr>
      <w:tr>
        <w:trPr>
          <w:trHeight w:val="230"/>
        </w:trPr>
        <w:tc>
          <w:tcPr>
            <w:tcW w:w="71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Change in deferred tax asset valuation allowance</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(19.3)</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w:t>
            </w:r>
          </w:p>
        </w:tc>
      </w:tr>
      <w:tr>
        <w:trPr>
          <w:trHeight w:val="220"/>
        </w:trPr>
        <w:tc>
          <w:tcPr>
            <w:tcW w:w="6360" w:type="dxa"/>
            <w:vAlign w:val="bottom"/>
            <w:tcBorders>
              <w:top w:val="single" w:sz="8" w:color="E4E4E4"/>
              <w:right w:val="single" w:sz="8" w:color="E4E4E4"/>
            </w:tcBorders>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Effective income tax rate</w:t>
            </w:r>
          </w:p>
        </w:tc>
        <w:tc>
          <w:tcPr>
            <w:tcW w:w="8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line="220" w:lineRule="exact"/>
              <w:rPr>
                <w:sz w:val="20"/>
                <w:szCs w:val="20"/>
                <w:color w:val="auto"/>
              </w:rPr>
            </w:pPr>
            <w:r>
              <w:rPr>
                <w:rFonts w:ascii="Times New Roman" w:cs="Times New Roman" w:eastAsia="Times New Roman" w:hAnsi="Times New Roman"/>
                <w:sz w:val="20"/>
                <w:szCs w:val="20"/>
                <w:color w:val="auto"/>
              </w:rPr>
              <w:t>0.0%</w:t>
            </w:r>
          </w:p>
        </w:tc>
        <w:tc>
          <w:tcPr>
            <w:tcW w:w="100" w:type="dxa"/>
            <w:vAlign w:val="bottom"/>
            <w:tcBorders>
              <w:top w:val="single" w:sz="8" w:color="E4E4E4"/>
            </w:tcBorders>
            <w:shd w:val="clear" w:color="auto" w:fill="E4E4E4"/>
          </w:tcPr>
          <w:p>
            <w:pPr>
              <w:spacing w:after="0"/>
              <w:rPr>
                <w:sz w:val="19"/>
                <w:szCs w:val="19"/>
                <w:color w:val="auto"/>
              </w:rPr>
            </w:pPr>
          </w:p>
        </w:tc>
        <w:tc>
          <w:tcPr>
            <w:tcW w:w="840" w:type="dxa"/>
            <w:vAlign w:val="bottom"/>
            <w:tcBorders>
              <w:top w:val="single" w:sz="8" w:color="auto"/>
              <w:bottom w:val="single" w:sz="8" w:color="auto"/>
            </w:tcBorders>
            <w:shd w:val="clear" w:color="auto" w:fill="E4E4E4"/>
          </w:tcPr>
          <w:p>
            <w:pPr>
              <w:spacing w:after="0"/>
              <w:rPr>
                <w:sz w:val="19"/>
                <w:szCs w:val="19"/>
                <w:color w:val="auto"/>
              </w:rPr>
            </w:pPr>
          </w:p>
        </w:tc>
        <w:tc>
          <w:tcPr>
            <w:tcW w:w="620" w:type="dxa"/>
            <w:vAlign w:val="bottom"/>
            <w:tcBorders>
              <w:top w:val="single" w:sz="8" w:color="auto"/>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0.0%</w:t>
            </w:r>
          </w:p>
        </w:tc>
      </w:tr>
      <w:tr>
        <w:trPr>
          <w:trHeight w:val="20"/>
        </w:trPr>
        <w:tc>
          <w:tcPr>
            <w:tcW w:w="63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4023360</wp:posOffset>
            </wp:positionH>
            <wp:positionV relativeFrom="paragraph">
              <wp:posOffset>-1056640</wp:posOffset>
            </wp:positionV>
            <wp:extent cx="82613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26135" cy="146050"/>
                    </a:xfrm>
                    <a:prstGeom prst="rect">
                      <a:avLst/>
                    </a:prstGeom>
                    <a:noFill/>
                  </pic:spPr>
                </pic:pic>
              </a:graphicData>
            </a:graphic>
          </wp:anchor>
        </w:drawing>
        <w:drawing>
          <wp:anchor simplePos="0" relativeHeight="251657728" behindDoc="1" locked="0" layoutInCell="0" allowOverlap="1">
            <wp:simplePos x="0" y="0"/>
            <wp:positionH relativeFrom="column">
              <wp:posOffset>4023360</wp:posOffset>
            </wp:positionH>
            <wp:positionV relativeFrom="paragraph">
              <wp:posOffset>-173990</wp:posOffset>
            </wp:positionV>
            <wp:extent cx="826135"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26135" cy="146050"/>
                    </a:xfrm>
                    <a:prstGeom prst="rect">
                      <a:avLst/>
                    </a:prstGeom>
                    <a:noFill/>
                  </pic:spPr>
                </pic:pic>
              </a:graphicData>
            </a:graphic>
          </wp:anchor>
        </w:drawing>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0"/>
          <w:szCs w:val="20"/>
          <w:color w:val="333333"/>
        </w:rPr>
        <w:t>Net deferred tax assets as of December 31, 2022 and 2021 consisted of the following:</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Borders>
              <w:bottom w:val="single" w:sz="8" w:color="E4E4E4"/>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E4E4E4"/>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64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Deferred tax assets:</w:t>
            </w:r>
          </w:p>
        </w:tc>
        <w:tc>
          <w:tcPr>
            <w:tcW w:w="30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0" w:type="dxa"/>
            <w:vAlign w:val="bottom"/>
            <w:tcBorders>
              <w:bottom w:val="single" w:sz="8" w:color="E4E4E4"/>
            </w:tcBorders>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r>
      <w:tr>
        <w:trPr>
          <w:trHeight w:val="210"/>
        </w:trPr>
        <w:tc>
          <w:tcPr>
            <w:tcW w:w="6420" w:type="dxa"/>
            <w:vAlign w:val="bottom"/>
          </w:tcPr>
          <w:p>
            <w:pPr>
              <w:ind w:left="200"/>
              <w:spacing w:after="0" w:line="210" w:lineRule="exact"/>
              <w:rPr>
                <w:sz w:val="20"/>
                <w:szCs w:val="20"/>
                <w:color w:val="auto"/>
              </w:rPr>
            </w:pPr>
            <w:r>
              <w:rPr>
                <w:rFonts w:ascii="Times New Roman" w:cs="Times New Roman" w:eastAsia="Times New Roman" w:hAnsi="Times New Roman"/>
                <w:sz w:val="20"/>
                <w:szCs w:val="20"/>
                <w:color w:val="auto"/>
              </w:rPr>
              <w:t>Capitalized R&amp;D - Acquired in Merger with Zafgen</w:t>
            </w:r>
          </w:p>
        </w:tc>
        <w:tc>
          <w:tcPr>
            <w:tcW w:w="300" w:type="dxa"/>
            <w:vAlign w:val="bottom"/>
          </w:tcPr>
          <w:p>
            <w:pPr>
              <w:jc w:val="right"/>
              <w:ind w:right="10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rPr>
              <w:t>66,941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ind w:right="100"/>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ind w:right="1"/>
              <w:spacing w:after="0" w:line="210" w:lineRule="exact"/>
              <w:rPr>
                <w:sz w:val="20"/>
                <w:szCs w:val="20"/>
                <w:color w:val="auto"/>
              </w:rPr>
            </w:pPr>
            <w:r>
              <w:rPr>
                <w:rFonts w:ascii="Times New Roman" w:cs="Times New Roman" w:eastAsia="Times New Roman" w:hAnsi="Times New Roman"/>
                <w:sz w:val="20"/>
                <w:szCs w:val="20"/>
                <w:color w:val="auto"/>
              </w:rPr>
              <w:t>65,781</w:t>
            </w:r>
          </w:p>
        </w:tc>
      </w:tr>
      <w:tr>
        <w:trPr>
          <w:trHeight w:val="230"/>
        </w:trPr>
        <w:tc>
          <w:tcPr>
            <w:tcW w:w="64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Capitalized R&amp;D - Section 174 Costs post 2021</w:t>
            </w:r>
          </w:p>
        </w:tc>
        <w:tc>
          <w:tcPr>
            <w:tcW w:w="30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5,019</w:t>
            </w:r>
          </w:p>
        </w:tc>
        <w:tc>
          <w:tcPr>
            <w:tcW w:w="20" w:type="dxa"/>
            <w:vAlign w:val="bottom"/>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00" w:type="dxa"/>
            <w:vAlign w:val="bottom"/>
            <w:shd w:val="clear" w:color="auto" w:fill="E4E4E4"/>
          </w:tcPr>
          <w:p>
            <w:pPr>
              <w:jc w:val="right"/>
              <w:ind w:right="1"/>
              <w:spacing w:after="0"/>
              <w:rPr>
                <w:sz w:val="20"/>
                <w:szCs w:val="20"/>
                <w:color w:val="auto"/>
              </w:rPr>
            </w:pPr>
            <w:r>
              <w:rPr>
                <w:rFonts w:ascii="Times New Roman" w:cs="Times New Roman" w:eastAsia="Times New Roman" w:hAnsi="Times New Roman"/>
                <w:sz w:val="20"/>
                <w:szCs w:val="20"/>
                <w:color w:val="auto"/>
              </w:rPr>
              <w:t>—</w:t>
            </w:r>
          </w:p>
        </w:tc>
      </w:tr>
      <w:tr>
        <w:trPr>
          <w:trHeight w:val="230"/>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Stock Based Compensation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1,458</w:t>
            </w:r>
          </w:p>
        </w:tc>
      </w:tr>
      <w:tr>
        <w:trPr>
          <w:trHeight w:val="230"/>
        </w:trPr>
        <w:tc>
          <w:tcPr>
            <w:tcW w:w="64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Net operating Loss Carryforwards</w:t>
            </w:r>
          </w:p>
        </w:tc>
        <w:tc>
          <w:tcPr>
            <w:tcW w:w="30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42,204</w:t>
            </w:r>
          </w:p>
        </w:tc>
        <w:tc>
          <w:tcPr>
            <w:tcW w:w="20" w:type="dxa"/>
            <w:vAlign w:val="bottom"/>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00" w:type="dxa"/>
            <w:vAlign w:val="bottom"/>
            <w:shd w:val="clear" w:color="auto" w:fill="E4E4E4"/>
          </w:tcPr>
          <w:p>
            <w:pPr>
              <w:jc w:val="right"/>
              <w:ind w:right="1"/>
              <w:spacing w:after="0"/>
              <w:rPr>
                <w:sz w:val="20"/>
                <w:szCs w:val="20"/>
                <w:color w:val="auto"/>
              </w:rPr>
            </w:pPr>
            <w:r>
              <w:rPr>
                <w:rFonts w:ascii="Times New Roman" w:cs="Times New Roman" w:eastAsia="Times New Roman" w:hAnsi="Times New Roman"/>
                <w:sz w:val="20"/>
                <w:szCs w:val="20"/>
                <w:color w:val="auto"/>
              </w:rPr>
              <w:t>43,219</w:t>
            </w:r>
          </w:p>
        </w:tc>
      </w:tr>
      <w:tr>
        <w:trPr>
          <w:trHeight w:val="230"/>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Tax credit carryforwards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12,912</w:t>
            </w:r>
          </w:p>
        </w:tc>
      </w:tr>
      <w:tr>
        <w:trPr>
          <w:trHeight w:val="230"/>
        </w:trPr>
        <w:tc>
          <w:tcPr>
            <w:tcW w:w="64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Other Temporary Differences</w:t>
            </w:r>
          </w:p>
        </w:tc>
        <w:tc>
          <w:tcPr>
            <w:tcW w:w="300" w:type="dxa"/>
            <w:vAlign w:val="bottom"/>
            <w:shd w:val="clear" w:color="auto" w:fill="E4E4E4"/>
          </w:tcPr>
          <w:p>
            <w:pPr>
              <w:spacing w:after="0"/>
              <w:rPr>
                <w:sz w:val="19"/>
                <w:szCs w:val="19"/>
                <w:color w:val="auto"/>
              </w:rPr>
            </w:pPr>
          </w:p>
        </w:tc>
        <w:tc>
          <w:tcPr>
            <w:tcW w:w="1000" w:type="dxa"/>
            <w:vAlign w:val="bottom"/>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20" w:type="dxa"/>
            <w:vAlign w:val="bottom"/>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00" w:type="dxa"/>
            <w:vAlign w:val="bottom"/>
            <w:shd w:val="clear" w:color="auto" w:fill="E4E4E4"/>
          </w:tcPr>
          <w:p>
            <w:pPr>
              <w:jc w:val="right"/>
              <w:ind w:right="1"/>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642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Fixed Assets &amp; Intangibles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44</w:t>
            </w:r>
          </w:p>
        </w:tc>
      </w:tr>
      <w:tr>
        <w:trPr>
          <w:trHeight w:val="230"/>
        </w:trPr>
        <w:tc>
          <w:tcPr>
            <w:tcW w:w="6420" w:type="dxa"/>
            <w:vAlign w:val="bottom"/>
            <w:shd w:val="clear" w:color="auto" w:fill="E4E4E4"/>
          </w:tcPr>
          <w:p>
            <w:pPr>
              <w:ind w:left="200"/>
              <w:spacing w:after="0"/>
              <w:rPr>
                <w:sz w:val="20"/>
                <w:szCs w:val="20"/>
                <w:color w:val="auto"/>
              </w:rPr>
            </w:pPr>
            <w:r>
              <w:rPr>
                <w:rFonts w:ascii="Times New Roman" w:cs="Times New Roman" w:eastAsia="Times New Roman" w:hAnsi="Times New Roman"/>
                <w:sz w:val="20"/>
                <w:szCs w:val="20"/>
                <w:color w:val="auto"/>
              </w:rPr>
              <w:t>Operating Lease Liability</w:t>
            </w:r>
          </w:p>
        </w:tc>
        <w:tc>
          <w:tcPr>
            <w:tcW w:w="300" w:type="dxa"/>
            <w:vAlign w:val="bottom"/>
            <w:tcBorders>
              <w:bottom w:val="single" w:sz="8" w:color="auto"/>
            </w:tcBorders>
            <w:shd w:val="clear" w:color="auto" w:fill="E4E4E4"/>
          </w:tcPr>
          <w:p>
            <w:pPr>
              <w:spacing w:after="0"/>
              <w:rPr>
                <w:sz w:val="19"/>
                <w:szCs w:val="19"/>
                <w:color w:val="auto"/>
              </w:rPr>
            </w:pPr>
          </w:p>
        </w:tc>
        <w:tc>
          <w:tcPr>
            <w:tcW w:w="1000" w:type="dxa"/>
            <w:vAlign w:val="bottom"/>
            <w:tcBorders>
              <w:bottom w:val="single" w:sz="8" w:color="auto"/>
            </w:tcBorders>
            <w:shd w:val="clear" w:color="auto" w:fill="E4E4E4"/>
          </w:tcPr>
          <w:p>
            <w:pPr>
              <w:jc w:val="right"/>
              <w:spacing w:after="0"/>
              <w:rPr>
                <w:sz w:val="20"/>
                <w:szCs w:val="20"/>
                <w:color w:val="auto"/>
              </w:rPr>
            </w:pPr>
            <w:r>
              <w:rPr>
                <w:rFonts w:ascii="Times New Roman" w:cs="Times New Roman" w:eastAsia="Times New Roman" w:hAnsi="Times New Roman"/>
                <w:sz w:val="20"/>
                <w:szCs w:val="20"/>
                <w:color w:val="auto"/>
              </w:rPr>
              <w:t>1,355</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300" w:type="dxa"/>
            <w:vAlign w:val="bottom"/>
            <w:tcBorders>
              <w:bottom w:val="single" w:sz="8" w:color="auto"/>
            </w:tcBorders>
            <w:shd w:val="clear" w:color="auto" w:fill="E4E4E4"/>
          </w:tcPr>
          <w:p>
            <w:pPr>
              <w:spacing w:after="0"/>
              <w:rPr>
                <w:sz w:val="19"/>
                <w:szCs w:val="19"/>
                <w:color w:val="auto"/>
              </w:rPr>
            </w:pPr>
          </w:p>
        </w:tc>
        <w:tc>
          <w:tcPr>
            <w:tcW w:w="1100" w:type="dxa"/>
            <w:vAlign w:val="bottom"/>
            <w:tcBorders>
              <w:bottom w:val="single" w:sz="8" w:color="auto"/>
            </w:tcBorders>
            <w:shd w:val="clear" w:color="auto" w:fill="E4E4E4"/>
          </w:tcPr>
          <w:p>
            <w:pPr>
              <w:jc w:val="right"/>
              <w:ind w:right="1"/>
              <w:spacing w:after="0"/>
              <w:rPr>
                <w:sz w:val="20"/>
                <w:szCs w:val="20"/>
                <w:color w:val="auto"/>
              </w:rPr>
            </w:pPr>
            <w:r>
              <w:rPr>
                <w:rFonts w:ascii="Times New Roman" w:cs="Times New Roman" w:eastAsia="Times New Roman" w:hAnsi="Times New Roman"/>
                <w:sz w:val="20"/>
                <w:szCs w:val="20"/>
                <w:color w:val="auto"/>
              </w:rPr>
              <w:t>1,477</w:t>
            </w:r>
          </w:p>
        </w:tc>
      </w:tr>
      <w:tr>
        <w:trPr>
          <w:trHeight w:val="220"/>
        </w:trPr>
        <w:tc>
          <w:tcPr>
            <w:tcW w:w="6420" w:type="dxa"/>
            <w:vAlign w:val="bottom"/>
          </w:tcPr>
          <w:p>
            <w:pPr>
              <w:ind w:left="400"/>
              <w:spacing w:after="0" w:line="220" w:lineRule="exact"/>
              <w:rPr>
                <w:sz w:val="20"/>
                <w:szCs w:val="20"/>
                <w:color w:val="auto"/>
              </w:rPr>
            </w:pPr>
            <w:r>
              <w:rPr>
                <w:rFonts w:ascii="Times New Roman" w:cs="Times New Roman" w:eastAsia="Times New Roman" w:hAnsi="Times New Roman"/>
                <w:sz w:val="20"/>
                <w:szCs w:val="20"/>
                <w:color w:val="auto"/>
              </w:rPr>
              <w:t>Total deferred tax assets</w:t>
            </w:r>
          </w:p>
        </w:tc>
        <w:tc>
          <w:tcPr>
            <w:tcW w:w="30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auto"/>
              </w:rPr>
              <w:t>131,612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124,915</w:t>
            </w:r>
          </w:p>
        </w:tc>
      </w:tr>
      <w:tr>
        <w:trPr>
          <w:trHeight w:val="230"/>
        </w:trPr>
        <w:tc>
          <w:tcPr>
            <w:tcW w:w="6420" w:type="dxa"/>
            <w:vAlign w:val="bottom"/>
            <w:shd w:val="clear" w:color="auto" w:fill="E4E4E4"/>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300" w:type="dxa"/>
            <w:vAlign w:val="bottom"/>
            <w:shd w:val="clear" w:color="auto" w:fill="E4E4E4"/>
          </w:tcPr>
          <w:p>
            <w:pPr>
              <w:spacing w:after="0"/>
              <w:rPr>
                <w:sz w:val="19"/>
                <w:szCs w:val="19"/>
                <w:color w:val="auto"/>
              </w:rPr>
            </w:pPr>
          </w:p>
        </w:tc>
        <w:tc>
          <w:tcPr>
            <w:tcW w:w="1000" w:type="dxa"/>
            <w:vAlign w:val="bottom"/>
            <w:shd w:val="clear" w:color="auto" w:fill="E4E4E4"/>
          </w:tcPr>
          <w:p>
            <w:pPr>
              <w:spacing w:after="0"/>
              <w:rPr>
                <w:sz w:val="19"/>
                <w:szCs w:val="19"/>
                <w:color w:val="auto"/>
              </w:rPr>
            </w:pPr>
          </w:p>
        </w:tc>
        <w:tc>
          <w:tcPr>
            <w:tcW w:w="20" w:type="dxa"/>
            <w:vAlign w:val="bottom"/>
            <w:shd w:val="clear" w:color="auto" w:fill="E4E4E4"/>
          </w:tcPr>
          <w:p>
            <w:pPr>
              <w:spacing w:after="0"/>
              <w:rPr>
                <w:sz w:val="19"/>
                <w:szCs w:val="19"/>
                <w:color w:val="auto"/>
              </w:rPr>
            </w:pPr>
          </w:p>
        </w:tc>
        <w:tc>
          <w:tcPr>
            <w:tcW w:w="80" w:type="dxa"/>
            <w:vAlign w:val="bottom"/>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300" w:type="dxa"/>
            <w:vAlign w:val="bottom"/>
            <w:shd w:val="clear" w:color="auto" w:fill="E4E4E4"/>
          </w:tcPr>
          <w:p>
            <w:pPr>
              <w:spacing w:after="0"/>
              <w:rPr>
                <w:sz w:val="19"/>
                <w:szCs w:val="19"/>
                <w:color w:val="auto"/>
              </w:rPr>
            </w:pPr>
          </w:p>
        </w:tc>
        <w:tc>
          <w:tcPr>
            <w:tcW w:w="1100" w:type="dxa"/>
            <w:vAlign w:val="bottom"/>
            <w:shd w:val="clear" w:color="auto" w:fill="E4E4E4"/>
          </w:tcPr>
          <w:p>
            <w:pPr>
              <w:spacing w:after="0"/>
              <w:rPr>
                <w:sz w:val="19"/>
                <w:szCs w:val="19"/>
                <w:color w:val="auto"/>
              </w:rPr>
            </w:pPr>
          </w:p>
        </w:tc>
      </w:tr>
      <w:tr>
        <w:trPr>
          <w:trHeight w:val="230"/>
        </w:trPr>
        <w:tc>
          <w:tcPr>
            <w:tcW w:w="6420" w:type="dxa"/>
            <w:vAlign w:val="bottom"/>
            <w:tcBorders>
              <w:bottom w:val="single" w:sz="8" w:color="E4E4E4"/>
            </w:tcBorders>
          </w:tcPr>
          <w:p>
            <w:pPr>
              <w:ind w:left="200"/>
              <w:spacing w:after="0"/>
              <w:rPr>
                <w:sz w:val="20"/>
                <w:szCs w:val="20"/>
                <w:color w:val="auto"/>
              </w:rPr>
            </w:pPr>
            <w:r>
              <w:rPr>
                <w:rFonts w:ascii="Times New Roman" w:cs="Times New Roman" w:eastAsia="Times New Roman" w:hAnsi="Times New Roman"/>
                <w:sz w:val="20"/>
                <w:szCs w:val="20"/>
                <w:color w:val="auto"/>
              </w:rPr>
              <w:t>Operating Right of Use Asset</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20"/>
                <w:szCs w:val="20"/>
                <w:color w:val="auto"/>
              </w:rPr>
              <w:t>(781)</w:t>
            </w:r>
          </w:p>
        </w:tc>
        <w:tc>
          <w:tcPr>
            <w:tcW w:w="140" w:type="dxa"/>
            <w:vAlign w:val="bottom"/>
            <w:tcBorders>
              <w:bottom w:val="single" w:sz="8" w:color="E4E4E4"/>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w:t>
            </w:r>
          </w:p>
        </w:tc>
      </w:tr>
      <w:tr>
        <w:trPr>
          <w:trHeight w:val="220"/>
        </w:trPr>
        <w:tc>
          <w:tcPr>
            <w:tcW w:w="6420" w:type="dxa"/>
            <w:vAlign w:val="bottom"/>
            <w:shd w:val="clear" w:color="auto" w:fill="E4E4E4"/>
          </w:tcPr>
          <w:p>
            <w:pPr>
              <w:ind w:left="200"/>
              <w:spacing w:after="0" w:line="220" w:lineRule="exact"/>
              <w:rPr>
                <w:sz w:val="20"/>
                <w:szCs w:val="20"/>
                <w:color w:val="auto"/>
              </w:rPr>
            </w:pPr>
            <w:r>
              <w:rPr>
                <w:rFonts w:ascii="Times New Roman" w:cs="Times New Roman" w:eastAsia="Times New Roman" w:hAnsi="Times New Roman"/>
                <w:sz w:val="20"/>
                <w:szCs w:val="20"/>
                <w:color w:val="auto"/>
              </w:rPr>
              <w:t>Total deferred tax liabilities</w:t>
            </w:r>
          </w:p>
        </w:tc>
        <w:tc>
          <w:tcPr>
            <w:tcW w:w="300" w:type="dxa"/>
            <w:vAlign w:val="bottom"/>
            <w:tcBorders>
              <w:bottom w:val="single" w:sz="8" w:color="auto"/>
            </w:tcBorders>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(781)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300" w:type="dxa"/>
            <w:vAlign w:val="bottom"/>
            <w:tcBorders>
              <w:bottom w:val="single" w:sz="8" w:color="auto"/>
            </w:tcBorders>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(899)</w:t>
            </w:r>
          </w:p>
        </w:tc>
      </w:tr>
      <w:tr>
        <w:trPr>
          <w:trHeight w:val="220"/>
        </w:trPr>
        <w:tc>
          <w:tcPr>
            <w:tcW w:w="6420" w:type="dxa"/>
            <w:vAlign w:val="bottom"/>
            <w:tcBorders>
              <w:bottom w:val="single" w:sz="8" w:color="E4E4E4"/>
            </w:tcBorders>
          </w:tcPr>
          <w:p>
            <w:pPr>
              <w:ind w:left="200"/>
              <w:spacing w:after="0" w:line="220" w:lineRule="exact"/>
              <w:rPr>
                <w:sz w:val="20"/>
                <w:szCs w:val="20"/>
                <w:color w:val="auto"/>
              </w:rPr>
            </w:pPr>
            <w:r>
              <w:rPr>
                <w:rFonts w:ascii="Times New Roman" w:cs="Times New Roman" w:eastAsia="Times New Roman" w:hAnsi="Times New Roman"/>
                <w:sz w:val="20"/>
                <w:szCs w:val="20"/>
                <w:color w:val="auto"/>
              </w:rPr>
              <w:t>Less: Valuation allowance</w:t>
            </w:r>
          </w:p>
        </w:tc>
        <w:tc>
          <w:tcPr>
            <w:tcW w:w="300" w:type="dxa"/>
            <w:vAlign w:val="bottom"/>
            <w:tcBorders>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(130,831)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E4E4E4"/>
            </w:tcBorders>
          </w:tcPr>
          <w:p>
            <w:pPr>
              <w:spacing w:after="0"/>
              <w:rPr>
                <w:sz w:val="19"/>
                <w:szCs w:val="19"/>
                <w:color w:val="auto"/>
              </w:rPr>
            </w:pPr>
          </w:p>
        </w:tc>
        <w:tc>
          <w:tcPr>
            <w:tcW w:w="300" w:type="dxa"/>
            <w:vAlign w:val="bottom"/>
            <w:tcBorders>
              <w:bottom w:val="single" w:sz="8" w:color="auto"/>
            </w:tcBorders>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(124,016)</w:t>
            </w:r>
          </w:p>
        </w:tc>
      </w:tr>
      <w:tr>
        <w:trPr>
          <w:trHeight w:val="220"/>
        </w:trPr>
        <w:tc>
          <w:tcPr>
            <w:tcW w:w="6420" w:type="dxa"/>
            <w:vAlign w:val="bottom"/>
            <w:shd w:val="clear" w:color="auto" w:fill="E4E4E4"/>
          </w:tcPr>
          <w:p>
            <w:pPr>
              <w:ind w:left="200"/>
              <w:spacing w:after="0" w:line="220" w:lineRule="exact"/>
              <w:rPr>
                <w:sz w:val="20"/>
                <w:szCs w:val="20"/>
                <w:color w:val="auto"/>
              </w:rPr>
            </w:pPr>
            <w:r>
              <w:rPr>
                <w:rFonts w:ascii="Times New Roman" w:cs="Times New Roman" w:eastAsia="Times New Roman" w:hAnsi="Times New Roman"/>
                <w:sz w:val="20"/>
                <w:szCs w:val="20"/>
                <w:color w:val="auto"/>
              </w:rPr>
              <w:t>Net deferred tax assets / (liabilities)</w:t>
            </w:r>
          </w:p>
        </w:tc>
        <w:tc>
          <w:tcPr>
            <w:tcW w:w="300" w:type="dxa"/>
            <w:vAlign w:val="bottom"/>
            <w:tcBorders>
              <w:bottom w:val="single" w:sz="8" w:color="auto"/>
            </w:tcBorders>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bottom w:val="single" w:sz="8" w:color="auto"/>
            </w:tcBorders>
            <w:shd w:val="clear" w:color="auto" w:fill="E4E4E4"/>
          </w:tcPr>
          <w:p>
            <w:pPr>
              <w:jc w:val="right"/>
              <w:spacing w:after="0" w:line="22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shd w:val="clear" w:color="auto" w:fill="E4E4E4"/>
          </w:tcPr>
          <w:p>
            <w:pPr>
              <w:spacing w:after="0"/>
              <w:rPr>
                <w:sz w:val="19"/>
                <w:szCs w:val="19"/>
                <w:color w:val="auto"/>
              </w:rPr>
            </w:pPr>
          </w:p>
        </w:tc>
        <w:tc>
          <w:tcPr>
            <w:tcW w:w="140" w:type="dxa"/>
            <w:vAlign w:val="bottom"/>
            <w:shd w:val="clear" w:color="auto" w:fill="E4E4E4"/>
          </w:tcPr>
          <w:p>
            <w:pPr>
              <w:spacing w:after="0"/>
              <w:rPr>
                <w:sz w:val="19"/>
                <w:szCs w:val="19"/>
                <w:color w:val="auto"/>
              </w:rPr>
            </w:pPr>
          </w:p>
        </w:tc>
        <w:tc>
          <w:tcPr>
            <w:tcW w:w="300" w:type="dxa"/>
            <w:vAlign w:val="bottom"/>
            <w:tcBorders>
              <w:bottom w:val="single" w:sz="8" w:color="auto"/>
            </w:tcBorders>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4E4E4"/>
          </w:tcPr>
          <w:p>
            <w:pPr>
              <w:jc w:val="right"/>
              <w:ind w:right="1"/>
              <w:spacing w:after="0" w:line="220" w:lineRule="exact"/>
              <w:rPr>
                <w:sz w:val="20"/>
                <w:szCs w:val="20"/>
                <w:color w:val="auto"/>
              </w:rPr>
            </w:pPr>
            <w:r>
              <w:rPr>
                <w:rFonts w:ascii="Times New Roman" w:cs="Times New Roman" w:eastAsia="Times New Roman" w:hAnsi="Times New Roman"/>
                <w:sz w:val="20"/>
                <w:szCs w:val="20"/>
                <w:color w:val="auto"/>
              </w:rPr>
              <w:t>—</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ind w:right="20" w:firstLine="490"/>
        <w:spacing w:after="0" w:line="253" w:lineRule="auto"/>
        <w:rPr>
          <w:sz w:val="20"/>
          <w:szCs w:val="20"/>
          <w:color w:val="auto"/>
        </w:rPr>
      </w:pPr>
      <w:r>
        <w:rPr>
          <w:rFonts w:ascii="Times New Roman" w:cs="Times New Roman" w:eastAsia="Times New Roman" w:hAnsi="Times New Roman"/>
          <w:sz w:val="20"/>
          <w:szCs w:val="20"/>
          <w:color w:val="333333"/>
        </w:rPr>
        <w:t>Changes in the valuation allowance for deferred tax assets during the year ended December 31, 2022 and 2021 related primarily to the increase in net operating loss carryforwards and tax credit carryforwards and a decrease other deferred tax assets associated with a reduction in the Company’s effective state rate. Changes to the valuation allowance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gridSpan w:val="4"/>
          </w:tcPr>
          <w:p>
            <w:pPr>
              <w:jc w:val="right"/>
              <w:ind w:right="505"/>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r>
      <w:tr>
        <w:trPr>
          <w:trHeight w:val="174"/>
        </w:trPr>
        <w:tc>
          <w:tcPr>
            <w:tcW w:w="6420" w:type="dxa"/>
            <w:vAlign w:val="bottom"/>
            <w:tcBorders>
              <w:bottom w:val="single" w:sz="8" w:color="E4E4E4"/>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8"/>
              <w:spacing w:after="0" w:line="174" w:lineRule="exact"/>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E4E4E4"/>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5"/>
              <w:spacing w:after="0" w:line="174" w:lineRule="exact"/>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64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Valuation allowance as of the beginning of the year</w:t>
            </w:r>
          </w:p>
        </w:tc>
        <w:tc>
          <w:tcPr>
            <w:tcW w:w="300" w:type="dxa"/>
            <w:vAlign w:val="bottom"/>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4E4E4"/>
          </w:tcPr>
          <w:p>
            <w:pPr>
              <w:jc w:val="right"/>
              <w:ind w:right="8"/>
              <w:spacing w:after="0" w:line="220" w:lineRule="exact"/>
              <w:rPr>
                <w:sz w:val="20"/>
                <w:szCs w:val="20"/>
                <w:color w:val="auto"/>
              </w:rPr>
            </w:pPr>
            <w:r>
              <w:rPr>
                <w:rFonts w:ascii="Times New Roman" w:cs="Times New Roman" w:eastAsia="Times New Roman" w:hAnsi="Times New Roman"/>
                <w:sz w:val="20"/>
                <w:szCs w:val="20"/>
                <w:color w:val="auto"/>
              </w:rPr>
              <w:t>124,016</w:t>
            </w:r>
          </w:p>
        </w:tc>
        <w:tc>
          <w:tcPr>
            <w:tcW w:w="140" w:type="dxa"/>
            <w:vAlign w:val="bottom"/>
            <w:shd w:val="clear" w:color="auto" w:fill="E4E4E4"/>
          </w:tcPr>
          <w:p>
            <w:pPr>
              <w:spacing w:after="0"/>
              <w:rPr>
                <w:sz w:val="19"/>
                <w:szCs w:val="19"/>
                <w:color w:val="auto"/>
              </w:rPr>
            </w:pPr>
          </w:p>
        </w:tc>
        <w:tc>
          <w:tcPr>
            <w:tcW w:w="300" w:type="dxa"/>
            <w:vAlign w:val="bottom"/>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shd w:val="clear" w:color="auto" w:fill="E4E4E4"/>
          </w:tcPr>
          <w:p>
            <w:pPr>
              <w:jc w:val="right"/>
              <w:ind w:right="5"/>
              <w:spacing w:after="0" w:line="220" w:lineRule="exact"/>
              <w:rPr>
                <w:sz w:val="20"/>
                <w:szCs w:val="20"/>
                <w:color w:val="auto"/>
              </w:rPr>
            </w:pPr>
            <w:r>
              <w:rPr>
                <w:rFonts w:ascii="Times New Roman" w:cs="Times New Roman" w:eastAsia="Times New Roman" w:hAnsi="Times New Roman"/>
                <w:sz w:val="20"/>
                <w:szCs w:val="20"/>
                <w:color w:val="auto"/>
              </w:rPr>
              <w:t>115,319</w:t>
            </w:r>
          </w:p>
        </w:tc>
      </w:tr>
      <w:tr>
        <w:trPr>
          <w:trHeight w:val="230"/>
        </w:trPr>
        <w:tc>
          <w:tcPr>
            <w:tcW w:w="6420" w:type="dxa"/>
            <w:vAlign w:val="bottom"/>
            <w:tcBorders>
              <w:bottom w:val="single" w:sz="8" w:color="E4E4E4"/>
            </w:tcBorders>
          </w:tcPr>
          <w:p>
            <w:pPr>
              <w:spacing w:after="0"/>
              <w:rPr>
                <w:sz w:val="20"/>
                <w:szCs w:val="20"/>
                <w:color w:val="auto"/>
              </w:rPr>
            </w:pPr>
            <w:r>
              <w:rPr>
                <w:rFonts w:ascii="Times New Roman" w:cs="Times New Roman" w:eastAsia="Times New Roman" w:hAnsi="Times New Roman"/>
                <w:sz w:val="20"/>
                <w:szCs w:val="20"/>
                <w:color w:val="auto"/>
              </w:rPr>
              <w:t>Increases recorded to income tax provision</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20"/>
                <w:szCs w:val="20"/>
                <w:color w:val="auto"/>
              </w:rPr>
              <w:t>6,815</w:t>
            </w:r>
          </w:p>
        </w:tc>
        <w:tc>
          <w:tcPr>
            <w:tcW w:w="140" w:type="dxa"/>
            <w:vAlign w:val="bottom"/>
            <w:tcBorders>
              <w:bottom w:val="single" w:sz="8" w:color="E4E4E4"/>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8,697</w:t>
            </w:r>
          </w:p>
        </w:tc>
      </w:tr>
      <w:tr>
        <w:trPr>
          <w:trHeight w:val="220"/>
        </w:trPr>
        <w:tc>
          <w:tcPr>
            <w:tcW w:w="6420" w:type="dxa"/>
            <w:vAlign w:val="bottom"/>
            <w:shd w:val="clear" w:color="auto" w:fill="E4E4E4"/>
          </w:tcPr>
          <w:p>
            <w:pPr>
              <w:spacing w:after="0" w:line="220" w:lineRule="exact"/>
              <w:rPr>
                <w:sz w:val="20"/>
                <w:szCs w:val="20"/>
                <w:color w:val="auto"/>
              </w:rPr>
            </w:pPr>
            <w:r>
              <w:rPr>
                <w:rFonts w:ascii="Times New Roman" w:cs="Times New Roman" w:eastAsia="Times New Roman" w:hAnsi="Times New Roman"/>
                <w:sz w:val="20"/>
                <w:szCs w:val="20"/>
                <w:color w:val="auto"/>
              </w:rPr>
              <w:t>Valuation Allowance at end of Year</w:t>
            </w:r>
          </w:p>
        </w:tc>
        <w:tc>
          <w:tcPr>
            <w:tcW w:w="300" w:type="dxa"/>
            <w:vAlign w:val="bottom"/>
            <w:tcBorders>
              <w:bottom w:val="single" w:sz="8" w:color="auto"/>
            </w:tcBorders>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4E4E4"/>
          </w:tcPr>
          <w:p>
            <w:pPr>
              <w:jc w:val="right"/>
              <w:ind w:right="8"/>
              <w:spacing w:after="0" w:line="220" w:lineRule="exact"/>
              <w:rPr>
                <w:sz w:val="20"/>
                <w:szCs w:val="20"/>
                <w:color w:val="auto"/>
              </w:rPr>
            </w:pPr>
            <w:r>
              <w:rPr>
                <w:rFonts w:ascii="Times New Roman" w:cs="Times New Roman" w:eastAsia="Times New Roman" w:hAnsi="Times New Roman"/>
                <w:sz w:val="20"/>
                <w:szCs w:val="20"/>
                <w:color w:val="auto"/>
              </w:rPr>
              <w:t>130,831</w:t>
            </w:r>
          </w:p>
        </w:tc>
        <w:tc>
          <w:tcPr>
            <w:tcW w:w="140" w:type="dxa"/>
            <w:vAlign w:val="bottom"/>
            <w:shd w:val="clear" w:color="auto" w:fill="E4E4E4"/>
          </w:tcPr>
          <w:p>
            <w:pPr>
              <w:spacing w:after="0"/>
              <w:rPr>
                <w:sz w:val="19"/>
                <w:szCs w:val="19"/>
                <w:color w:val="auto"/>
              </w:rPr>
            </w:pPr>
          </w:p>
        </w:tc>
        <w:tc>
          <w:tcPr>
            <w:tcW w:w="300" w:type="dxa"/>
            <w:vAlign w:val="bottom"/>
            <w:tcBorders>
              <w:bottom w:val="single" w:sz="8" w:color="auto"/>
            </w:tcBorders>
            <w:shd w:val="clear" w:color="auto" w:fill="E4E4E4"/>
          </w:tcPr>
          <w:p>
            <w:pPr>
              <w:jc w:val="right"/>
              <w:ind w:right="100"/>
              <w:spacing w:after="0" w:line="220" w:lineRule="exact"/>
              <w:rPr>
                <w:sz w:val="20"/>
                <w:szCs w:val="20"/>
                <w:color w:val="auto"/>
              </w:rPr>
            </w:pPr>
            <w:r>
              <w:rPr>
                <w:rFonts w:ascii="Times New Roman" w:cs="Times New Roman" w:eastAsia="Times New Roman" w:hAnsi="Times New Roman"/>
                <w:sz w:val="20"/>
                <w:szCs w:val="20"/>
                <w:color w:val="auto"/>
                <w:w w:val="79"/>
              </w:rPr>
              <w:t>$</w:t>
            </w:r>
          </w:p>
        </w:tc>
        <w:tc>
          <w:tcPr>
            <w:tcW w:w="1100" w:type="dxa"/>
            <w:vAlign w:val="bottom"/>
            <w:tcBorders>
              <w:bottom w:val="single" w:sz="8" w:color="auto"/>
            </w:tcBorders>
            <w:shd w:val="clear" w:color="auto" w:fill="E4E4E4"/>
          </w:tcPr>
          <w:p>
            <w:pPr>
              <w:jc w:val="right"/>
              <w:ind w:right="5"/>
              <w:spacing w:after="0" w:line="220" w:lineRule="exact"/>
              <w:rPr>
                <w:sz w:val="20"/>
                <w:szCs w:val="20"/>
                <w:color w:val="auto"/>
              </w:rPr>
            </w:pPr>
            <w:r>
              <w:rPr>
                <w:rFonts w:ascii="Times New Roman" w:cs="Times New Roman" w:eastAsia="Times New Roman" w:hAnsi="Times New Roman"/>
                <w:sz w:val="20"/>
                <w:szCs w:val="20"/>
                <w:color w:val="auto"/>
              </w:rPr>
              <w:t>124,016</w:t>
            </w:r>
          </w:p>
        </w:tc>
      </w:tr>
      <w:tr>
        <w:trPr>
          <w:trHeight w:val="20"/>
        </w:trPr>
        <w:tc>
          <w:tcPr>
            <w:tcW w:w="6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ind w:right="40" w:firstLine="490"/>
        <w:spacing w:after="0" w:line="256" w:lineRule="auto"/>
        <w:rPr>
          <w:sz w:val="20"/>
          <w:szCs w:val="20"/>
          <w:color w:val="auto"/>
        </w:rPr>
      </w:pPr>
      <w:r>
        <w:rPr>
          <w:rFonts w:ascii="Times New Roman" w:cs="Times New Roman" w:eastAsia="Times New Roman" w:hAnsi="Times New Roman"/>
          <w:sz w:val="19"/>
          <w:szCs w:val="19"/>
          <w:color w:val="333333"/>
        </w:rPr>
        <w:t>As of December 31, 2022, the Company had net operating loss carryforwards that expire for federal, foreign and state income tax purposes of $167.4 million, $1.2 million and $138.6 million, respectively. The federal and state operating losses begin to expire in 2026 and 2030, while the foreign net loss carryforward can be carried forward indefinitely. As of December 31, 2022, the Company had federal net operating loss carryforwards that were generated after December 31, 2017 of $128.7 million that do not expire, however these carryforwards are limited to 80% of the taxable income in any one tax period. As of December 31, 2022, the Company also had available tax credit carryforwards for federal and state income tax purposes of $13.3 million which begin to expire in 2039. Utilization of the pre-Merger net operating loss carryforwards attributable to Zafgen, of approximately $33.5 million, are subject to a substantial annual limitation under Section 382 of the Internal Revenue Code of 1986 due to ownership changes occurred during the tax year associated with the Merger. In addition to the limitation of the pre-Merger NOL’s of Zafgen, the net capitalized R&amp;D deferred tax assets in the amount of $66.9 million is subject to the built-in loss rules under Section 382 and may not be realized if the underlying asset associated with the R&amp;D is disposed within five years of the Merger, or May 28, 2025. In general, an ownership change, as defined by Section 382, results from transactions increasing the ownership of certain stockholders or public groups in the stock of a</w:t>
      </w:r>
    </w:p>
    <w:p>
      <w:pPr>
        <w:sectPr>
          <w:pgSz w:w="11880" w:h="15480" w:orient="portrait"/>
          <w:cols w:equalWidth="0" w:num="1">
            <w:col w:w="9360"/>
          </w:cols>
          <w:pgMar w:left="1260" w:top="1238" w:right="1260" w:bottom="8"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9360"/>
          </w:cols>
          <w:pgMar w:left="1260" w:top="1238" w:right="1260" w:bottom="8" w:gutter="0" w:footer="0" w:header="0"/>
          <w:type w:val="continuous"/>
        </w:sectPr>
      </w:pPr>
    </w:p>
    <w:bookmarkStart w:id="118" w:name="page119"/>
    <w:bookmarkEnd w:id="118"/>
    <w:p>
      <w:pPr>
        <w:ind w:right="80"/>
        <w:spacing w:after="0" w:line="253" w:lineRule="auto"/>
        <w:rPr>
          <w:sz w:val="20"/>
          <w:szCs w:val="20"/>
          <w:color w:val="auto"/>
        </w:rPr>
      </w:pPr>
      <w:r>
        <w:rPr>
          <w:rFonts w:ascii="Times New Roman" w:cs="Times New Roman" w:eastAsia="Times New Roman" w:hAnsi="Times New Roman"/>
          <w:sz w:val="20"/>
          <w:szCs w:val="20"/>
          <w:color w:val="333333"/>
        </w:rPr>
        <w:t>corporation by more than 50% over a three-year period. The ownership changes will limit the amount of pre-merger Zafgen carryforwards that can be utilized annually to offset future taxable income with an annual limitation of approximately $35 thousand per year. The Company has reduced their NOL and R&amp;D tax credit deferred tax assets associated with the pre-Merger Zafgen operations as a result of the 382 analysis.</w:t>
      </w:r>
    </w:p>
    <w:p>
      <w:pPr>
        <w:spacing w:after="0" w:line="70" w:lineRule="exact"/>
        <w:rPr>
          <w:sz w:val="20"/>
          <w:szCs w:val="20"/>
          <w:color w:val="auto"/>
        </w:rPr>
      </w:pPr>
    </w:p>
    <w:p>
      <w:pPr>
        <w:ind w:right="60" w:firstLine="490"/>
        <w:spacing w:after="0" w:line="244" w:lineRule="auto"/>
        <w:rPr>
          <w:sz w:val="20"/>
          <w:szCs w:val="20"/>
          <w:color w:val="auto"/>
        </w:rPr>
      </w:pPr>
      <w:r>
        <w:rPr>
          <w:rFonts w:ascii="Times New Roman" w:cs="Times New Roman" w:eastAsia="Times New Roman" w:hAnsi="Times New Roman"/>
          <w:sz w:val="20"/>
          <w:szCs w:val="20"/>
          <w:color w:val="333333"/>
        </w:rPr>
        <w:t>The Company has not conducted a study to assess whether a change of control has occurred or whether there have been multiple changes of control since inception associated with the pre-Merger Chondrial tax attributes. If the Company experienced a change of control, as defined by Section 382, at any time since inception, utilization of the pre-Merger Chondrial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86" w:lineRule="exact"/>
        <w:rPr>
          <w:sz w:val="20"/>
          <w:szCs w:val="20"/>
          <w:color w:val="auto"/>
        </w:rPr>
      </w:pPr>
    </w:p>
    <w:p>
      <w:pPr>
        <w:ind w:firstLine="490"/>
        <w:spacing w:after="0" w:line="247" w:lineRule="auto"/>
        <w:rPr>
          <w:sz w:val="20"/>
          <w:szCs w:val="20"/>
          <w:color w:val="auto"/>
        </w:rPr>
      </w:pPr>
      <w:r>
        <w:rPr>
          <w:rFonts w:ascii="Times New Roman" w:cs="Times New Roman" w:eastAsia="Times New Roman" w:hAnsi="Times New Roman"/>
          <w:sz w:val="20"/>
          <w:szCs w:val="20"/>
          <w:color w:val="333333"/>
        </w:rPr>
        <w:t>The Tax Cuts and Jobs Act ("TCJA") requires taxpayers to capitalize and amortize research and experimental expenditures under IRC Section 174 for tax years beginning after December 31, 2021. This rule became effective for the Company during the year ended December 31, 2022 and resulted in the capitalization of research and development costs of $20.2 million. The Company will amortize these costs for tax purposes over five years if the research and development was performed in the U.S. and over 15 years if the research and development was performed outside the U.S..</w:t>
      </w:r>
    </w:p>
    <w:p>
      <w:pPr>
        <w:spacing w:after="0" w:line="80" w:lineRule="exact"/>
        <w:rPr>
          <w:sz w:val="20"/>
          <w:szCs w:val="20"/>
          <w:color w:val="auto"/>
        </w:rPr>
      </w:pPr>
    </w:p>
    <w:p>
      <w:pPr>
        <w:ind w:right="100" w:firstLine="490"/>
        <w:spacing w:after="0" w:line="249" w:lineRule="auto"/>
        <w:rPr>
          <w:sz w:val="20"/>
          <w:szCs w:val="20"/>
          <w:color w:val="auto"/>
        </w:rPr>
      </w:pPr>
      <w:r>
        <w:rPr>
          <w:rFonts w:ascii="Times New Roman" w:cs="Times New Roman" w:eastAsia="Times New Roman" w:hAnsi="Times New Roman"/>
          <w:sz w:val="20"/>
          <w:szCs w:val="20"/>
          <w:color w:val="333333"/>
        </w:rPr>
        <w:t>As of December 31, 2022 and 2021, the Company’s net deferred tax asset balance before the valuation allowance was $130.8 million and $124.0 million, respectively, and was comprised principally of net operating loss carryforwards, capitalized research and development expenses and tax credit carryforwards. During the years ended December 31, 2022 and 2021, gross deferred tax assets increased due to deferred tax assets acquired as a result of additional net operating loss carryforwards and research and development tax credits generated.</w:t>
      </w:r>
    </w:p>
    <w:p>
      <w:pPr>
        <w:spacing w:after="0" w:line="77" w:lineRule="exact"/>
        <w:rPr>
          <w:sz w:val="20"/>
          <w:szCs w:val="20"/>
          <w:color w:val="auto"/>
        </w:rPr>
      </w:pPr>
    </w:p>
    <w:p>
      <w:pPr>
        <w:ind w:right="20" w:firstLine="490"/>
        <w:spacing w:after="0" w:line="247" w:lineRule="auto"/>
        <w:rPr>
          <w:sz w:val="20"/>
          <w:szCs w:val="20"/>
          <w:color w:val="auto"/>
        </w:rPr>
      </w:pPr>
      <w:r>
        <w:rPr>
          <w:rFonts w:ascii="Times New Roman" w:cs="Times New Roman" w:eastAsia="Times New Roman" w:hAnsi="Times New Roman"/>
          <w:sz w:val="20"/>
          <w:szCs w:val="20"/>
          <w:color w:val="333333"/>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2022 and 2021. Management reevaluates the positive and negative evidence at each reporting period.</w:t>
      </w:r>
    </w:p>
    <w:p>
      <w:pPr>
        <w:spacing w:after="0" w:line="80" w:lineRule="exact"/>
        <w:rPr>
          <w:sz w:val="20"/>
          <w:szCs w:val="20"/>
          <w:color w:val="auto"/>
        </w:rPr>
      </w:pPr>
    </w:p>
    <w:p>
      <w:pPr>
        <w:ind w:firstLine="490"/>
        <w:spacing w:after="0" w:line="246" w:lineRule="auto"/>
        <w:rPr>
          <w:sz w:val="20"/>
          <w:szCs w:val="20"/>
          <w:color w:val="auto"/>
        </w:rPr>
      </w:pPr>
      <w:r>
        <w:rPr>
          <w:rFonts w:ascii="Times New Roman" w:cs="Times New Roman" w:eastAsia="Times New Roman" w:hAnsi="Times New Roman"/>
          <w:sz w:val="20"/>
          <w:szCs w:val="20"/>
          <w:color w:val="333333"/>
        </w:rPr>
        <w:t>The Company has not recorded any amounts for unrecognized tax benefits as of December 31, 2022 and 2021. 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2016 to the present. Earlier years may be examined to the extent that tax credit or net operating loss carryforwards are used in future periods. The Company’s policy is to record interest and penalties related to income taxes as part of its income tax provision.</w:t>
      </w:r>
    </w:p>
    <w:p>
      <w:pPr>
        <w:spacing w:after="0" w:line="77" w:lineRule="exact"/>
        <w:rPr>
          <w:sz w:val="20"/>
          <w:szCs w:val="20"/>
          <w:color w:val="auto"/>
        </w:rPr>
      </w:pPr>
    </w:p>
    <w:p>
      <w:pPr>
        <w:ind w:left="500" w:hanging="500"/>
        <w:spacing w:after="0"/>
        <w:tabs>
          <w:tab w:leader="none" w:pos="500" w:val="left"/>
        </w:tabs>
        <w:numPr>
          <w:ilvl w:val="0"/>
          <w:numId w:val="6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123" w:lineRule="exact"/>
        <w:rPr>
          <w:sz w:val="20"/>
          <w:szCs w:val="20"/>
          <w:color w:val="auto"/>
        </w:rPr>
      </w:pPr>
    </w:p>
    <w:p>
      <w:pPr>
        <w:ind w:right="120" w:firstLine="490"/>
        <w:spacing w:after="0" w:line="279" w:lineRule="auto"/>
        <w:rPr>
          <w:sz w:val="20"/>
          <w:szCs w:val="20"/>
          <w:color w:val="auto"/>
        </w:rPr>
      </w:pPr>
      <w:r>
        <w:rPr>
          <w:rFonts w:ascii="Times New Roman" w:cs="Times New Roman" w:eastAsia="Times New Roman" w:hAnsi="Times New Roman"/>
          <w:sz w:val="20"/>
          <w:szCs w:val="20"/>
          <w:color w:val="auto"/>
        </w:rPr>
        <w:t>During 2021, the Company purchased a piece of laboratory equipment and lab supplies for a cumulative $0.1 million from a supplier of which one of the Company's directors is also a current director.</w:t>
      </w:r>
    </w:p>
    <w:p>
      <w:pPr>
        <w:sectPr>
          <w:pgSz w:w="11880" w:h="15480" w:orient="portrait"/>
          <w:cols w:equalWidth="0" w:num="1">
            <w:col w:w="9360"/>
          </w:cols>
          <w:pgMar w:left="1260" w:top="1238" w:right="1260" w:bottom="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sectPr>
      <w:pgSz w:w="11880" w:h="15480" w:orient="portrait"/>
      <w:cols w:equalWidth="0" w:num="1">
        <w:col w:w="9360"/>
      </w:cols>
      <w:pgMar w:left="1260" w:top="1238" w:right="1260" w:bottom="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
      <w:numFmt w:val="bullet"/>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
      <w:numFmt w:val="bullet"/>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
      <w:numFmt w:val="bullet"/>
      <w:start w:val="1"/>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1"/>
      <w:numFmt w:val="decimal"/>
      <w:start w:val="104"/>
    </w:lvl>
  </w:abstractNum>
  <w:abstractNum w:abstractNumId="53">
    <w:nsid w:val="354FE9F9"/>
    <w:multiLevelType w:val="hybridMultilevel"/>
    <w:lvl w:ilvl="0">
      <w:lvlJc w:val="left"/>
      <w:lvlText w:val="%1."/>
      <w:numFmt w:val="decimal"/>
      <w:start w:val="1"/>
    </w:lvl>
  </w:abstractNum>
  <w:abstractNum w:abstractNumId="54">
    <w:nsid w:val="15B5AF5C"/>
    <w:multiLevelType w:val="hybridMultilevel"/>
    <w:lvl w:ilvl="0">
      <w:lvlJc w:val="left"/>
      <w:lvlText w:val="%1."/>
      <w:numFmt w:val="decimal"/>
      <w:start w:val="2"/>
    </w:lvl>
  </w:abstractNum>
  <w:abstractNum w:abstractNumId="55">
    <w:nsid w:val="741226BB"/>
    <w:multiLevelType w:val="hybridMultilevel"/>
    <w:lvl w:ilvl="0">
      <w:lvlJc w:val="left"/>
      <w:lvlText w:val="%1."/>
      <w:numFmt w:val="decimal"/>
      <w:start w:val="3"/>
    </w:lvl>
  </w:abstractNum>
  <w:abstractNum w:abstractNumId="56">
    <w:nsid w:val="D34B6A8"/>
    <w:multiLevelType w:val="hybridMultilevel"/>
    <w:lvl w:ilvl="0">
      <w:lvlJc w:val="left"/>
      <w:lvlText w:val="%1."/>
      <w:numFmt w:val="decimal"/>
      <w:start w:val="4"/>
    </w:lvl>
  </w:abstractNum>
  <w:abstractNum w:abstractNumId="57">
    <w:nsid w:val="10233C99"/>
    <w:multiLevelType w:val="hybridMultilevel"/>
    <w:lvl w:ilvl="0">
      <w:lvlJc w:val="left"/>
      <w:lvlText w:val="%1."/>
      <w:numFmt w:val="decimal"/>
      <w:start w:val="5"/>
    </w:lvl>
  </w:abstractNum>
  <w:abstractNum w:abstractNumId="58">
    <w:nsid w:val="3F6AB60F"/>
    <w:multiLevelType w:val="hybridMultilevel"/>
    <w:lvl w:ilvl="0">
      <w:lvlJc w:val="left"/>
      <w:lvlText w:val="%1."/>
      <w:numFmt w:val="decimal"/>
      <w:start w:val="6"/>
    </w:lvl>
  </w:abstractNum>
  <w:abstractNum w:abstractNumId="59">
    <w:nsid w:val="61574095"/>
    <w:multiLevelType w:val="hybridMultilevel"/>
    <w:lvl w:ilvl="0">
      <w:lvlJc w:val="left"/>
      <w:lvlText w:val="%1."/>
      <w:numFmt w:val="decimal"/>
      <w:start w:val="7"/>
    </w:lvl>
  </w:abstractNum>
  <w:abstractNum w:abstractNumId="60">
    <w:nsid w:val="7E0C57B1"/>
    <w:multiLevelType w:val="hybridMultilevel"/>
    <w:lvl w:ilvl="0">
      <w:lvlJc w:val="left"/>
      <w:lvlText w:val="(%1)"/>
      <w:numFmt w:val="lowerLetter"/>
      <w:start w:val="1"/>
    </w:lvl>
  </w:abstractNum>
  <w:abstractNum w:abstractNumId="61">
    <w:nsid w:val="77AE35EB"/>
    <w:multiLevelType w:val="hybridMultilevel"/>
    <w:lvl w:ilvl="0">
      <w:lvlJc w:val="left"/>
      <w:lvlText w:val="%1."/>
      <w:numFmt w:val="decimal"/>
      <w:start w:val="8"/>
    </w:lvl>
  </w:abstractNum>
  <w:abstractNum w:abstractNumId="62">
    <w:nsid w:val="579BE4F1"/>
    <w:multiLevelType w:val="hybridMultilevel"/>
    <w:lvl w:ilvl="0">
      <w:lvlJc w:val="left"/>
      <w:lvlText w:val="%1."/>
      <w:numFmt w:val="decimal"/>
      <w:start w:val="9"/>
    </w:lvl>
  </w:abstractNum>
  <w:abstractNum w:abstractNumId="63">
    <w:nsid w:val="310C50B3"/>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2023-04-11T15:12:35Z</dcterms:created>
  <dcterms:modified xsi:type="dcterms:W3CDTF">2023-04-11T15:12:35Z</dcterms:modified>
</cp:coreProperties>
</file>