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6995795" cy="7785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7785735"/>
                    </a:xfrm>
                    <a:prstGeom prst="rect">
                      <a:avLst/>
                    </a:prstGeom>
                    <a:noFill/>
                  </pic:spPr>
                </pic:pic>
              </a:graphicData>
            </a:graphic>
          </wp:anchor>
        </w:drawing>
      </w:r>
    </w:p>
    <w:p>
      <w:pPr>
        <w:spacing w:after="0" w:line="28" w:lineRule="exact"/>
        <w:rPr>
          <w:sz w:val="24"/>
          <w:szCs w:val="24"/>
          <w:color w:val="auto"/>
        </w:rPr>
      </w:pPr>
    </w:p>
    <w:p>
      <w:pPr>
        <w:sectPr>
          <w:pgSz w:w="11900" w:h="16873" w:orient="portrait"/>
          <w:cols w:equalWidth="0" w:num="2">
            <w:col w:w="2220" w:space="380"/>
            <w:col w:w="848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11"/>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3"/>
            <w:vMerge w:val="restart"/>
          </w:tcPr>
          <w:p>
            <w:pPr>
              <w:spacing w:after="0"/>
              <w:rPr>
                <w:rFonts w:ascii="Arial" w:cs="Arial" w:eastAsia="Arial" w:hAnsi="Arial"/>
                <w:sz w:val="20"/>
                <w:szCs w:val="20"/>
                <w:color w:val="0000EE"/>
                <w:w w:val="89"/>
              </w:rPr>
            </w:pPr>
            <w:hyperlink r:id="rId12">
              <w:r>
                <w:rPr>
                  <w:rFonts w:ascii="Arial" w:cs="Arial" w:eastAsia="Arial" w:hAnsi="Arial"/>
                  <w:sz w:val="20"/>
                  <w:szCs w:val="20"/>
                  <w:color w:val="0000EE"/>
                  <w:w w:val="89"/>
                </w:rPr>
                <w:t>Flynn James E</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12"/>
          </w:tcPr>
          <w:p>
            <w:pPr>
              <w:ind w:left="8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Larimar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LRMR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300" w:type="dxa"/>
            <w:vAlign w:val="bottom"/>
          </w:tcPr>
          <w:p>
            <w:pPr>
              <w:spacing w:after="0"/>
              <w:rPr>
                <w:sz w:val="8"/>
                <w:szCs w:val="8"/>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gridSpan w:val="2"/>
            <w:vMerge w:val="restart"/>
          </w:tcPr>
          <w:p>
            <w:pPr>
              <w:ind w:left="40"/>
              <w:spacing w:after="0"/>
              <w:rPr>
                <w:sz w:val="20"/>
                <w:szCs w:val="20"/>
                <w:color w:val="auto"/>
              </w:rPr>
            </w:pPr>
            <w:r>
              <w:rPr>
                <w:rFonts w:ascii="Arial" w:cs="Arial" w:eastAsia="Arial" w:hAnsi="Arial"/>
                <w:sz w:val="16"/>
                <w:szCs w:val="16"/>
                <w:color w:val="0000FF"/>
              </w:rPr>
              <w:t>X</w:t>
            </w: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200" w:type="dxa"/>
            <w:vAlign w:val="bottom"/>
          </w:tcPr>
          <w:p>
            <w:pPr>
              <w:spacing w:after="0"/>
              <w:rPr>
                <w:sz w:val="2"/>
                <w:szCs w:val="2"/>
                <w:color w:val="auto"/>
              </w:rPr>
            </w:pPr>
          </w:p>
        </w:tc>
        <w:tc>
          <w:tcPr>
            <w:tcW w:w="1580" w:type="dxa"/>
            <w:vAlign w:val="bottom"/>
            <w:gridSpan w:val="5"/>
            <w:vMerge w:val="restart"/>
          </w:tcPr>
          <w:p>
            <w:pPr>
              <w:ind w:left="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Borders>
              <w:bottom w:val="single" w:sz="8" w:color="0000EE"/>
            </w:tcBorders>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5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00" w:type="dxa"/>
            <w:vAlign w:val="bottom"/>
          </w:tcPr>
          <w:p>
            <w:pPr>
              <w:spacing w:after="0"/>
              <w:rPr>
                <w:sz w:val="7"/>
                <w:szCs w:val="7"/>
                <w:color w:val="auto"/>
              </w:rPr>
            </w:pPr>
          </w:p>
        </w:tc>
        <w:tc>
          <w:tcPr>
            <w:tcW w:w="300" w:type="dxa"/>
            <w:vAlign w:val="bottom"/>
            <w:vMerge w:val="restart"/>
          </w:tcPr>
          <w:p>
            <w:pPr>
              <w:ind w:left="20"/>
              <w:spacing w:after="0"/>
              <w:rPr>
                <w:sz w:val="20"/>
                <w:szCs w:val="20"/>
                <w:color w:val="auto"/>
              </w:rPr>
            </w:pPr>
            <w:r>
              <w:rPr>
                <w:rFonts w:ascii="Arial" w:cs="Arial" w:eastAsia="Arial" w:hAnsi="Arial"/>
                <w:sz w:val="16"/>
                <w:szCs w:val="16"/>
                <w:color w:val="0000FF"/>
              </w:rPr>
              <w:t>X</w:t>
            </w:r>
          </w:p>
        </w:tc>
        <w:tc>
          <w:tcPr>
            <w:tcW w:w="1280" w:type="dxa"/>
            <w:vAlign w:val="bottom"/>
            <w:gridSpan w:val="4"/>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11"/>
            <w:vMerge w:val="restart"/>
          </w:tcPr>
          <w:p>
            <w:pPr>
              <w:ind w:left="80"/>
              <w:spacing w:after="0"/>
              <w:rPr>
                <w:sz w:val="20"/>
                <w:szCs w:val="20"/>
                <w:color w:val="auto"/>
              </w:rPr>
            </w:pPr>
            <w:r>
              <w:rPr>
                <w:rFonts w:ascii="Arial" w:cs="Arial" w:eastAsia="Arial" w:hAnsi="Arial"/>
                <w:sz w:val="13"/>
                <w:szCs w:val="13"/>
                <w:color w:val="auto"/>
                <w:w w:val="98"/>
              </w:rPr>
              <w:t>3. Date of Earliest Transaction (Month/Day/Year)</w:t>
            </w: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11"/>
            <w:vMerge w:val="continue"/>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gridSpan w:val="7"/>
            <w:vMerge w:val="restart"/>
          </w:tcPr>
          <w:p>
            <w:pPr>
              <w:spacing w:after="0"/>
              <w:rPr>
                <w:sz w:val="20"/>
                <w:szCs w:val="20"/>
                <w:color w:val="auto"/>
              </w:rPr>
            </w:pPr>
            <w:r>
              <w:rPr>
                <w:rFonts w:ascii="Arial" w:cs="Arial" w:eastAsia="Arial" w:hAnsi="Arial"/>
                <w:sz w:val="16"/>
                <w:szCs w:val="16"/>
                <w:color w:val="0000FF"/>
              </w:rPr>
              <w:t>345 PARK AVENUE SOUTH, 12TH FLOOR</w:t>
            </w:r>
          </w:p>
        </w:tc>
        <w:tc>
          <w:tcPr>
            <w:tcW w:w="1380" w:type="dxa"/>
            <w:vAlign w:val="bottom"/>
            <w:gridSpan w:val="8"/>
          </w:tcPr>
          <w:p>
            <w:pPr>
              <w:ind w:left="300"/>
              <w:spacing w:after="0"/>
              <w:rPr>
                <w:sz w:val="20"/>
                <w:szCs w:val="20"/>
                <w:color w:val="auto"/>
              </w:rPr>
            </w:pPr>
            <w:r>
              <w:rPr>
                <w:rFonts w:ascii="Arial" w:cs="Arial" w:eastAsia="Arial" w:hAnsi="Arial"/>
                <w:sz w:val="16"/>
                <w:szCs w:val="16"/>
                <w:color w:val="0000FF"/>
              </w:rPr>
              <w:t>05/12/2021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jc w:val="right"/>
              <w:spacing w:after="0"/>
              <w:rPr>
                <w:sz w:val="20"/>
                <w:szCs w:val="20"/>
                <w:color w:val="auto"/>
              </w:rPr>
            </w:pPr>
            <w:r>
              <w:rPr>
                <w:rFonts w:ascii="Arial" w:cs="Arial" w:eastAsia="Arial" w:hAnsi="Arial"/>
                <w:sz w:val="16"/>
                <w:szCs w:val="16"/>
                <w:color w:val="0000FF"/>
              </w:rPr>
              <w:t>* Director by Deputization</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00" w:type="dxa"/>
            <w:vAlign w:val="bottom"/>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gridSpan w:val="4"/>
          </w:tcPr>
          <w:p>
            <w:pPr>
              <w:spacing w:after="0"/>
              <w:rPr>
                <w:sz w:val="16"/>
                <w:szCs w:val="16"/>
                <w:color w:val="auto"/>
              </w:rPr>
            </w:pPr>
          </w:p>
        </w:tc>
        <w:tc>
          <w:tcPr>
            <w:tcW w:w="660" w:type="dxa"/>
            <w:vAlign w:val="bottom"/>
            <w:tcBorders>
              <w:bottom w:val="single" w:sz="8" w:color="2C2C2C"/>
            </w:tcBorders>
            <w:gridSpan w:val="2"/>
          </w:tcPr>
          <w:p>
            <w:pPr>
              <w:spacing w:after="0"/>
              <w:rPr>
                <w:sz w:val="16"/>
                <w:szCs w:val="16"/>
                <w:color w:val="auto"/>
              </w:rPr>
            </w:pPr>
          </w:p>
        </w:tc>
        <w:tc>
          <w:tcPr>
            <w:tcW w:w="1300" w:type="dxa"/>
            <w:vAlign w:val="bottom"/>
            <w:tcBorders>
              <w:bottom w:val="single" w:sz="8" w:color="2C2C2C"/>
            </w:tcBorders>
            <w:gridSpan w:val="2"/>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gridSpan w:val="2"/>
          </w:tcPr>
          <w:p>
            <w:pPr>
              <w:spacing w:after="0"/>
              <w:rPr>
                <w:sz w:val="16"/>
                <w:szCs w:val="16"/>
                <w:color w:val="auto"/>
              </w:rPr>
            </w:pPr>
          </w:p>
        </w:tc>
        <w:tc>
          <w:tcPr>
            <w:tcW w:w="3020" w:type="dxa"/>
            <w:vAlign w:val="bottom"/>
            <w:tcBorders>
              <w:bottom w:val="single" w:sz="8" w:color="2C2C2C"/>
            </w:tcBorders>
            <w:gridSpan w:val="7"/>
          </w:tcPr>
          <w:p>
            <w:pPr>
              <w:spacing w:after="0"/>
              <w:rPr>
                <w:sz w:val="16"/>
                <w:szCs w:val="16"/>
                <w:color w:val="auto"/>
              </w:rPr>
            </w:pP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42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40" w:type="dxa"/>
            <w:vAlign w:val="bottom"/>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line="20" w:lineRule="exact"/>
              <w:rPr>
                <w:sz w:val="1"/>
                <w:szCs w:val="1"/>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12"/>
            <w:vMerge w:val="continue"/>
          </w:tcPr>
          <w:p>
            <w:pPr>
              <w:spacing w:after="0"/>
              <w:rPr>
                <w:sz w:val="13"/>
                <w:szCs w:val="13"/>
                <w:color w:val="auto"/>
              </w:rPr>
            </w:pPr>
          </w:p>
        </w:tc>
        <w:tc>
          <w:tcPr>
            <w:tcW w:w="300" w:type="dxa"/>
            <w:vAlign w:val="bottom"/>
          </w:tcPr>
          <w:p>
            <w:pPr>
              <w:spacing w:after="0"/>
              <w:rPr>
                <w:sz w:val="13"/>
                <w:szCs w:val="13"/>
                <w:color w:val="auto"/>
              </w:rPr>
            </w:pPr>
          </w:p>
        </w:tc>
        <w:tc>
          <w:tcPr>
            <w:tcW w:w="340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NEW YORK</w:t>
            </w: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NY</w:t>
            </w:r>
          </w:p>
        </w:tc>
        <w:tc>
          <w:tcPr>
            <w:tcW w:w="1060" w:type="dxa"/>
            <w:vAlign w:val="bottom"/>
            <w:vMerge w:val="restart"/>
          </w:tcPr>
          <w:p>
            <w:pPr>
              <w:ind w:left="20"/>
              <w:spacing w:after="0"/>
              <w:rPr>
                <w:sz w:val="20"/>
                <w:szCs w:val="20"/>
                <w:color w:val="auto"/>
              </w:rPr>
            </w:pPr>
            <w:r>
              <w:rPr>
                <w:rFonts w:ascii="Arial" w:cs="Arial" w:eastAsia="Arial" w:hAnsi="Arial"/>
                <w:sz w:val="16"/>
                <w:szCs w:val="16"/>
                <w:color w:val="0000FF"/>
              </w:rPr>
              <w:t>10010</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gridSpan w:val="2"/>
            <w:vMerge w:val="restart"/>
          </w:tcPr>
          <w:p>
            <w:pPr>
              <w:ind w:left="40"/>
              <w:spacing w:after="0"/>
              <w:rPr>
                <w:sz w:val="20"/>
                <w:szCs w:val="20"/>
                <w:color w:val="auto"/>
              </w:rPr>
            </w:pPr>
            <w:r>
              <w:rPr>
                <w:rFonts w:ascii="Arial" w:cs="Arial" w:eastAsia="Arial" w:hAnsi="Arial"/>
                <w:sz w:val="16"/>
                <w:szCs w:val="16"/>
                <w:color w:val="0000FF"/>
              </w:rPr>
              <w:t>X</w:t>
            </w:r>
          </w:p>
        </w:tc>
        <w:tc>
          <w:tcPr>
            <w:tcW w:w="2960" w:type="dxa"/>
            <w:vAlign w:val="bottom"/>
            <w:gridSpan w:val="8"/>
          </w:tcPr>
          <w:p>
            <w:pPr>
              <w:ind w:left="16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auto"/>
                <w:w w:val="92"/>
              </w:rPr>
              <w:t>Person</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4"/>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20" w:type="dxa"/>
            <w:vAlign w:val="bottom"/>
            <w:tcBorders>
              <w:top w:val="single" w:sz="8" w:color="2C2C2C"/>
            </w:tcBorders>
            <w:gridSpan w:val="22"/>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9"/>
          </w:tcPr>
          <w:p>
            <w:pPr>
              <w:ind w:left="82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4"/>
                <w:szCs w:val="14"/>
                <w:color w:val="auto"/>
              </w:rPr>
            </w:pPr>
          </w:p>
        </w:tc>
        <w:tc>
          <w:tcPr>
            <w:tcW w:w="1820" w:type="dxa"/>
            <w:vAlign w:val="bottom"/>
            <w:gridSpan w:val="4"/>
          </w:tcPr>
          <w:p>
            <w:pPr>
              <w:ind w:left="1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gridSpan w:val="2"/>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700" w:type="dxa"/>
            <w:vAlign w:val="bottom"/>
            <w:gridSpan w:val="8"/>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9"/>
          </w:tcPr>
          <w:p>
            <w:pPr>
              <w:ind w:left="8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  8)</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9"/>
              </w:rPr>
              <w:t>Reported</w:t>
            </w: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0" w:type="dxa"/>
            <w:vAlign w:val="bottom"/>
          </w:tcPr>
          <w:p>
            <w:pPr>
              <w:spacing w:after="0"/>
              <w:rPr>
                <w:sz w:val="11"/>
                <w:szCs w:val="11"/>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40"/>
              <w:spacing w:after="0"/>
              <w:rPr>
                <w:sz w:val="20"/>
                <w:szCs w:val="20"/>
                <w:color w:val="auto"/>
              </w:rPr>
            </w:pPr>
            <w:r>
              <w:rPr>
                <w:rFonts w:ascii="Arial" w:cs="Arial" w:eastAsia="Arial" w:hAnsi="Arial"/>
                <w:sz w:val="11"/>
                <w:szCs w:val="11"/>
                <w:b w:val="1"/>
                <w:bCs w:val="1"/>
                <w:color w:val="auto"/>
              </w:rPr>
              <w:t>(A) or</w:t>
            </w:r>
          </w:p>
        </w:tc>
        <w:tc>
          <w:tcPr>
            <w:tcW w:w="5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5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4"/>
          </w:tcPr>
          <w:p>
            <w:pPr>
              <w:spacing w:after="0"/>
              <w:rPr>
                <w:sz w:val="7"/>
                <w:szCs w:val="7"/>
                <w:color w:val="auto"/>
              </w:rPr>
            </w:pPr>
          </w:p>
        </w:tc>
        <w:tc>
          <w:tcPr>
            <w:tcW w:w="660" w:type="dxa"/>
            <w:vAlign w:val="bottom"/>
            <w:tcBorders>
              <w:bottom w:val="single" w:sz="8" w:color="2C2C2C"/>
            </w:tcBorders>
            <w:gridSpan w:val="2"/>
          </w:tcPr>
          <w:p>
            <w:pPr>
              <w:spacing w:after="0"/>
              <w:rPr>
                <w:sz w:val="7"/>
                <w:szCs w:val="7"/>
                <w:color w:val="auto"/>
              </w:rPr>
            </w:pPr>
          </w:p>
        </w:tc>
        <w:tc>
          <w:tcPr>
            <w:tcW w:w="1860" w:type="dxa"/>
            <w:vAlign w:val="bottom"/>
            <w:tcBorders>
              <w:bottom w:val="single" w:sz="8" w:color="2C2C2C"/>
            </w:tcBorders>
            <w:gridSpan w:val="5"/>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21"/>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60" w:type="dxa"/>
            <w:vAlign w:val="bottom"/>
            <w:gridSpan w:val="18"/>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440" w:type="dxa"/>
            <w:vAlign w:val="bottom"/>
          </w:tcPr>
          <w:p>
            <w:pPr>
              <w:spacing w:after="0"/>
              <w:rPr>
                <w:sz w:val="14"/>
                <w:szCs w:val="14"/>
                <w:color w:val="auto"/>
              </w:rPr>
            </w:pP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7"/>
          </w:tcPr>
          <w:p>
            <w:pPr>
              <w:ind w:left="40"/>
              <w:spacing w:after="0"/>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0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7"/>
          </w:tcPr>
          <w:p>
            <w:pPr>
              <w:ind w:left="40"/>
              <w:spacing w:after="0"/>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4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0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0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7"/>
          </w:tcPr>
          <w:p>
            <w:pPr>
              <w:ind w:left="4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3"/>
                <w:szCs w:val="13"/>
                <w:color w:val="0000FF"/>
              </w:rPr>
              <w:t>Through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tcBorders>
              <w:right w:val="single" w:sz="8" w:color="2C2C2C"/>
            </w:tcBorders>
            <w:gridSpan w:val="3"/>
            <w:vMerge w:val="restart"/>
          </w:tcPr>
          <w:p>
            <w:pPr>
              <w:ind w:left="100"/>
              <w:spacing w:after="0" w:line="140" w:lineRule="exact"/>
              <w:rPr>
                <w:sz w:val="20"/>
                <w:szCs w:val="20"/>
                <w:color w:val="auto"/>
              </w:rPr>
            </w:pPr>
            <w:r>
              <w:rPr>
                <w:rFonts w:ascii="Arial" w:cs="Arial" w:eastAsia="Arial" w:hAnsi="Arial"/>
                <w:sz w:val="13"/>
                <w:szCs w:val="13"/>
                <w:color w:val="0000FF"/>
              </w:rPr>
              <w:t>Deerfield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ind w:left="60"/>
              <w:spacing w:after="0" w:line="212" w:lineRule="exact"/>
              <w:rPr>
                <w:sz w:val="20"/>
                <w:szCs w:val="20"/>
                <w:color w:val="auto"/>
              </w:rPr>
            </w:pPr>
            <w:r>
              <w:rPr>
                <w:rFonts w:ascii="Arial" w:cs="Arial" w:eastAsia="Arial" w:hAnsi="Arial"/>
                <w:sz w:val="13"/>
                <w:szCs w:val="13"/>
                <w:color w:val="0000FF"/>
              </w:rPr>
              <w:t>8,300</w:t>
            </w:r>
            <w:r>
              <w:rPr>
                <w:rFonts w:ascii="Arial" w:cs="Arial" w:eastAsia="Arial" w:hAnsi="Arial"/>
                <w:sz w:val="21"/>
                <w:szCs w:val="21"/>
                <w:color w:val="008000"/>
                <w:vertAlign w:val="superscript"/>
              </w:rPr>
              <w:t>(1)</w:t>
            </w: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spacing w:after="0" w:line="212" w:lineRule="exact"/>
              <w:rPr>
                <w:sz w:val="20"/>
                <w:szCs w:val="20"/>
                <w:color w:val="auto"/>
              </w:rPr>
            </w:pPr>
            <w:r>
              <w:rPr>
                <w:rFonts w:ascii="Arial" w:cs="Arial" w:eastAsia="Arial" w:hAnsi="Arial"/>
                <w:sz w:val="16"/>
                <w:szCs w:val="16"/>
                <w:color w:val="0000FF"/>
                <w:w w:val="87"/>
              </w:rPr>
              <w:t>8,300</w:t>
            </w:r>
            <w:r>
              <w:rPr>
                <w:rFonts w:ascii="Arial" w:cs="Arial" w:eastAsia="Arial" w:hAnsi="Arial"/>
                <w:sz w:val="21"/>
                <w:szCs w:val="21"/>
                <w:color w:val="008000"/>
                <w:w w:val="87"/>
                <w:vertAlign w:val="superscript"/>
              </w:rPr>
              <w:t>(1)</w:t>
            </w: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restart"/>
          </w:tcPr>
          <w:p>
            <w:pPr>
              <w:ind w:left="200"/>
              <w:spacing w:after="0" w:line="212" w:lineRule="exact"/>
              <w:rPr>
                <w:sz w:val="20"/>
                <w:szCs w:val="20"/>
                <w:color w:val="auto"/>
              </w:rPr>
            </w:pPr>
            <w:r>
              <w:rPr>
                <w:rFonts w:ascii="Arial" w:cs="Arial" w:eastAsia="Arial" w:hAnsi="Arial"/>
                <w:sz w:val="13"/>
                <w:szCs w:val="13"/>
                <w:color w:val="0000FF"/>
                <w:w w:val="80"/>
              </w:rPr>
              <w:t>8,300</w:t>
            </w:r>
            <w:r>
              <w:rPr>
                <w:rFonts w:ascii="Arial" w:cs="Arial" w:eastAsia="Arial" w:hAnsi="Arial"/>
                <w:sz w:val="21"/>
                <w:szCs w:val="21"/>
                <w:color w:val="008000"/>
                <w:w w:val="80"/>
                <w:vertAlign w:val="superscript"/>
              </w:rPr>
              <w:t>(1)</w:t>
            </w: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10.34</w:t>
            </w:r>
          </w:p>
        </w:tc>
        <w:tc>
          <w:tcPr>
            <w:tcW w:w="140" w:type="dxa"/>
            <w:vAlign w:val="bottom"/>
          </w:tcPr>
          <w:p>
            <w:pPr>
              <w:spacing w:after="0"/>
              <w:rPr>
                <w:sz w:val="12"/>
                <w:szCs w:val="12"/>
                <w:color w:val="auto"/>
              </w:rPr>
            </w:pPr>
          </w:p>
        </w:tc>
        <w:tc>
          <w:tcPr>
            <w:tcW w:w="1080" w:type="dxa"/>
            <w:vAlign w:val="bottom"/>
          </w:tcPr>
          <w:p>
            <w:pPr>
              <w:ind w:left="240"/>
              <w:spacing w:after="0" w:line="149" w:lineRule="exact"/>
              <w:rPr>
                <w:sz w:val="20"/>
                <w:szCs w:val="20"/>
                <w:color w:val="auto"/>
              </w:rPr>
            </w:pPr>
            <w:r>
              <w:rPr>
                <w:rFonts w:ascii="Arial" w:cs="Arial" w:eastAsia="Arial" w:hAnsi="Arial"/>
                <w:sz w:val="13"/>
                <w:szCs w:val="13"/>
                <w:color w:val="0000FF"/>
              </w:rPr>
              <w:t>05/12/2021</w:t>
            </w: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7"/>
          </w:tcPr>
          <w:p>
            <w:pPr>
              <w:ind w:left="140"/>
              <w:spacing w:after="0" w:line="149" w:lineRule="exact"/>
              <w:rPr>
                <w:sz w:val="20"/>
                <w:szCs w:val="20"/>
                <w:color w:val="auto"/>
              </w:rPr>
            </w:pPr>
            <w:r>
              <w:rPr>
                <w:rFonts w:ascii="Arial" w:cs="Arial" w:eastAsia="Arial" w:hAnsi="Arial"/>
                <w:sz w:val="13"/>
                <w:szCs w:val="13"/>
                <w:color w:val="0000FF"/>
              </w:rPr>
              <w:t>A</w:t>
            </w: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60"/>
              <w:spacing w:after="0" w:line="149" w:lineRule="exact"/>
              <w:rPr>
                <w:sz w:val="20"/>
                <w:szCs w:val="20"/>
                <w:color w:val="auto"/>
              </w:rPr>
            </w:pPr>
            <w:r>
              <w:rPr>
                <w:rFonts w:ascii="Arial" w:cs="Arial" w:eastAsia="Arial" w:hAnsi="Arial"/>
                <w:sz w:val="13"/>
                <w:szCs w:val="13"/>
                <w:color w:val="0000FF"/>
                <w:w w:val="95"/>
              </w:rPr>
              <w:t>05/12/2031</w:t>
            </w:r>
          </w:p>
        </w:tc>
        <w:tc>
          <w:tcPr>
            <w:tcW w:w="66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right"/>
              <w:ind w:right="257"/>
              <w:spacing w:after="0" w:line="149" w:lineRule="exact"/>
              <w:rPr>
                <w:sz w:val="20"/>
                <w:szCs w:val="20"/>
                <w:color w:val="auto"/>
              </w:rPr>
            </w:pPr>
            <w:r>
              <w:rPr>
                <w:rFonts w:ascii="Arial" w:cs="Arial" w:eastAsia="Arial" w:hAnsi="Arial"/>
                <w:sz w:val="13"/>
                <w:szCs w:val="13"/>
                <w:color w:val="0000FF"/>
              </w:rPr>
              <w:t>I</w:t>
            </w:r>
          </w:p>
        </w:tc>
        <w:tc>
          <w:tcPr>
            <w:tcW w:w="840" w:type="dxa"/>
            <w:vAlign w:val="bottom"/>
            <w:tcBorders>
              <w:right w:val="single" w:sz="8" w:color="2C2C2C"/>
            </w:tcBorders>
            <w:gridSpan w:val="3"/>
          </w:tcPr>
          <w:p>
            <w:pPr>
              <w:ind w:left="100"/>
              <w:spacing w:after="0" w:line="149" w:lineRule="exact"/>
              <w:rPr>
                <w:sz w:val="20"/>
                <w:szCs w:val="20"/>
                <w:color w:val="auto"/>
              </w:rPr>
            </w:pPr>
            <w:r>
              <w:rPr>
                <w:rFonts w:ascii="Arial" w:cs="Arial" w:eastAsia="Arial" w:hAnsi="Arial"/>
                <w:sz w:val="13"/>
                <w:szCs w:val="13"/>
                <w:color w:val="0000FF"/>
                <w:w w:val="92"/>
              </w:rPr>
              <w:t>Management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gridSpan w:val="2"/>
          </w:tcPr>
          <w:p>
            <w:pPr>
              <w:ind w:left="60"/>
              <w:spacing w:after="0" w:line="68" w:lineRule="exact"/>
              <w:rPr>
                <w:sz w:val="20"/>
                <w:szCs w:val="20"/>
                <w:color w:val="auto"/>
              </w:rPr>
            </w:pPr>
            <w:r>
              <w:rPr>
                <w:rFonts w:ascii="Arial" w:cs="Arial" w:eastAsia="Arial" w:hAnsi="Arial"/>
                <w:sz w:val="7"/>
                <w:szCs w:val="7"/>
                <w:color w:val="0000FF"/>
              </w:rPr>
              <w:t>(Right to</w:t>
            </w: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ind w:left="160"/>
              <w:spacing w:after="0" w:line="68" w:lineRule="exact"/>
              <w:rPr>
                <w:sz w:val="20"/>
                <w:szCs w:val="20"/>
                <w:color w:val="auto"/>
              </w:rPr>
            </w:pPr>
            <w:r>
              <w:rPr>
                <w:rFonts w:ascii="Arial" w:cs="Arial" w:eastAsia="Arial" w:hAnsi="Arial"/>
                <w:sz w:val="7"/>
                <w:szCs w:val="7"/>
                <w:color w:val="0000FF"/>
              </w:rPr>
              <w:t>Stock</w:t>
            </w: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Borders>
              <w:right w:val="single" w:sz="8" w:color="2C2C2C"/>
            </w:tcBorders>
            <w:gridSpan w:val="3"/>
            <w:vMerge w:val="restart"/>
          </w:tcPr>
          <w:p>
            <w:pPr>
              <w:ind w:left="100"/>
              <w:spacing w:after="0" w:line="126" w:lineRule="exact"/>
              <w:rPr>
                <w:sz w:val="20"/>
                <w:szCs w:val="20"/>
                <w:color w:val="auto"/>
              </w:rPr>
            </w:pPr>
            <w:r>
              <w:rPr>
                <w:rFonts w:ascii="Arial" w:cs="Arial" w:eastAsia="Arial" w:hAnsi="Arial"/>
                <w:sz w:val="13"/>
                <w:szCs w:val="13"/>
                <w:color w:val="0000FF"/>
              </w:rPr>
              <w:t>Company,</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right w:val="single" w:sz="8" w:color="2C2C2C"/>
            </w:tcBorders>
            <w:gridSpan w:val="3"/>
            <w:vMerge w:val="restart"/>
          </w:tcPr>
          <w:p>
            <w:pPr>
              <w:ind w:left="100"/>
              <w:spacing w:after="0" w:line="229"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1"/>
                <w:szCs w:val="11"/>
                <w:color w:val="008000"/>
              </w:rPr>
              <w:t>(1)(3)</w:t>
            </w:r>
          </w:p>
        </w:tc>
        <w:tc>
          <w:tcPr>
            <w:tcW w:w="0" w:type="dxa"/>
            <w:vAlign w:val="bottom"/>
          </w:tcPr>
          <w:p>
            <w:pPr>
              <w:spacing w:after="0"/>
              <w:rPr>
                <w:sz w:val="1"/>
                <w:szCs w:val="1"/>
                <w:color w:val="auto"/>
              </w:rPr>
            </w:pPr>
          </w:p>
        </w:tc>
      </w:tr>
      <w:tr>
        <w:trPr>
          <w:trHeight w:val="172"/>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right w:val="single" w:sz="8" w:color="2C2C2C"/>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6"/>
          </w:tcPr>
          <w:p>
            <w:pPr>
              <w:ind w:left="60"/>
              <w:spacing w:after="0" w:line="231"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0000EE"/>
            </w:tcBorders>
            <w:gridSpan w:val="3"/>
          </w:tcPr>
          <w:p>
            <w:pPr>
              <w:spacing w:after="0" w:line="211" w:lineRule="exact"/>
              <w:rPr>
                <w:rFonts w:ascii="Arial" w:cs="Arial" w:eastAsia="Arial" w:hAnsi="Arial"/>
                <w:sz w:val="20"/>
                <w:szCs w:val="20"/>
                <w:color w:val="0000EE"/>
                <w:w w:val="89"/>
              </w:rPr>
            </w:pPr>
            <w:hyperlink r:id="rId12">
              <w:r>
                <w:rPr>
                  <w:rFonts w:ascii="Arial" w:cs="Arial" w:eastAsia="Arial" w:hAnsi="Arial"/>
                  <w:sz w:val="20"/>
                  <w:szCs w:val="20"/>
                  <w:color w:val="0000EE"/>
                  <w:w w:val="89"/>
                </w:rPr>
                <w:t>Flynn James E</w:t>
              </w:r>
            </w:hyperlink>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00" w:type="dxa"/>
            <w:vAlign w:val="bottom"/>
            <w:gridSpan w:val="7"/>
          </w:tcPr>
          <w:p>
            <w:pPr>
              <w:spacing w:after="0"/>
              <w:rPr>
                <w:sz w:val="20"/>
                <w:szCs w:val="20"/>
                <w:color w:val="auto"/>
              </w:rPr>
            </w:pPr>
            <w:r>
              <w:rPr>
                <w:rFonts w:ascii="Arial" w:cs="Arial" w:eastAsia="Arial" w:hAnsi="Arial"/>
                <w:sz w:val="16"/>
                <w:szCs w:val="16"/>
                <w:color w:val="0000FF"/>
              </w:rPr>
              <w:t>345 PARK AVENUE SOUTH, 12TH FLOOR</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6"/>
                <w:szCs w:val="16"/>
                <w:color w:val="0000FF"/>
              </w:rPr>
              <w:t>NY</w:t>
            </w:r>
          </w:p>
        </w:tc>
        <w:tc>
          <w:tcPr>
            <w:tcW w:w="1060" w:type="dxa"/>
            <w:vAlign w:val="bottom"/>
          </w:tcPr>
          <w:p>
            <w:pPr>
              <w:ind w:left="380"/>
              <w:spacing w:after="0"/>
              <w:rPr>
                <w:sz w:val="20"/>
                <w:szCs w:val="20"/>
                <w:color w:val="auto"/>
              </w:rPr>
            </w:pPr>
            <w:r>
              <w:rPr>
                <w:rFonts w:ascii="Arial" w:cs="Arial" w:eastAsia="Arial" w:hAnsi="Arial"/>
                <w:sz w:val="16"/>
                <w:szCs w:val="16"/>
                <w:color w:val="0000FF"/>
              </w:rPr>
              <w:t>10010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14"/>
          </w:tcPr>
          <w:p>
            <w:pPr>
              <w:spacing w:after="0" w:line="211" w:lineRule="exact"/>
              <w:rPr>
                <w:rFonts w:ascii="Arial" w:cs="Arial" w:eastAsia="Arial" w:hAnsi="Arial"/>
                <w:sz w:val="20"/>
                <w:szCs w:val="20"/>
                <w:color w:val="0000EE"/>
              </w:rPr>
            </w:pPr>
            <w:hyperlink r:id="rId14">
              <w:r>
                <w:rPr>
                  <w:rFonts w:ascii="Arial" w:cs="Arial" w:eastAsia="Arial" w:hAnsi="Arial"/>
                  <w:sz w:val="20"/>
                  <w:szCs w:val="20"/>
                  <w:color w:val="0000EE"/>
                </w:rPr>
                <w:t>DEERFIELD MANAGEMENT COMPANY, L.P.</w:t>
              </w:r>
            </w:hyperlink>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0000EE"/>
            </w:tcBorders>
            <w:gridSpan w:val="3"/>
          </w:tcPr>
          <w:p>
            <w:pPr>
              <w:spacing w:after="0" w:line="208" w:lineRule="exact"/>
              <w:rPr>
                <w:rFonts w:ascii="Arial" w:cs="Arial" w:eastAsia="Arial" w:hAnsi="Arial"/>
                <w:sz w:val="20"/>
                <w:szCs w:val="20"/>
                <w:color w:val="0000EE"/>
              </w:rPr>
            </w:pPr>
            <w:hyperlink r:id="rId14">
              <w:r>
                <w:rPr>
                  <w:rFonts w:ascii="Arial" w:cs="Arial" w:eastAsia="Arial" w:hAnsi="Arial"/>
                  <w:sz w:val="20"/>
                  <w:szCs w:val="20"/>
                  <w:color w:val="0000EE"/>
                </w:rPr>
                <w:t>(SERIES C)</w:t>
              </w:r>
            </w:hyperlink>
          </w:p>
        </w:tc>
        <w:tc>
          <w:tcPr>
            <w:tcW w:w="1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00" w:type="dxa"/>
            <w:vAlign w:val="bottom"/>
            <w:gridSpan w:val="7"/>
          </w:tcPr>
          <w:p>
            <w:pPr>
              <w:spacing w:after="0"/>
              <w:rPr>
                <w:sz w:val="20"/>
                <w:szCs w:val="20"/>
                <w:color w:val="auto"/>
              </w:rPr>
            </w:pPr>
            <w:r>
              <w:rPr>
                <w:rFonts w:ascii="Arial" w:cs="Arial" w:eastAsia="Arial" w:hAnsi="Arial"/>
                <w:sz w:val="16"/>
                <w:szCs w:val="16"/>
                <w:color w:val="0000FF"/>
              </w:rPr>
              <w:t>345 PARK AVENUE SOUTH, 12TH FLOOR</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6"/>
                <w:szCs w:val="16"/>
                <w:color w:val="0000FF"/>
              </w:rPr>
              <w:t>NY</w:t>
            </w:r>
          </w:p>
        </w:tc>
        <w:tc>
          <w:tcPr>
            <w:tcW w:w="1060" w:type="dxa"/>
            <w:vAlign w:val="bottom"/>
          </w:tcPr>
          <w:p>
            <w:pPr>
              <w:ind w:left="380"/>
              <w:spacing w:after="0"/>
              <w:rPr>
                <w:sz w:val="20"/>
                <w:szCs w:val="20"/>
                <w:color w:val="auto"/>
              </w:rPr>
            </w:pPr>
            <w:r>
              <w:rPr>
                <w:rFonts w:ascii="Arial" w:cs="Arial" w:eastAsia="Arial" w:hAnsi="Arial"/>
                <w:sz w:val="16"/>
                <w:szCs w:val="16"/>
                <w:color w:val="0000FF"/>
              </w:rPr>
              <w:t>10010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-5250180</wp:posOffset>
            </wp:positionV>
            <wp:extent cx="28575" cy="2015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01549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400"/>
        <w:spacing w:after="0" w:line="24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Jonathan S. Leff, a partner in Deerfield Management Company, L.P., serves as a director of the Issuer. The option granted to Jonathan S. Leff and reported herein is held for the benefit, and at the direction, of Deerfield Management Company, L.P. ("Deerfield Management").</w:t>
      </w:r>
    </w:p>
    <w:p>
      <w:pPr>
        <w:spacing w:after="0" w:line="28" w:lineRule="exact"/>
        <w:rPr>
          <w:rFonts w:ascii="Arial" w:cs="Arial" w:eastAsia="Arial" w:hAnsi="Arial"/>
          <w:sz w:val="13"/>
          <w:szCs w:val="13"/>
          <w:color w:val="008000"/>
        </w:rPr>
      </w:pPr>
    </w:p>
    <w:p>
      <w:pPr>
        <w:ind w:left="40" w:right="560"/>
        <w:spacing w:after="0" w:line="24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granted on May 12, 2021 and is scheduled to vest on the earlier of May 12, 2022 and the date of the Issuer's next annual meeting of stockholders, in each case, subject to Jonathan S. Leff 's continued service with the Issuer through each applicable vesting date.</w:t>
      </w:r>
    </w:p>
    <w:p>
      <w:pPr>
        <w:spacing w:after="0" w:line="28" w:lineRule="exact"/>
        <w:rPr>
          <w:rFonts w:ascii="Arial" w:cs="Arial" w:eastAsia="Arial" w:hAnsi="Arial"/>
          <w:sz w:val="13"/>
          <w:szCs w:val="13"/>
          <w:color w:val="008000"/>
        </w:rPr>
      </w:pPr>
    </w:p>
    <w:p>
      <w:pPr>
        <w:ind w:left="40" w:right="220"/>
        <w:spacing w:after="0" w:line="23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being filed by the undersigned as well as the entity listed on the Joint Filer Information Statement attached as an exhibit hereto (the "Reporting Persons"). James E. Flynn is the sole member of the general partner of Deerfield Management Company, L.P. For purposes of Section 16 of the Securities Exchange Act of 1934, as amended, each Reporting Person disclaims beneficial ownership of any such securities, except to the extent of his/its indirect pecuniary interest therein, if any, and this report shall not be deemed an admission that such Reporting Person is the beneficial owner of such securities for purposes of Section 16 or otherwise.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0"/>
          <w:szCs w:val="20"/>
          <w:color w:val="auto"/>
        </w:rPr>
      </w:pPr>
    </w:p>
    <w:p>
      <w:pPr>
        <w:ind w:left="40" w:right="220"/>
        <w:spacing w:after="0" w:line="232" w:lineRule="auto"/>
        <w:rPr>
          <w:sz w:val="20"/>
          <w:szCs w:val="20"/>
          <w:color w:val="auto"/>
        </w:rPr>
      </w:pPr>
      <w:r>
        <w:rPr>
          <w:rFonts w:ascii="Arial" w:cs="Arial" w:eastAsia="Arial" w:hAnsi="Arial"/>
          <w:sz w:val="13"/>
          <w:szCs w:val="13"/>
          <w:color w:val="008000"/>
        </w:rPr>
        <w:t>Jonathan S. Leff, a partner in Deerfield Management, serves as a director of the Issuer. Jonathan Isler, Attorney-in-Fact: Power of Attorney, which is hereby incorporated by reference to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sectPr>
          <w:pgSz w:w="11900" w:h="16873" w:orient="portrait"/>
          <w:cols w:equalWidth="0" w:num="1">
            <w:col w:w="11080"/>
          </w:cols>
          <w:pgMar w:left="460" w:top="220" w:right="359" w:bottom="0" w:gutter="0" w:footer="0" w:header="0"/>
          <w:type w:val="continuous"/>
        </w:sectPr>
      </w:pPr>
    </w:p>
    <w:p>
      <w:pPr>
        <w:spacing w:after="0" w:line="5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6"/>
          <w:szCs w:val="16"/>
          <w:color w:val="0000FF"/>
        </w:rPr>
        <w:t>/s/ Jonathan Isler, Attorney-in-</w:t>
      </w:r>
      <w:r>
        <w:rPr>
          <w:sz w:val="20"/>
          <w:szCs w:val="20"/>
          <w:color w:val="auto"/>
        </w:rPr>
        <w:tab/>
      </w:r>
      <w:r>
        <w:rPr>
          <w:rFonts w:ascii="Arial" w:cs="Arial" w:eastAsia="Arial" w:hAnsi="Arial"/>
          <w:sz w:val="14"/>
          <w:szCs w:val="14"/>
          <w:color w:val="0000FF"/>
        </w:rPr>
        <w:t>05/17/2021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-5715</wp:posOffset>
            </wp:positionV>
            <wp:extent cx="1871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sectPr>
          <w:pgSz w:w="11900" w:h="16873" w:orient="portrait"/>
          <w:cols w:equalWidth="0" w:num="1">
            <w:col w:w="11080"/>
          </w:cols>
          <w:pgMar w:left="460" w:top="220" w:right="359" w:bottom="0" w:gutter="0" w:footer="0" w:header="0"/>
          <w:type w:val="continuous"/>
        </w:sectPr>
      </w:pPr>
    </w:p>
    <w:bookmarkStart w:id="1" w:name="page2"/>
    <w:bookmarkEnd w:id="1"/>
    <w:p>
      <w:pPr>
        <w:ind w:left="656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-5715</wp:posOffset>
            </wp:positionV>
            <wp:extent cx="18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58"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39"/>
        <w:spacing w:after="0" w:line="327"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0"/>
          </w:cols>
          <w:pgMar w:left="500" w:top="131"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6"/>
          <w:szCs w:val="16"/>
          <w:color w:val="auto"/>
        </w:rPr>
        <w:t>Joint Filer Information</w:t>
      </w:r>
    </w:p>
    <w:p>
      <w:pPr>
        <w:sectPr>
          <w:pgSz w:w="11900" w:h="16838" w:orient="portrait"/>
          <w:cols w:equalWidth="0" w:num="1">
            <w:col w:w="10720"/>
          </w:cols>
          <w:pgMar w:left="460" w:top="355" w:right="71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Names: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Deerfield Management Company, L.P.</w:t>
      </w:r>
    </w:p>
    <w:p>
      <w:pPr>
        <w:spacing w:after="0" w:line="200" w:lineRule="exact"/>
        <w:rPr>
          <w:sz w:val="20"/>
          <w:szCs w:val="20"/>
          <w:color w:val="auto"/>
        </w:rPr>
      </w:pPr>
    </w:p>
    <w:p>
      <w:pPr>
        <w:sectPr>
          <w:pgSz w:w="11900" w:h="16838" w:orient="portrait"/>
          <w:cols w:equalWidth="0" w:num="2">
            <w:col w:w="2140" w:space="720"/>
            <w:col w:w="7860"/>
          </w:cols>
          <w:pgMar w:left="460" w:top="355" w:right="71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345 Park Avenue South, 12th Floor</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10010</w:t>
      </w:r>
    </w:p>
    <w:p>
      <w:pPr>
        <w:spacing w:after="0" w:line="199" w:lineRule="exact"/>
        <w:rPr>
          <w:sz w:val="20"/>
          <w:szCs w:val="20"/>
          <w:color w:val="auto"/>
        </w:rPr>
      </w:pPr>
    </w:p>
    <w:p>
      <w:pPr>
        <w:sectPr>
          <w:pgSz w:w="11900" w:h="16838" w:orient="portrait"/>
          <w:cols w:equalWidth="0" w:num="2">
            <w:col w:w="2140" w:space="720"/>
            <w:col w:w="7860"/>
          </w:cols>
          <w:pgMar w:left="460" w:top="355" w:right="719" w:bottom="1440" w:gutter="0" w:footer="0" w:header="0"/>
          <w:type w:val="continuous"/>
        </w:sectPr>
      </w:pPr>
    </w:p>
    <w:p>
      <w:pPr>
        <w:spacing w:after="0"/>
        <w:rPr>
          <w:sz w:val="20"/>
          <w:szCs w:val="20"/>
          <w:color w:val="auto"/>
        </w:rPr>
      </w:pPr>
      <w:r>
        <w:rPr>
          <w:rFonts w:ascii="Arial" w:cs="Arial" w:eastAsia="Arial" w:hAnsi="Arial"/>
          <w:sz w:val="15"/>
          <w:szCs w:val="15"/>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James E. Flynn</w:t>
      </w:r>
    </w:p>
    <w:p>
      <w:pPr>
        <w:spacing w:after="0" w:line="200" w:lineRule="exact"/>
        <w:rPr>
          <w:sz w:val="20"/>
          <w:szCs w:val="20"/>
          <w:color w:val="auto"/>
        </w:rPr>
      </w:pPr>
    </w:p>
    <w:p>
      <w:pPr>
        <w:sectPr>
          <w:pgSz w:w="11900" w:h="16838" w:orient="portrait"/>
          <w:cols w:equalWidth="0" w:num="2">
            <w:col w:w="2140" w:space="720"/>
            <w:col w:w="7860"/>
          </w:cols>
          <w:pgMar w:left="460" w:top="355" w:right="71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Issuer and Ticker Symbol:</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Larimar Therapeutics, Inc. [LRMR]</w:t>
      </w:r>
    </w:p>
    <w:p>
      <w:pPr>
        <w:spacing w:after="0" w:line="200" w:lineRule="exact"/>
        <w:rPr>
          <w:sz w:val="20"/>
          <w:szCs w:val="20"/>
          <w:color w:val="auto"/>
        </w:rPr>
      </w:pPr>
    </w:p>
    <w:p>
      <w:pPr>
        <w:sectPr>
          <w:pgSz w:w="11900" w:h="16838" w:orient="portrait"/>
          <w:cols w:equalWidth="0" w:num="2">
            <w:col w:w="2140" w:space="720"/>
            <w:col w:w="7860"/>
          </w:cols>
          <w:pgMar w:left="460" w:top="355" w:right="71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Date of Event Requiring Statement: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May 12, 2021</w:t>
      </w:r>
    </w:p>
    <w:p>
      <w:pPr>
        <w:spacing w:after="0" w:line="200" w:lineRule="exact"/>
        <w:rPr>
          <w:sz w:val="20"/>
          <w:szCs w:val="20"/>
          <w:color w:val="auto"/>
        </w:rPr>
      </w:pPr>
    </w:p>
    <w:p>
      <w:pPr>
        <w:sectPr>
          <w:pgSz w:w="11900" w:h="16838" w:orient="portrait"/>
          <w:cols w:equalWidth="0" w:num="2">
            <w:col w:w="2420" w:space="440"/>
            <w:col w:w="7860"/>
          </w:cols>
          <w:pgMar w:left="460" w:top="355" w:right="71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Deerfield Management Company, L.P., is jointly filing the attached Statement of Changes in Beneficial Ownership on Form 4 with James 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Flynn with respect to the beneficial ownership of securities of Larimar Therapeutics, Inc.</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Signatures: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DEERFIELD MANAGEMENT COMPANY, L.P.</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By: Flynn Management LLC, General Partner</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Jonathan Isler</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Jonathan Isler, Attorney-In-Fact</w:t>
      </w:r>
    </w:p>
    <w:sectPr>
      <w:pgSz w:w="11900" w:h="16838" w:orient="portrait"/>
      <w:cols w:equalWidth="0" w:num="1">
        <w:col w:w="10720"/>
      </w:cols>
      <w:pgMar w:left="460" w:top="355"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2" Type="http://schemas.openxmlformats.org/officeDocument/2006/relationships/hyperlink" Target="http://www.sec.gov/cgi-bin/browse-edgar?action=getcompany&amp;CIK=0001352546" TargetMode="External"/><Relationship Id="rId13" Type="http://schemas.openxmlformats.org/officeDocument/2006/relationships/hyperlink" Target="http://www.sec.gov/cgi-bin/browse-edgar?action=getcompany&amp;CIK=0001374690" TargetMode="External"/><Relationship Id="rId14" Type="http://schemas.openxmlformats.org/officeDocument/2006/relationships/hyperlink" Target="http://www.sec.gov/cgi-bin/browse-edgar?action=getcompany&amp;CIK=000100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2021-05-17T16:18:25Z</dcterms:created>
  <dcterms:modified xsi:type="dcterms:W3CDTF">2021-05-17T16:18:25Z</dcterms:modified>
</cp:coreProperties>
</file>