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March 14,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438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380" w:type="dxa"/>
            <w:vAlign w:val="bottom"/>
          </w:tcPr>
          <w:p>
            <w:pPr>
              <w:jc w:val="center"/>
              <w:ind w:right="17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8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3000" w:type="dxa"/>
            <w:vAlign w:val="bottom"/>
          </w:tcPr>
          <w:p>
            <w:pPr>
              <w:spacing w:after="0"/>
              <w:rPr>
                <w:sz w:val="24"/>
                <w:szCs w:val="24"/>
                <w:color w:val="auto"/>
              </w:rPr>
            </w:pPr>
          </w:p>
        </w:tc>
      </w:tr>
      <w:tr>
        <w:trPr>
          <w:trHeight w:val="227"/>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3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 2020 Equity Incentive Plan</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Carole S. Ben-Maimon, M.D.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Bala Cynwyd, Pennsylvania 19004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(844) 511-9056</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Rachael M. Bushey, Esq.</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Jennifer L. Porter, Esq.</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Commerce Square</w:t>
      </w:r>
    </w:p>
    <w:p>
      <w:pPr>
        <w:jc w:val="center"/>
        <w:ind w:right="-39"/>
        <w:spacing w:after="0" w:line="181" w:lineRule="auto"/>
        <w:rPr>
          <w:sz w:val="20"/>
          <w:szCs w:val="20"/>
          <w:color w:val="auto"/>
        </w:rPr>
      </w:pPr>
      <w:r>
        <w:rPr>
          <w:rFonts w:ascii="Times New Roman" w:cs="Times New Roman" w:eastAsia="Times New Roman" w:hAnsi="Times New Roman"/>
          <w:sz w:val="18"/>
          <w:szCs w:val="18"/>
          <w:b w:val="1"/>
          <w:bCs w:val="1"/>
          <w:color w:val="auto"/>
        </w:rPr>
        <w:t>2005 Market St., 32</w:t>
      </w:r>
      <w:r>
        <w:rPr>
          <w:rFonts w:ascii="Times New Roman" w:cs="Times New Roman" w:eastAsia="Times New Roman" w:hAnsi="Times New Roman"/>
          <w:sz w:val="26"/>
          <w:szCs w:val="26"/>
          <w:b w:val="1"/>
          <w:bCs w:val="1"/>
          <w:color w:val="auto"/>
          <w:vertAlign w:val="superscript"/>
        </w:rPr>
        <w:t>nd</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19103</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(445) 207-7805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“smaller reporting company,” and “emerging growth company” in Rule 12b-2 of the Exchange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registering an additional 1,756,363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that were added to the shares authorized for issuance under the Larimar Therapeutics,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a result of the operation of an automatic annual increase provision included therein and for which a Registration Statement on Form S-8 relating to the same employee benefit plan is effective.</w:t>
      </w:r>
    </w:p>
    <w:p>
      <w:pPr>
        <w:spacing w:after="0" w:line="180"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The Registrant previously filed Registration Statements on Form S-8 (File Nos. 333-249287 and 333-270535)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to register 4,753,895 shares of Common Stock that were authorized for issuance under the Plan. Upon the effectiveness of this Registration Statement, an aggregate of 6,510,258 shares of Common Stock will be registered for issuance from time to time under the Plan. Pursuant to General Instruction E to Form S-8, the contents of the Registration Statements on Form S-8 (File Nos. 333-249287 and</w:t>
      </w:r>
    </w:p>
    <w:p>
      <w:pPr>
        <w:spacing w:after="0" w:line="3"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333-270535) filed with the Commission on October 2, 2020 and March 14, 2023 are incorporated herein by reference except to the extent supplemented, amended or superseded by the information set forth herein. Only those items of Form S-8 containing new information not contained in the earlier registration statement are presented herein.</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by reference in this Registration Statement as of their respective dates:</w:t>
      </w:r>
    </w:p>
    <w:p>
      <w:pPr>
        <w:spacing w:after="0" w:line="162" w:lineRule="exact"/>
        <w:rPr>
          <w:sz w:val="20"/>
          <w:szCs w:val="20"/>
          <w:color w:val="auto"/>
        </w:rPr>
      </w:pPr>
    </w:p>
    <w:p>
      <w:pPr>
        <w:ind w:left="244" w:hanging="244"/>
        <w:spacing w:after="0"/>
        <w:tabs>
          <w:tab w:leader="none" w:pos="2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2023, filed with the Commission on </w:t>
      </w:r>
      <w:hyperlink r:id="rId17">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hanging="4"/>
        <w:spacing w:after="0" w:line="266" w:lineRule="auto"/>
        <w:tabs>
          <w:tab w:leader="none" w:pos="259"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(in each case other than portions thereof furnished under Item 2.02 or Item 7.01 of Form 8-K and exhibits accompanying such reports related to such items) filed with the Commission on </w:t>
      </w:r>
      <w:hyperlink r:id="rId18">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March 11,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5" w:lineRule="exact"/>
        <w:rPr>
          <w:rFonts w:ascii="Times New Roman" w:cs="Times New Roman" w:eastAsia="Times New Roman" w:hAnsi="Times New Roman"/>
          <w:sz w:val="18"/>
          <w:szCs w:val="18"/>
          <w:color w:val="0000EE"/>
        </w:rPr>
      </w:pPr>
    </w:p>
    <w:p>
      <w:pPr>
        <w:ind w:left="4" w:right="60" w:hanging="4"/>
        <w:spacing w:after="0" w:line="282" w:lineRule="auto"/>
        <w:tabs>
          <w:tab w:leader="none" w:pos="2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Registration Statement </w:t>
      </w:r>
      <w:hyperlink r:id="rId22">
        <w:r>
          <w:rPr>
            <w:rFonts w:ascii="Times New Roman" w:cs="Times New Roman" w:eastAsia="Times New Roman" w:hAnsi="Times New Roman"/>
            <w:sz w:val="18"/>
            <w:szCs w:val="18"/>
            <w:u w:val="single" w:color="auto"/>
            <w:color w:val="0000EE"/>
          </w:rPr>
          <w:t>on 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18, 2014 (File No. 001-36510), together with any amendment thereto filed with the Commission for the purpose of updating such description.</w:t>
      </w:r>
    </w:p>
    <w:p>
      <w:pPr>
        <w:spacing w:after="0" w:line="162" w:lineRule="exact"/>
        <w:rPr>
          <w:rFonts w:ascii="Times New Roman" w:cs="Times New Roman" w:eastAsia="Times New Roman" w:hAnsi="Times New Roman"/>
          <w:sz w:val="18"/>
          <w:szCs w:val="18"/>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and 15(d) of the Securities Exchange Act of 1934, as amended (other than information furnished under Item 2.02 or 7.01 of Form 8-K and exhibits furnished on such form that relate to such items unless such form expressly provides to the contrary)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w:t>
      </w:r>
    </w:p>
    <w:p>
      <w:pPr>
        <w:spacing w:after="0" w:line="183" w:lineRule="exact"/>
        <w:rPr>
          <w:rFonts w:ascii="Times New Roman" w:cs="Times New Roman" w:eastAsia="Times New Roman" w:hAnsi="Times New Roman"/>
          <w:sz w:val="18"/>
          <w:szCs w:val="18"/>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w:t>
      </w:r>
    </w:p>
    <w:p>
      <w:pPr>
        <w:sectPr>
          <w:pgSz w:w="11900" w:h="16838" w:orient="portrait"/>
          <w:cols w:equalWidth="0" w:num="1">
            <w:col w:w="11004"/>
          </w:cols>
          <w:pgMar w:left="436" w:top="266"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760" w:type="dxa"/>
            <w:vAlign w:val="bottom"/>
            <w:gridSpan w:val="1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980" w:type="dxa"/>
            <w:vAlign w:val="bottom"/>
            <w:gridSpan w:val="21"/>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Ninth Amended and Restated Certificate of Incorporation of Larimar Therapeutics, Inc. (incorporated herein by reference to Exhibit 3.1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the Company’s Current Report on Form 8-K (File No. 001-36510) filed on June 24,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8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Certificate of Amendment of Ninth Amended and Restated Certificate of Incorporation of Zafgen, Inc. related to the Reverse Stock Split,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dated May 28, 2020 (incorporated herein by reference to Exhibit 3.1 to the Company’s Current Report on Form 8-K (File No. 001-36510)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filed on June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Certificate of Amendment of Ninth Amended and Restated Certificate of Incorporation of Zafgen, Inc. related to the Name Change, dated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May 28, 2020 (incorporated herein by reference to Exhibit 3.2 to the Company’s Current Report on Form 8-K (File No. 001-36510)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on June 2, 2020)</w:t>
              </w:r>
            </w:hyperlink>
          </w:p>
        </w:tc>
        <w:tc>
          <w:tcPr>
            <w:tcW w:w="8700" w:type="dxa"/>
            <w:vAlign w:val="bottom"/>
            <w:tcBorders>
              <w:top w:val="single" w:sz="8" w:color="0000EE"/>
            </w:tcBorders>
            <w:gridSpan w:val="15"/>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9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Amended and Restated Bylaws of Larimar Therapeutics, Inc. (incorporated herein by reference to Exhibit 3.2 to the Company’s Current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Report on Form 8-K (File No. 001-36510) filed on June 24, 2014)</w:t>
              </w:r>
            </w:hyperlink>
          </w:p>
        </w:tc>
        <w:tc>
          <w:tcPr>
            <w:tcW w:w="52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 for Larimar Therapeutics, Inc.</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Goodwin Procter LLP (contained in Exhibit 5.1)</w:t>
            </w:r>
          </w:p>
        </w:tc>
        <w:tc>
          <w:tcPr>
            <w:tcW w:w="4260" w:type="dxa"/>
            <w:vAlign w:val="bottom"/>
            <w:tcBorders>
              <w:top w:val="single" w:sz="8" w:color="0000EE"/>
            </w:tcBorders>
            <w:gridSpan w:val="6"/>
          </w:tcPr>
          <w:p>
            <w:pPr>
              <w:spacing w:after="0"/>
              <w:rPr>
                <w:sz w:val="24"/>
                <w:szCs w:val="24"/>
                <w:color w:val="auto"/>
              </w:rPr>
            </w:pPr>
          </w:p>
        </w:tc>
        <w:tc>
          <w:tcPr>
            <w:tcW w:w="1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Larimar Therapeutics, Inc. 2020 Equity Incentive Plan (incorporated herein by reference to Exhibit 10.1 to the Company’s Current Report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on Form 8-K/A (File No. 001-36510) filed on September 29,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Stock Option Grant Notice and Award Agreement (incorporated herein by reference to Exhibit 10.2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Report on Form 8-K/A (File No. 001-36510) filed on September 29, 2020)</w:t>
              </w:r>
            </w:hyperlink>
          </w:p>
        </w:tc>
        <w:tc>
          <w:tcPr>
            <w:tcW w:w="4320" w:type="dxa"/>
            <w:vAlign w:val="bottom"/>
            <w:tcBorders>
              <w:top w:val="single" w:sz="8" w:color="0000EE"/>
            </w:tcBorders>
            <w:gridSpan w:val="4"/>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Restricted Stock Unit Award Agreement (incorporated herein by reference to Exhibit 10.3 to the Company’s Annual Report on</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Form 10-K (File No. 001-36510) filed on March 14, 2023)</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3040" w:type="dxa"/>
            <w:vAlign w:val="bottom"/>
            <w:tcBorders>
              <w:top w:val="single" w:sz="8" w:color="0000EE"/>
            </w:tcBorders>
            <w:gridSpan w:val="4"/>
          </w:tcPr>
          <w:p>
            <w:pPr>
              <w:spacing w:after="0"/>
              <w:rPr>
                <w:sz w:val="24"/>
                <w:szCs w:val="24"/>
                <w:color w:val="auto"/>
              </w:rPr>
            </w:pPr>
          </w:p>
        </w:tc>
        <w:tc>
          <w:tcPr>
            <w:tcW w:w="5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March 14,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Carole S. Ben-Maimon, M.D.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each of Carole 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Ben-Maimon, M.D. and Michael Celano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 </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S. Ben-Maimon, M.D.</w:t>
            </w:r>
          </w:p>
        </w:tc>
        <w:tc>
          <w:tcPr>
            <w:tcW w:w="3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w:t>
            </w:r>
          </w:p>
        </w:tc>
        <w:tc>
          <w:tcPr>
            <w:tcW w:w="3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2024</w:t>
            </w:r>
          </w:p>
        </w:tc>
      </w:tr>
      <w:tr>
        <w:trPr>
          <w:trHeight w:val="178"/>
        </w:trPr>
        <w:tc>
          <w:tcPr>
            <w:tcW w:w="37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Carole S. Ben-Maimon, M.D.</w:t>
            </w:r>
          </w:p>
        </w:tc>
        <w:tc>
          <w:tcPr>
            <w:tcW w:w="380" w:type="dxa"/>
            <w:vAlign w:val="bottom"/>
          </w:tcPr>
          <w:p>
            <w:pPr>
              <w:spacing w:after="0"/>
              <w:rPr>
                <w:sz w:val="15"/>
                <w:szCs w:val="15"/>
                <w:color w:val="auto"/>
              </w:rPr>
            </w:pPr>
          </w:p>
        </w:tc>
        <w:tc>
          <w:tcPr>
            <w:tcW w:w="3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3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3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Celano</w:t>
            </w:r>
          </w:p>
        </w:tc>
        <w:tc>
          <w:tcPr>
            <w:tcW w:w="3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2024</w:t>
            </w:r>
          </w:p>
        </w:tc>
      </w:tr>
      <w:tr>
        <w:trPr>
          <w:trHeight w:val="178"/>
        </w:trPr>
        <w:tc>
          <w:tcPr>
            <w:tcW w:w="37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Michael Celano</w:t>
            </w:r>
          </w:p>
        </w:tc>
        <w:tc>
          <w:tcPr>
            <w:tcW w:w="380" w:type="dxa"/>
            <w:vAlign w:val="bottom"/>
          </w:tcPr>
          <w:p>
            <w:pPr>
              <w:spacing w:after="0"/>
              <w:rPr>
                <w:sz w:val="15"/>
                <w:szCs w:val="15"/>
                <w:color w:val="auto"/>
              </w:rPr>
            </w:pPr>
          </w:p>
        </w:tc>
        <w:tc>
          <w:tcPr>
            <w:tcW w:w="3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3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3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37"/>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Truitt</w:t>
            </w:r>
          </w:p>
        </w:tc>
        <w:tc>
          <w:tcPr>
            <w:tcW w:w="3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Board of Directors</w:t>
            </w:r>
          </w:p>
        </w:tc>
        <w:tc>
          <w:tcPr>
            <w:tcW w:w="3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Truitt</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E. Hamilton</w:t>
            </w:r>
          </w:p>
        </w:tc>
        <w:tc>
          <w:tcPr>
            <w:tcW w:w="3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E. Hamilton</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Leff</w:t>
            </w:r>
          </w:p>
        </w:tc>
        <w:tc>
          <w:tcPr>
            <w:tcW w:w="3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Leff</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319"/>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W. Sherman, M.D., FACP</w:t>
            </w:r>
          </w:p>
        </w:tc>
        <w:tc>
          <w:tcPr>
            <w:tcW w:w="38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6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14, 2024</w:t>
            </w:r>
          </w:p>
        </w:tc>
      </w:tr>
      <w:tr>
        <w:trPr>
          <w:trHeight w:val="228"/>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W. Sherman, M.D., FACP</w:t>
            </w:r>
          </w:p>
        </w:tc>
        <w:tc>
          <w:tcPr>
            <w:tcW w:w="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ind w:left="240"/>
        <w:spacing w:after="0"/>
        <w:tabs>
          <w:tab w:leader="none" w:pos="4340" w:val="left"/>
          <w:tab w:leader="none" w:pos="7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 Frank Thomas</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wp:posOffset>
            </wp:positionV>
            <wp:extent cx="2374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Frank Thomas</w:t>
      </w:r>
    </w:p>
    <w:p>
      <w:pPr>
        <w:sectPr>
          <w:pgSz w:w="11900" w:h="16838" w:orient="portrait"/>
          <w:cols w:equalWidth="0" w:num="1">
            <w:col w:w="9019"/>
          </w:cols>
          <w:pgMar w:left="1440" w:top="27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09169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2091690" cy="591820"/>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One Commerce Square</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2005 Market Square, 32nd Floor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+1 445 207 7800</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14,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1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S-8</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1,756,363 shares (the “Shares”) of Common Stock, $0.001 par value per share (“Common Stock”), of Larimar Therapeutics, Inc., a Delaware corporation (the “Company”), that may be issued pursuant to the Company’s 2020 Equity Incentive Plan (the “Plan”).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OODWIN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14, 2024 relating to the financial statements, which appears in Larimar Therapeutics, Inc.’s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660" w:type="dxa"/>
            <w:vAlign w:val="bottom"/>
            <w:tcBorders>
              <w:top w:val="single" w:sz="8" w:color="auto"/>
              <w:left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6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660" w:type="dxa"/>
            <w:vAlign w:val="bottom"/>
            <w:tcBorders>
              <w:left w:val="single" w:sz="8" w:color="auto"/>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r>
      <w:tr>
        <w:trPr>
          <w:trHeight w:val="140"/>
        </w:trPr>
        <w:tc>
          <w:tcPr>
            <w:tcW w:w="660" w:type="dxa"/>
            <w:vAlign w:val="bottom"/>
            <w:tcBorders>
              <w:left w:val="single" w:sz="8" w:color="auto"/>
              <w:right w:val="single" w:sz="8" w:color="auto"/>
            </w:tcBorders>
          </w:tcPr>
          <w:p>
            <w:pPr>
              <w:jc w:val="center"/>
              <w:ind w:left="88"/>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14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2"/>
              </w:rPr>
              <w:t>Class</w:t>
            </w:r>
          </w:p>
        </w:tc>
        <w:tc>
          <w:tcPr>
            <w:tcW w:w="9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Calculation</w:t>
            </w:r>
          </w:p>
        </w:tc>
        <w:tc>
          <w:tcPr>
            <w:tcW w:w="60" w:type="dxa"/>
            <w:vAlign w:val="bottom"/>
          </w:tcPr>
          <w:p>
            <w:pPr>
              <w:spacing w:after="0"/>
              <w:rPr>
                <w:sz w:val="12"/>
                <w:szCs w:val="12"/>
                <w:color w:val="auto"/>
              </w:rPr>
            </w:pPr>
          </w:p>
        </w:tc>
        <w:tc>
          <w:tcPr>
            <w:tcW w:w="1000" w:type="dxa"/>
            <w:vAlign w:val="bottom"/>
            <w:tcBorders>
              <w:right w:val="single" w:sz="8" w:color="auto"/>
            </w:tcBorders>
          </w:tcPr>
          <w:p>
            <w:pPr>
              <w:ind w:left="300"/>
              <w:spacing w:after="0" w:line="140" w:lineRule="exact"/>
              <w:rPr>
                <w:sz w:val="20"/>
                <w:szCs w:val="20"/>
                <w:color w:val="auto"/>
              </w:rPr>
            </w:pPr>
            <w:r>
              <w:rPr>
                <w:rFonts w:ascii="Times New Roman" w:cs="Times New Roman" w:eastAsia="Times New Roman" w:hAnsi="Times New Roman"/>
                <w:sz w:val="13"/>
                <w:szCs w:val="13"/>
                <w:color w:val="auto"/>
              </w:rPr>
              <w:t>Amount</w:t>
            </w:r>
          </w:p>
        </w:tc>
        <w:tc>
          <w:tcPr>
            <w:tcW w:w="8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 Per</w:t>
            </w:r>
          </w:p>
        </w:tc>
        <w:tc>
          <w:tcPr>
            <w:tcW w:w="16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rPr>
              <w:t>Fee</w:t>
            </w:r>
          </w:p>
        </w:tc>
        <w:tc>
          <w:tcPr>
            <w:tcW w:w="8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4"/>
        </w:trPr>
        <w:tc>
          <w:tcPr>
            <w:tcW w:w="66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3"/>
                <w:szCs w:val="13"/>
                <w:color w:val="auto"/>
                <w:w w:val="89"/>
              </w:rPr>
              <w:t>Type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Rule</w:t>
            </w: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6"/>
        </w:trPr>
        <w:tc>
          <w:tcPr>
            <w:tcW w:w="660" w:type="dxa"/>
            <w:vAlign w:val="bottom"/>
            <w:tcBorders>
              <w:left w:val="single" w:sz="8" w:color="auto"/>
              <w:right w:val="single" w:sz="8" w:color="auto"/>
            </w:tcBorders>
          </w:tcPr>
          <w:p>
            <w:pPr>
              <w:jc w:val="center"/>
              <w:ind w:left="68"/>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4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 Common Stock,</w:t>
            </w:r>
          </w:p>
        </w:tc>
        <w:tc>
          <w:tcPr>
            <w:tcW w:w="9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par</w:t>
            </w:r>
          </w:p>
        </w:tc>
        <w:tc>
          <w:tcPr>
            <w:tcW w:w="9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16"/>
        </w:trPr>
        <w:tc>
          <w:tcPr>
            <w:tcW w:w="660" w:type="dxa"/>
            <w:vAlign w:val="bottom"/>
            <w:tcBorders>
              <w:left w:val="single" w:sz="8" w:color="auto"/>
              <w:right w:val="single" w:sz="8" w:color="auto"/>
            </w:tcBorders>
          </w:tcPr>
          <w:p>
            <w:pPr>
              <w:spacing w:after="0"/>
              <w:rPr>
                <w:sz w:val="18"/>
                <w:szCs w:val="18"/>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$0.001 per</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457(c) and</w:t>
            </w:r>
          </w:p>
        </w:tc>
        <w:tc>
          <w:tcPr>
            <w:tcW w:w="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55"/>
        </w:trPr>
        <w:tc>
          <w:tcPr>
            <w:tcW w:w="660" w:type="dxa"/>
            <w:vAlign w:val="bottom"/>
            <w:tcBorders>
              <w:left w:val="single" w:sz="8" w:color="auto"/>
              <w:bottom w:val="single" w:sz="8" w:color="auto"/>
              <w:right w:val="single" w:sz="8" w:color="auto"/>
            </w:tcBorders>
          </w:tcPr>
          <w:p>
            <w:pPr>
              <w:spacing w:after="0"/>
              <w:rPr>
                <w:sz w:val="22"/>
                <w:szCs w:val="22"/>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6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1,756,363(2)</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$8.63 (3)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$ 15,157,412.70 (3) </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0.00014760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$2,237.24</w:t>
            </w:r>
          </w:p>
        </w:tc>
      </w:tr>
      <w:tr>
        <w:trPr>
          <w:trHeight w:val="241"/>
        </w:trPr>
        <w:tc>
          <w:tcPr>
            <w:tcW w:w="66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$ 15,157,412.70</w:t>
            </w: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$2,237.24</w:t>
            </w: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37"/>
        </w:trPr>
        <w:tc>
          <w:tcPr>
            <w:tcW w:w="66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$2,237.24</w:t>
            </w:r>
          </w:p>
        </w:tc>
      </w:tr>
    </w:tbl>
    <w:p>
      <w:pPr>
        <w:spacing w:after="0" w:line="198" w:lineRule="exact"/>
        <w:rPr>
          <w:sz w:val="20"/>
          <w:szCs w:val="20"/>
          <w:color w:val="auto"/>
        </w:rPr>
      </w:pPr>
    </w:p>
    <w:p>
      <w:pPr>
        <w:ind w:left="4" w:right="120" w:hanging="4"/>
        <w:spacing w:after="0" w:line="258"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on Form S-8 shall also cover an indeterminate number of additional shares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issuable under the Larimar Therapeutics,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by reason of any future stock dividend, stock split, recapitalization or other similar transaction effected without the receipt of consideration by the Registrant, which results in an increase in the number of outstanding shares of Common Stock.</w:t>
      </w:r>
    </w:p>
    <w:p>
      <w:pPr>
        <w:spacing w:after="0" w:line="75" w:lineRule="exact"/>
        <w:rPr>
          <w:rFonts w:ascii="Times New Roman" w:cs="Times New Roman" w:eastAsia="Times New Roman" w:hAnsi="Times New Roman"/>
          <w:sz w:val="18"/>
          <w:szCs w:val="18"/>
          <w:color w:val="auto"/>
        </w:rPr>
      </w:pPr>
    </w:p>
    <w:p>
      <w:pPr>
        <w:ind w:left="4" w:right="20" w:hanging="4"/>
        <w:spacing w:after="0" w:line="258"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were added to the shares authorized for issuance under the Plan on January 1, 2024, pursuant to an “evergreen” provision contained in the Plan. Pursuant to such provision in the Plan, as of the first day of each fiscal year, the aggregate number of shares of Common Stock that may be issued under the Plan shall automatically increase by a number equal to the lesser of (i) 4.0% of the total number of shares of Common Stock issued and outstanding on December 31 of the immediately preceding fiscal year and (ii) such smaller number of shares of Common Stock as determined by the Registrant’s Board of Directors.</w:t>
      </w:r>
    </w:p>
    <w:p>
      <w:pPr>
        <w:spacing w:after="0" w:line="75" w:lineRule="exact"/>
        <w:rPr>
          <w:rFonts w:ascii="Times New Roman" w:cs="Times New Roman" w:eastAsia="Times New Roman" w:hAnsi="Times New Roman"/>
          <w:sz w:val="18"/>
          <w:szCs w:val="18"/>
          <w:color w:val="auto"/>
        </w:rPr>
      </w:pPr>
    </w:p>
    <w:p>
      <w:pPr>
        <w:ind w:left="4" w:right="180" w:hanging="4"/>
        <w:spacing w:after="0" w:line="28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457(c) and Rule 457(h) of the Securities Act solely for the purpose of calculating the registration fee on the basis of the average of the high and low prices of the Common Stock as reported on The Nasdaq Global Market on March 11,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jpeg"/><Relationship Id="rId17" Type="http://schemas.openxmlformats.org/officeDocument/2006/relationships/hyperlink" Target="http://www.sec.gov/ix?doc=/Archives/edgar/data/1374690/000095017024031529/lrmr-20231231.htm" TargetMode="External"/><Relationship Id="rId18" Type="http://schemas.openxmlformats.org/officeDocument/2006/relationships/hyperlink" Target="http://www.sec.gov/ix?doc=/Archives/edgar/data/1374690/000095017024013563/lrmr-20240212.htm" TargetMode="External"/><Relationship Id="rId19" Type="http://schemas.openxmlformats.org/officeDocument/2006/relationships/hyperlink" Target="http://www.sec.gov/ix?doc=/Archives/edgar/data/1374690/000095017024014919/lrmr-20240213.htm" TargetMode="External"/><Relationship Id="rId20" Type="http://schemas.openxmlformats.org/officeDocument/2006/relationships/hyperlink" Target="http://www.sec.gov/ix?doc=/Archives/edgar/data/1374690/000119312524038473/d780024d8k.htm" TargetMode="External"/><Relationship Id="rId21" Type="http://schemas.openxmlformats.org/officeDocument/2006/relationships/hyperlink" Target="http://www.sec.gov/ix?doc=/Archives/edgar/data/1374690/000095017024029236/lrmr-20240311.htm" TargetMode="External"/><Relationship Id="rId22" Type="http://schemas.openxmlformats.org/officeDocument/2006/relationships/hyperlink" Target="http://www.sec.gov/Archives/edgar/data/1374690/000119312514240257/d745277d8a12b.htm" TargetMode="External"/><Relationship Id="rId24" Type="http://schemas.openxmlformats.org/officeDocument/2006/relationships/hyperlink" Target="http://www.sec.gov/Archives/edgar/data/1374690/000119312514247362/d747935dex31.htm" TargetMode="External"/><Relationship Id="rId25" Type="http://schemas.openxmlformats.org/officeDocument/2006/relationships/hyperlink" Target="http://www.sec.gov/Archives/edgar/data/1374690/000119312520157924/d936040dex31.htm" TargetMode="External"/><Relationship Id="rId26" Type="http://schemas.openxmlformats.org/officeDocument/2006/relationships/hyperlink" Target="http://www.sec.gov/Archives/edgar/data/1374690/000119312520157924/d936040dex32.htm" TargetMode="External"/><Relationship Id="rId27" Type="http://schemas.openxmlformats.org/officeDocument/2006/relationships/hyperlink" Target="http://www.sec.gov/Archives/edgar/data/1374690/000119312514247362/d747935dex32.htm" TargetMode="External"/><Relationship Id="rId28" Type="http://schemas.openxmlformats.org/officeDocument/2006/relationships/hyperlink" Target="http://www.sec.gov/Archives/edgar/data/1374690/000119312520257868/d887315dex101.htm" TargetMode="External"/><Relationship Id="rId29" Type="http://schemas.openxmlformats.org/officeDocument/2006/relationships/hyperlink" Target="http://www.sec.gov/Archives/edgar/data/1374690/000119312520257868/d887315dex102.htm" TargetMode="External"/><Relationship Id="rId30" Type="http://schemas.openxmlformats.org/officeDocument/2006/relationships/hyperlink" Target="http://www.sec.gov/Archives/edgar/data/1374690/000095017023007855/lrmr-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2024-03-14T16:16:53Z</dcterms:created>
  <dcterms:modified xsi:type="dcterms:W3CDTF">2024-03-14T16:16:53Z</dcterms:modified>
</cp:coreProperties>
</file>