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163830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u w:val="single" w:color="auto"/>
          <w:color w:val="auto"/>
        </w:rPr>
        <w:t>WASHINGTON, D.C. 20549</w:t>
      </w:r>
    </w:p>
    <w:p>
      <w:pPr>
        <w:spacing w:after="0" w:line="13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33020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5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60325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125"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127" w:lineRule="exact"/>
        <w:rPr>
          <w:sz w:val="24"/>
          <w:szCs w:val="24"/>
          <w:color w:val="auto"/>
        </w:rPr>
      </w:pPr>
    </w:p>
    <w:tbl>
      <w:tblPr>
        <w:tblLayout w:type="fixed"/>
        <w:tblInd w:w="1385" w:type="dxa"/>
        <w:tblCellMar>
          <w:top w:w="0" w:type="dxa"/>
          <w:left w:w="0" w:type="dxa"/>
          <w:bottom w:w="0" w:type="dxa"/>
          <w:right w:w="0" w:type="dxa"/>
        </w:tblCellMar>
      </w:tblPr>
      <w:tr>
        <w:trPr>
          <w:trHeight w:val="164"/>
        </w:trPr>
        <w:tc>
          <w:tcPr>
            <w:tcW w:w="3120" w:type="dxa"/>
            <w:vAlign w:val="bottom"/>
          </w:tcPr>
          <w:p>
            <w:pPr>
              <w:jc w:val="center"/>
              <w:ind w:right="1051"/>
              <w:spacing w:after="0" w:line="165" w:lineRule="exact"/>
              <w:rPr>
                <w:sz w:val="20"/>
                <w:szCs w:val="20"/>
                <w:color w:val="auto"/>
              </w:rPr>
            </w:pPr>
            <w:r>
              <w:rPr>
                <w:rFonts w:ascii="Times New Roman" w:cs="Times New Roman" w:eastAsia="Times New Roman" w:hAnsi="Times New Roman"/>
                <w:sz w:val="16"/>
                <w:szCs w:val="16"/>
                <w:b w:val="1"/>
                <w:bCs w:val="1"/>
                <w:color w:val="auto"/>
                <w:w w:val="98"/>
              </w:rPr>
              <w:t>Delaware</w:t>
            </w:r>
          </w:p>
        </w:tc>
        <w:tc>
          <w:tcPr>
            <w:tcW w:w="2240" w:type="dxa"/>
            <w:vAlign w:val="bottom"/>
            <w:tcBorders>
              <w:top w:val="single" w:sz="8" w:color="auto"/>
            </w:tcBorders>
          </w:tcPr>
          <w:p>
            <w:pPr>
              <w:jc w:val="right"/>
              <w:ind w:right="571"/>
              <w:spacing w:after="0" w:line="165" w:lineRule="exact"/>
              <w:rPr>
                <w:sz w:val="20"/>
                <w:szCs w:val="20"/>
                <w:color w:val="auto"/>
              </w:rPr>
            </w:pPr>
            <w:r>
              <w:rPr>
                <w:rFonts w:ascii="Times New Roman" w:cs="Times New Roman" w:eastAsia="Times New Roman" w:hAnsi="Times New Roman"/>
                <w:sz w:val="16"/>
                <w:szCs w:val="16"/>
                <w:b w:val="1"/>
                <w:bCs w:val="1"/>
                <w:color w:val="auto"/>
              </w:rPr>
              <w:t>001-36510</w:t>
            </w:r>
          </w:p>
        </w:tc>
        <w:tc>
          <w:tcPr>
            <w:tcW w:w="2720" w:type="dxa"/>
            <w:vAlign w:val="bottom"/>
          </w:tcPr>
          <w:p>
            <w:pPr>
              <w:jc w:val="right"/>
              <w:ind w:right="13"/>
              <w:spacing w:after="0" w:line="165" w:lineRule="exact"/>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3120" w:type="dxa"/>
            <w:vAlign w:val="bottom"/>
          </w:tcPr>
          <w:p>
            <w:pPr>
              <w:jc w:val="center"/>
              <w:ind w:right="105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2240" w:type="dxa"/>
            <w:vAlign w:val="bottom"/>
          </w:tcPr>
          <w:p>
            <w:pPr>
              <w:jc w:val="center"/>
              <w:ind w:left="23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720" w:type="dxa"/>
            <w:vAlign w:val="bottom"/>
          </w:tcPr>
          <w:p>
            <w:pPr>
              <w:jc w:val="center"/>
              <w:ind w:left="1733"/>
              <w:spacing w:after="0" w:line="130"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5"/>
        </w:trPr>
        <w:tc>
          <w:tcPr>
            <w:tcW w:w="3120" w:type="dxa"/>
            <w:vAlign w:val="bottom"/>
          </w:tcPr>
          <w:p>
            <w:pPr>
              <w:jc w:val="center"/>
              <w:ind w:right="105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2240" w:type="dxa"/>
            <w:vAlign w:val="bottom"/>
          </w:tcPr>
          <w:p>
            <w:pPr>
              <w:spacing w:after="0"/>
              <w:rPr>
                <w:sz w:val="13"/>
                <w:szCs w:val="13"/>
                <w:color w:val="auto"/>
              </w:rPr>
            </w:pPr>
          </w:p>
        </w:tc>
        <w:tc>
          <w:tcPr>
            <w:tcW w:w="2720" w:type="dxa"/>
            <w:vAlign w:val="bottom"/>
          </w:tcPr>
          <w:p>
            <w:pPr>
              <w:jc w:val="center"/>
              <w:ind w:left="1733"/>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324"/>
        </w:trPr>
        <w:tc>
          <w:tcPr>
            <w:tcW w:w="3120" w:type="dxa"/>
            <w:vAlign w:val="bottom"/>
          </w:tcPr>
          <w:p>
            <w:pPr>
              <w:jc w:val="center"/>
              <w:ind w:right="1051"/>
              <w:spacing w:after="0"/>
              <w:rPr>
                <w:sz w:val="20"/>
                <w:szCs w:val="20"/>
                <w:color w:val="auto"/>
              </w:rPr>
            </w:pPr>
            <w:r>
              <w:rPr>
                <w:rFonts w:ascii="Times New Roman" w:cs="Times New Roman" w:eastAsia="Times New Roman" w:hAnsi="Times New Roman"/>
                <w:sz w:val="16"/>
                <w:szCs w:val="16"/>
                <w:b w:val="1"/>
                <w:bCs w:val="1"/>
                <w:color w:val="auto"/>
                <w:w w:val="97"/>
              </w:rPr>
              <w:t>Three Bala Plaza East</w:t>
            </w:r>
          </w:p>
        </w:tc>
        <w:tc>
          <w:tcPr>
            <w:tcW w:w="224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83"/>
        </w:trPr>
        <w:tc>
          <w:tcPr>
            <w:tcW w:w="3120" w:type="dxa"/>
            <w:vAlign w:val="bottom"/>
          </w:tcPr>
          <w:p>
            <w:pPr>
              <w:jc w:val="center"/>
              <w:ind w:right="105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2240" w:type="dxa"/>
            <w:vAlign w:val="bottom"/>
          </w:tcPr>
          <w:p>
            <w:pPr>
              <w:spacing w:after="0"/>
              <w:rPr>
                <w:sz w:val="15"/>
                <w:szCs w:val="15"/>
                <w:color w:val="auto"/>
              </w:rPr>
            </w:pPr>
          </w:p>
        </w:tc>
        <w:tc>
          <w:tcPr>
            <w:tcW w:w="272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3120" w:type="dxa"/>
            <w:vAlign w:val="bottom"/>
          </w:tcPr>
          <w:p>
            <w:pPr>
              <w:jc w:val="center"/>
              <w:ind w:right="103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2240" w:type="dxa"/>
            <w:vAlign w:val="bottom"/>
          </w:tcPr>
          <w:p>
            <w:pPr>
              <w:spacing w:after="0"/>
              <w:rPr>
                <w:sz w:val="13"/>
                <w:szCs w:val="13"/>
                <w:color w:val="auto"/>
              </w:rPr>
            </w:pPr>
          </w:p>
        </w:tc>
        <w:tc>
          <w:tcPr>
            <w:tcW w:w="2720" w:type="dxa"/>
            <w:vAlign w:val="bottom"/>
          </w:tcPr>
          <w:p>
            <w:pPr>
              <w:jc w:val="center"/>
              <w:ind w:left="175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170" w:lineRule="exact"/>
        <w:rPr>
          <w:sz w:val="24"/>
          <w:szCs w:val="24"/>
          <w:color w:val="auto"/>
        </w:rPr>
      </w:pPr>
    </w:p>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33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100965</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76"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8"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65"/>
        </w:trPr>
        <w:tc>
          <w:tcPr>
            <w:tcW w:w="3600" w:type="dxa"/>
            <w:vAlign w:val="bottom"/>
            <w:vMerge w:val="restart"/>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w:t>
            </w:r>
          </w:p>
        </w:tc>
        <w:tc>
          <w:tcPr>
            <w:tcW w:w="120" w:type="dxa"/>
            <w:vAlign w:val="bottom"/>
          </w:tcPr>
          <w:p>
            <w:pPr>
              <w:spacing w:after="0"/>
              <w:rPr>
                <w:sz w:val="23"/>
                <w:szCs w:val="23"/>
                <w:color w:val="auto"/>
              </w:rPr>
            </w:pPr>
          </w:p>
        </w:tc>
        <w:tc>
          <w:tcPr>
            <w:tcW w:w="5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c>
          <w:tcPr>
            <w:tcW w:w="0" w:type="dxa"/>
            <w:vAlign w:val="bottom"/>
          </w:tcPr>
          <w:p>
            <w:pPr>
              <w:spacing w:after="0"/>
              <w:rPr>
                <w:sz w:val="1"/>
                <w:szCs w:val="1"/>
                <w:color w:val="auto"/>
              </w:rPr>
            </w:pPr>
          </w:p>
        </w:tc>
      </w:tr>
      <w:tr>
        <w:trPr>
          <w:trHeight w:val="208"/>
        </w:trPr>
        <w:tc>
          <w:tcPr>
            <w:tcW w:w="360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5" w:right="220"/>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6"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59" w:lineRule="exact"/>
        <w:rPr>
          <w:sz w:val="24"/>
          <w:szCs w:val="24"/>
          <w:color w:val="auto"/>
        </w:rPr>
      </w:pPr>
    </w:p>
    <w:p>
      <w:pPr>
        <w:ind w:left="5" w:right="320"/>
        <w:spacing w:after="0" w:line="20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172720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322"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8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On November 10, 2022, Larimar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announced its financial results and operational highlights for the third quarter ended September 30, 2022. A copy of the press release is being furnished as Exhibit 99.1 to this Current Report on Form 8-K and is incorporated herein by reference.</w:t>
      </w:r>
    </w:p>
    <w:p>
      <w:pPr>
        <w:spacing w:after="0" w:line="11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6"/>
          <w:szCs w:val="16"/>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5"/>
          <w:szCs w:val="15"/>
          <w:color w:val="auto"/>
        </w:rPr>
        <w:t>On November 10, 2022,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9780" w:type="dxa"/>
            <w:vAlign w:val="bottom"/>
            <w:tcBorders>
              <w:bottom w:val="single" w:sz="8" w:color="auto"/>
            </w:tcBorders>
            <w:gridSpan w:val="5"/>
          </w:tcPr>
          <w:p>
            <w:pPr>
              <w:ind w:left="460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54"/>
        </w:trPr>
        <w:tc>
          <w:tcPr>
            <w:tcW w:w="1120" w:type="dxa"/>
            <w:vAlign w:val="bottom"/>
          </w:tcPr>
          <w:p>
            <w:pPr>
              <w:spacing w:after="0" w:line="154" w:lineRule="exact"/>
              <w:rPr>
                <w:sz w:val="20"/>
                <w:szCs w:val="20"/>
                <w:color w:val="auto"/>
              </w:rPr>
            </w:pPr>
            <w:r>
              <w:rPr>
                <w:rFonts w:ascii="Times New Roman" w:cs="Times New Roman" w:eastAsia="Times New Roman" w:hAnsi="Times New Roman"/>
                <w:sz w:val="16"/>
                <w:szCs w:val="16"/>
                <w:color w:val="auto"/>
              </w:rPr>
              <w:t>99.1</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tcBorders>
              <w:bottom w:val="single" w:sz="8" w:color="0000FF"/>
            </w:tcBorders>
          </w:tcPr>
          <w:p>
            <w:pPr>
              <w:spacing w:after="0" w:line="154" w:lineRule="exact"/>
              <w:rPr>
                <w:sz w:val="20"/>
                <w:szCs w:val="20"/>
                <w:color w:val="auto"/>
              </w:rPr>
            </w:pPr>
            <w:r>
              <w:rPr>
                <w:rFonts w:ascii="Times New Roman" w:cs="Times New Roman" w:eastAsia="Times New Roman" w:hAnsi="Times New Roman"/>
                <w:sz w:val="16"/>
                <w:szCs w:val="16"/>
                <w:color w:val="0000FF"/>
                <w:w w:val="97"/>
              </w:rPr>
              <w:t>Press Release issued by Larimar Therapeutics, Inc. on November 10, 2022*</w:t>
            </w:r>
          </w:p>
        </w:tc>
        <w:tc>
          <w:tcPr>
            <w:tcW w:w="20" w:type="dxa"/>
            <w:vAlign w:val="bottom"/>
            <w:tcBorders>
              <w:bottom w:val="single" w:sz="8" w:color="0000EE"/>
            </w:tcBorders>
          </w:tcPr>
          <w:p>
            <w:pPr>
              <w:spacing w:after="0"/>
              <w:rPr>
                <w:sz w:val="13"/>
                <w:szCs w:val="13"/>
                <w:color w:val="auto"/>
              </w:rPr>
            </w:pPr>
          </w:p>
        </w:tc>
        <w:tc>
          <w:tcPr>
            <w:tcW w:w="4980" w:type="dxa"/>
            <w:vAlign w:val="bottom"/>
            <w:gridSpan w:val="3"/>
          </w:tcPr>
          <w:p>
            <w:pPr>
              <w:spacing w:after="0"/>
              <w:rPr>
                <w:sz w:val="13"/>
                <w:szCs w:val="13"/>
                <w:color w:val="auto"/>
              </w:rPr>
            </w:pPr>
          </w:p>
        </w:tc>
      </w:tr>
      <w:tr>
        <w:trPr>
          <w:trHeight w:val="169"/>
        </w:trPr>
        <w:tc>
          <w:tcPr>
            <w:tcW w:w="11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80" w:type="dxa"/>
            <w:vAlign w:val="bottom"/>
            <w:tcBorders>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6"/>
                <w:szCs w:val="16"/>
                <w:color w:val="0000FF"/>
                <w:w w:val="97"/>
              </w:rPr>
              <w:t>Larimar Therapeutics, Inc. Corporate Presentation, dated November 10, 2022</w:t>
            </w:r>
          </w:p>
        </w:tc>
        <w:tc>
          <w:tcPr>
            <w:tcW w:w="20" w:type="dxa"/>
            <w:vAlign w:val="bottom"/>
            <w:tcBorders>
              <w:bottom w:val="single" w:sz="8" w:color="0000EE"/>
            </w:tcBorders>
          </w:tcPr>
          <w:p>
            <w:pPr>
              <w:spacing w:after="0"/>
              <w:rPr>
                <w:sz w:val="14"/>
                <w:szCs w:val="14"/>
                <w:color w:val="auto"/>
              </w:rPr>
            </w:pPr>
          </w:p>
        </w:tc>
        <w:tc>
          <w:tcPr>
            <w:tcW w:w="4880" w:type="dxa"/>
            <w:vAlign w:val="bottom"/>
          </w:tcPr>
          <w:p>
            <w:pPr>
              <w:spacing w:after="0"/>
              <w:rPr>
                <w:sz w:val="14"/>
                <w:szCs w:val="14"/>
                <w:color w:val="auto"/>
              </w:rPr>
            </w:pPr>
          </w:p>
        </w:tc>
      </w:tr>
    </w:tbl>
    <w:p>
      <w:pPr>
        <w:spacing w:after="0" w:line="7" w:lineRule="exact"/>
        <w:rPr>
          <w:sz w:val="20"/>
          <w:szCs w:val="20"/>
          <w:color w:val="auto"/>
        </w:rPr>
      </w:pPr>
    </w:p>
    <w:p>
      <w:pPr>
        <w:ind w:left="1480" w:hanging="1474"/>
        <w:spacing w:after="0"/>
        <w:tabs>
          <w:tab w:leader="none" w:pos="1480" w:val="left"/>
        </w:tabs>
        <w:numPr>
          <w:ilvl w:val="1"/>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18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173990</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405"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01" w:lineRule="exact"/>
        <w:rPr>
          <w:sz w:val="20"/>
          <w:szCs w:val="20"/>
          <w:color w:val="auto"/>
        </w:rPr>
      </w:pPr>
    </w:p>
    <w:p>
      <w:pPr>
        <w:spacing w:after="0"/>
        <w:tabs>
          <w:tab w:leader="none" w:pos="680" w:val="left"/>
          <w:tab w:leader="none" w:pos="5620" w:val="left"/>
          <w:tab w:leader="none" w:pos="608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November 10, 2022</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ind w:left="610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252730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88900</wp:posOffset>
            </wp:positionV>
            <wp:extent cx="1216660" cy="457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16660" cy="457835"/>
                    </a:xfrm>
                    <a:prstGeom prst="rect">
                      <a:avLst/>
                    </a:prstGeom>
                    <a:noFill/>
                  </pic:spPr>
                </pic:pic>
              </a:graphicData>
            </a:graphic>
          </wp:anchor>
        </w:drawing>
        <w:t>Larimar Therapeutics Reports Third Quarter 2022 Operating and Financial Results</w:t>
      </w:r>
    </w:p>
    <w:p>
      <w:pPr>
        <w:spacing w:after="0" w:line="200" w:lineRule="exact"/>
        <w:rPr>
          <w:sz w:val="20"/>
          <w:szCs w:val="20"/>
          <w:color w:val="auto"/>
        </w:rPr>
      </w:pPr>
    </w:p>
    <w:p>
      <w:pPr>
        <w:ind w:left="460" w:right="160" w:hanging="372"/>
        <w:spacing w:after="0" w:line="303" w:lineRule="auto"/>
        <w:tabs>
          <w:tab w:leader="none" w:pos="4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7"/>
          <w:szCs w:val="17"/>
          <w:i w:val="1"/>
          <w:iCs w:val="1"/>
          <w:color w:val="auto"/>
        </w:rPr>
        <w:t>First cohort of Larimar’s Phase 2 dose exploration trial of CTI-1601 in Friedreich’s ataxia patients is ongoing and proceeding in line with the Company’s planned timeline</w:t>
      </w:r>
    </w:p>
    <w:p>
      <w:pPr>
        <w:spacing w:after="0" w:line="127" w:lineRule="exact"/>
        <w:rPr>
          <w:rFonts w:ascii="Times New Roman" w:cs="Times New Roman" w:eastAsia="Times New Roman" w:hAnsi="Times New Roman"/>
          <w:sz w:val="19"/>
          <w:szCs w:val="19"/>
          <w:color w:val="auto"/>
        </w:rPr>
      </w:pPr>
    </w:p>
    <w:p>
      <w:pPr>
        <w:ind w:left="460" w:hanging="372"/>
        <w:spacing w:after="0"/>
        <w:tabs>
          <w:tab w:leader="none" w:pos="4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7"/>
          <w:szCs w:val="17"/>
          <w:i w:val="1"/>
          <w:iCs w:val="1"/>
          <w:color w:val="auto"/>
        </w:rPr>
        <w:t>Larimar expects to provide an update on the Phase 2 trial in Q2 2023 and anticipates reporting top-line data from both cohorts in 2H 2023</w:t>
      </w:r>
    </w:p>
    <w:p>
      <w:pPr>
        <w:spacing w:after="0" w:line="195" w:lineRule="exact"/>
        <w:rPr>
          <w:rFonts w:ascii="Times New Roman" w:cs="Times New Roman" w:eastAsia="Times New Roman" w:hAnsi="Times New Roman"/>
          <w:sz w:val="19"/>
          <w:szCs w:val="19"/>
          <w:color w:val="auto"/>
        </w:rPr>
      </w:pPr>
    </w:p>
    <w:p>
      <w:pPr>
        <w:ind w:left="460" w:hanging="372"/>
        <w:spacing w:after="0"/>
        <w:tabs>
          <w:tab w:leader="none" w:pos="460" w:val="left"/>
        </w:tabs>
        <w:numPr>
          <w:ilvl w:val="0"/>
          <w:numId w:val="3"/>
        </w:numPr>
        <w:rPr>
          <w:rFonts w:ascii="Times New Roman" w:cs="Times New Roman" w:eastAsia="Times New Roman" w:hAnsi="Times New Roman"/>
          <w:sz w:val="19"/>
          <w:szCs w:val="19"/>
          <w:color w:val="auto"/>
        </w:rPr>
      </w:pPr>
      <w:r>
        <w:rPr>
          <w:rFonts w:ascii="Arial" w:cs="Arial" w:eastAsia="Arial" w:hAnsi="Arial"/>
          <w:sz w:val="17"/>
          <w:szCs w:val="17"/>
          <w:i w:val="1"/>
          <w:iCs w:val="1"/>
          <w:color w:val="auto"/>
        </w:rPr>
        <w:t>Cash of $124.7 million at September 30, 2022 provides projected cash runway into 2H 2024</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b w:val="1"/>
          <w:bCs w:val="1"/>
          <w:color w:val="auto"/>
        </w:rPr>
        <w:t xml:space="preserve">Bala Cynwyd, PA, </w:t>
      </w:r>
      <w:r>
        <w:rPr>
          <w:rFonts w:ascii="Arial" w:cs="Arial" w:eastAsia="Arial" w:hAnsi="Arial"/>
          <w:sz w:val="17"/>
          <w:szCs w:val="17"/>
          <w:color w:val="auto"/>
        </w:rPr>
        <w:t>November 10, 2022 – Larimar Therapeutics, Inc. (“Larimar”) (Nasdaq: LRMR), a clinical-stage biotechnology company focused</w:t>
      </w:r>
      <w:r>
        <w:rPr>
          <w:rFonts w:ascii="Arial" w:cs="Arial" w:eastAsia="Arial" w:hAnsi="Arial"/>
          <w:sz w:val="17"/>
          <w:szCs w:val="17"/>
          <w:b w:val="1"/>
          <w:bCs w:val="1"/>
          <w:color w:val="auto"/>
        </w:rPr>
        <w:t xml:space="preserve"> </w:t>
      </w:r>
      <w:r>
        <w:rPr>
          <w:rFonts w:ascii="Arial" w:cs="Arial" w:eastAsia="Arial" w:hAnsi="Arial"/>
          <w:sz w:val="17"/>
          <w:szCs w:val="17"/>
          <w:color w:val="auto"/>
        </w:rPr>
        <w:t>on developing treatments for complex rare diseases, today reported its third quarter 2022 operating and financial results.</w:t>
      </w:r>
    </w:p>
    <w:p>
      <w:pPr>
        <w:spacing w:after="0" w:line="10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“This is an exciting time for Larimar, as we recently received regulatory clearance for CTI-1601’s return to the clinic under a partial hold and completed a capital raise with a premier life science investor syndicate,” said Carole Ben-Maimon, MD, President and Chief Executive Officer of Larimar. “These important accomplishments allowed us to begin enrolling patients in the first cohort of our Phase 2 trial in Friedreich’s ataxia patients, which continues to make progress. The trial’s results are expected to inform CTI-1601’s long-term dose regimen, thereby building upon the clinical proof-of-concept data generated in our Phase 1 program. We are grateful for the continued support we have received from the Friedreich’s ataxia community and our shareholders over these past months and look forward to CTI-1601’s continued development as a potentially disease-modifying therapy.”</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and Subsequent Highlights</w:t>
      </w:r>
    </w:p>
    <w:p>
      <w:pPr>
        <w:spacing w:after="0" w:line="24" w:lineRule="exact"/>
        <w:rPr>
          <w:sz w:val="20"/>
          <w:szCs w:val="20"/>
          <w:color w:val="auto"/>
        </w:rPr>
      </w:pPr>
    </w:p>
    <w:p>
      <w:pPr>
        <w:jc w:val="both"/>
        <w:ind w:left="740" w:hanging="370"/>
        <w:spacing w:after="0" w:line="248" w:lineRule="auto"/>
        <w:tabs>
          <w:tab w:leader="none" w:pos="7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In September 2022, the U.S. Food and Drug Administration (FDA) lifted the full clinical hold previously placed on the CTI-1601 program and imposed a partial hold, thereby clearing the initiation of the 25 mg cohort of a Phase 2, four-week, placebo-controlled, dose exploration trial in Friedreich’s ataxia (FA) patients. The study’s 25 mg cohort is currently ongoing and proceeding in line with the Company’s planned timeline. Additional cohorts and/or other clinical trials are contingent on a review of the study’s 25 mg cohort data by the FDA and the data monitoring committee. Larimar expects to provide an update on the trial in Q2 2023 and anticipates reporting top-line data in 2H 2023.</w:t>
      </w:r>
    </w:p>
    <w:p>
      <w:pPr>
        <w:spacing w:after="0" w:line="262" w:lineRule="exact"/>
        <w:rPr>
          <w:rFonts w:ascii="Times New Roman" w:cs="Times New Roman" w:eastAsia="Times New Roman" w:hAnsi="Times New Roman"/>
          <w:sz w:val="17"/>
          <w:szCs w:val="17"/>
          <w:color w:val="auto"/>
        </w:rPr>
      </w:pPr>
    </w:p>
    <w:p>
      <w:pPr>
        <w:ind w:left="740" w:right="20" w:hanging="370"/>
        <w:spacing w:after="0" w:line="286" w:lineRule="auto"/>
        <w:tabs>
          <w:tab w:leader="none" w:pos="7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In September 2022, Larimar raised net proceeds of approximately $75.2 million through an underwritten offering of common stock. Deerfield Management and other notable life science investors participated in the offering.</w:t>
      </w:r>
    </w:p>
    <w:p>
      <w:pPr>
        <w:spacing w:after="0" w:line="29" w:lineRule="exact"/>
        <w:rPr>
          <w:rFonts w:ascii="Times New Roman" w:cs="Times New Roman" w:eastAsia="Times New Roman" w:hAnsi="Times New Roman"/>
          <w:sz w:val="17"/>
          <w:szCs w:val="17"/>
          <w:color w:val="auto"/>
        </w:rPr>
      </w:pPr>
    </w:p>
    <w:p>
      <w:pPr>
        <w:ind w:left="740" w:hanging="370"/>
        <w:spacing w:after="0" w:line="286" w:lineRule="auto"/>
        <w:tabs>
          <w:tab w:leader="none" w:pos="74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In October 2022, Larimar announced the issuance of U.S. Patent No. 11,459,363, which provides composition of matter protection for CTI-1601 into at least July 2040.</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Quarter 2022 Financial Results</w:t>
      </w:r>
    </w:p>
    <w:p>
      <w:pPr>
        <w:spacing w:after="0" w:line="185"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As of September 30, 2022, the Company had cash and marketable securities totaling $124.7 million which provides projected cash runway into the second half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17780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86" w:right="319" w:bottom="1440" w:gutter="0" w:footer="0" w:header="0"/>
        </w:sectPr>
      </w:pPr>
    </w:p>
    <w:bookmarkStart w:id="4" w:name="page5"/>
    <w:bookmarkEnd w:id="4"/>
    <w:p>
      <w:pPr>
        <w:ind w:right="120"/>
        <w:spacing w:after="0" w:line="288" w:lineRule="auto"/>
        <w:rPr>
          <w:sz w:val="20"/>
          <w:szCs w:val="20"/>
          <w:color w:val="auto"/>
        </w:rPr>
      </w:pPr>
      <w:r>
        <w:rPr>
          <w:rFonts w:ascii="Arial" w:cs="Arial" w:eastAsia="Arial" w:hAnsi="Arial"/>
          <w:sz w:val="17"/>
          <w:szCs w:val="17"/>
          <w:color w:val="auto"/>
        </w:rPr>
        <w:t>The Company reported a net loss for the third quarter of 2022 of $8.3 million, or $0.37 per share, compared to a net loss of $16.8 million, or $0.92 per share, for the third quarter of 2021.</w:t>
      </w:r>
    </w:p>
    <w:p>
      <w:pPr>
        <w:spacing w:after="0" w:line="28"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Research and development expenses for the third quarter of 2022 were $ 5.6 million compared to $14.0 million for the third quarter of 2021. The decrease in research and development expenses was primarily driven by a decrease of $6.7 million in drug manufacturing costs, a decrease of $1.0 million in nonclinical development costs, a decrease of $0.5 million in consulting expenditures, a decrease of $0.5 million in clinical expense partially offset by an increase of $0.4 million in personnel expense.</w:t>
      </w:r>
    </w:p>
    <w:p>
      <w:pPr>
        <w:spacing w:after="0" w:line="56"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color w:val="auto"/>
        </w:rPr>
        <w:t>General and administrative expenses for the third quarter of 2022 were $2.9 million compared to $2.7 million for the third quarter of 2021. The increase in general and administrative expense was primarily driven by increases in professional fees associated with legal and accounting services and in personnel expense.</w:t>
      </w:r>
    </w:p>
    <w:p>
      <w:pPr>
        <w:spacing w:after="0" w:line="4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Company reported a net loss for the nine months ended September 30, 2022 of $25.9 million, or $1.32 per share, compared to a net loss of $41.5 million, or $2.48 per share, for the nine months ended September 30, 2021.</w:t>
      </w:r>
    </w:p>
    <w:p>
      <w:pPr>
        <w:spacing w:after="0" w:line="40" w:lineRule="exact"/>
        <w:rPr>
          <w:sz w:val="20"/>
          <w:szCs w:val="20"/>
          <w:color w:val="auto"/>
        </w:rPr>
      </w:pPr>
    </w:p>
    <w:p>
      <w:pPr>
        <w:jc w:val="both"/>
        <w:ind w:right="280"/>
        <w:spacing w:after="0" w:line="267" w:lineRule="auto"/>
        <w:rPr>
          <w:sz w:val="20"/>
          <w:szCs w:val="20"/>
          <w:color w:val="auto"/>
        </w:rPr>
      </w:pPr>
      <w:r>
        <w:rPr>
          <w:rFonts w:ascii="Arial" w:cs="Arial" w:eastAsia="Arial" w:hAnsi="Arial"/>
          <w:sz w:val="17"/>
          <w:szCs w:val="17"/>
          <w:color w:val="auto"/>
        </w:rPr>
        <w:t>Research and development expenses for the nine months ended September 30, 2022 were $17.0 million compared to $32.1 million for the nine months ended September 30, 2021. The decrease in research and development expenses was primarily driven by a decrease of $9.0 million in drug manufacturing costs, a decrease of $3.5 million in clinical trial expense, and a decrease of $3.3 million in nonclinical development costs.</w:t>
      </w:r>
    </w:p>
    <w:p>
      <w:pPr>
        <w:spacing w:after="0" w:line="4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General and administrative expenses for the nine months ended September 30, 2022 were $9.1 million compared to $9.3 million for the nine months ended September 30, 2021. The decrease in general and administrative expense was primarily driven by a decrease of $0.5 million in operational costs primarily related to technology and recruiting services and a decrease of $0.4 million in professional fees primarily associated with legal and consulting expense, partially offset by an increase of $0.5 million in stock-based compensation expense associated with stock option grants made in 2021 and 2022.</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Larimar Therapeutics</w:t>
      </w:r>
    </w:p>
    <w:p>
      <w:pPr>
        <w:spacing w:after="0" w:line="2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Larimar Therapeutics, Inc. (Nasdaq: LRMR), is a clinical-stage biotechnology company focused on developing treatments for complex rare diseases. Larimar’s lead compound, CTI-1601,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Larimar’s expectations regarding its ability to resolve the partial clinical hold imposed by the FDA related to CTI-1601, Larimar’s ability to develop and commercialize CTI-1601 and other planned product candidates, Larimar’s planned research and development efforts, including the timing of its CTI-1601 clinical development plan and other matters regarding Larimar’s business strategies, use of capital, results of operations and financial position, and plans and objectives for future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151130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17"/>
          <w:szCs w:val="17"/>
          <w:color w:val="auto"/>
        </w:rPr>
        <w:t>In some cases, you can identify forward-looking statements by the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Larimar’s ability to successfully engage with the FDA and satisfactorily respond to requests from the FDA for further information and data regarding the CTI-1601 clinical trial including the FDA review of data from cohort one from the Phase 2 dose exploration trial and FDA ‘s agreement to escalate the dosing in cohort two, the timing and outcomes of Larimar’s interactions with the FDA concerning the partial clinical hold, the success, cost and timing of Larimar’s product development activities, nonclinical studies and clinical trials, including CTI-1601 clinical milestones; that preliminary clinical trial results may differ from final clinical trial results, that earlier non-clinical and clinical data and testing of CTI-1601 may not be predictive of the results or success of later clinical trials, and assessments; the ongoing impact of the COVID-19 pandemic on Larimar’s future clinical trials, manufacturing, regulatory, nonclinical study timelines and operations, and general economic conditions; Larimar’s ability and the ability of third-party manufacturers Larimar engages, to optimize and scale CTI-1601’s manufacturing process; Larimar’s ability to obtain regulatory approvals for CTI-1601 and future product candidates;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 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Joyce Allaire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LifeSci Advisors</w:t>
      </w:r>
    </w:p>
    <w:p>
      <w:pPr>
        <w:spacing w:after="0"/>
        <w:rPr>
          <w:sz w:val="20"/>
          <w:szCs w:val="20"/>
          <w:color w:val="auto"/>
        </w:rPr>
      </w:pPr>
      <w:r>
        <w:rPr>
          <w:rFonts w:ascii="Arial" w:cs="Arial" w:eastAsia="Arial" w:hAnsi="Arial"/>
          <w:sz w:val="17"/>
          <w:szCs w:val="17"/>
          <w:color w:val="auto"/>
        </w:rPr>
        <w:t>jallaire@lifesciadvisors.com</w:t>
      </w:r>
    </w:p>
    <w:p>
      <w:pPr>
        <w:spacing w:after="0"/>
        <w:rPr>
          <w:sz w:val="20"/>
          <w:szCs w:val="20"/>
          <w:color w:val="auto"/>
        </w:rPr>
      </w:pPr>
      <w:r>
        <w:rPr>
          <w:rFonts w:ascii="Arial" w:cs="Arial" w:eastAsia="Arial" w:hAnsi="Arial"/>
          <w:sz w:val="17"/>
          <w:szCs w:val="17"/>
          <w:color w:val="auto"/>
        </w:rPr>
        <w:t>(212) 915-2569</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Contact: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Michael Celano</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mcelano@larimartx.com</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(484) 414-2715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278130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6" w:name="page7"/>
    <w:bookmarkEnd w:id="6"/>
    <w:p>
      <w:pPr>
        <w:jc w:val="center"/>
        <w:ind w:left="44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42"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6"/>
          <w:szCs w:val="16"/>
          <w:color w:val="auto"/>
        </w:rPr>
        <w:t>Consolidated Balance Sheet</w:t>
      </w:r>
    </w:p>
    <w:p>
      <w:pPr>
        <w:spacing w:after="0" w:line="21"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6"/>
          <w:szCs w:val="16"/>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-109220</wp:posOffset>
            </wp:positionV>
            <wp:extent cx="7149465" cy="127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-109220</wp:posOffset>
            </wp:positionV>
            <wp:extent cx="7149465" cy="127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-109220</wp:posOffset>
            </wp:positionV>
            <wp:extent cx="7149465" cy="1276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-109220</wp:posOffset>
            </wp:positionV>
            <wp:extent cx="7149465" cy="1276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Restricted cash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-109220</wp:posOffset>
            </wp:positionV>
            <wp:extent cx="7149465" cy="1276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Total assets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-104140</wp:posOffset>
            </wp:positionV>
            <wp:extent cx="7149465" cy="135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liabilities:</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-109220</wp:posOffset>
            </wp:positionV>
            <wp:extent cx="7149465" cy="127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color w:val="auto"/>
        </w:rPr>
        <w:t>Accrued expenses</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-109220</wp:posOffset>
            </wp:positionV>
            <wp:extent cx="7149465" cy="1276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p>
      <w:pPr>
        <w:spacing w:after="0" w:line="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-109220</wp:posOffset>
            </wp:positionV>
            <wp:extent cx="7149465" cy="390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39052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Commitments and contingencies (See Note 8)</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Stockholders’ equity:</w:t>
      </w:r>
    </w:p>
    <w:p>
      <w:pPr>
        <w:spacing w:after="0" w:line="11" w:lineRule="exact"/>
        <w:rPr>
          <w:sz w:val="20"/>
          <w:szCs w:val="20"/>
          <w:color w:val="auto"/>
        </w:rPr>
      </w:pPr>
    </w:p>
    <w:p>
      <w:pPr>
        <w:ind w:left="320"/>
        <w:spacing w:after="0"/>
        <w:tabs>
          <w:tab w:leader="none" w:pos="4420" w:val="left"/>
        </w:tabs>
        <w:rPr>
          <w:sz w:val="20"/>
          <w:szCs w:val="20"/>
          <w:color w:val="auto"/>
        </w:rPr>
      </w:pPr>
      <w:r>
        <w:rPr>
          <w:rFonts w:ascii="Times New Roman" w:cs="Times New Roman" w:eastAsia="Times New Roman" w:hAnsi="Times New Roman"/>
          <w:sz w:val="16"/>
          <w:szCs w:val="16"/>
          <w:color w:val="auto"/>
        </w:rPr>
        <w:t>Preferred stock; $0.001 par value per share; 5,000,000 shares</w:t>
      </w:r>
      <w:r>
        <w:rPr>
          <w:sz w:val="20"/>
          <w:szCs w:val="20"/>
          <w:color w:val="auto"/>
        </w:rPr>
        <w:tab/>
      </w:r>
      <w:r>
        <w:rPr>
          <w:rFonts w:ascii="Times New Roman" w:cs="Times New Roman" w:eastAsia="Times New Roman" w:hAnsi="Times New Roman"/>
          <w:sz w:val="15"/>
          <w:szCs w:val="15"/>
          <w:color w:val="auto"/>
        </w:rPr>
        <w:t>authorized 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-105410</wp:posOffset>
            </wp:positionV>
            <wp:extent cx="7149465" cy="360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360680"/>
                    </a:xfrm>
                    <a:prstGeom prst="rect">
                      <a:avLst/>
                    </a:prstGeom>
                    <a:noFill/>
                  </pic:spPr>
                </pic:pic>
              </a:graphicData>
            </a:graphic>
          </wp:anchor>
        </w:drawing>
      </w:r>
    </w:p>
    <w:p>
      <w:pPr>
        <w:spacing w:after="0" w:line="230" w:lineRule="auto"/>
        <w:rPr>
          <w:sz w:val="20"/>
          <w:szCs w:val="20"/>
          <w:color w:val="auto"/>
        </w:rPr>
      </w:pPr>
      <w:r>
        <w:rPr>
          <w:rFonts w:ascii="Times New Roman" w:cs="Times New Roman" w:eastAsia="Times New Roman" w:hAnsi="Times New Roman"/>
          <w:sz w:val="15"/>
          <w:szCs w:val="15"/>
          <w:color w:val="auto"/>
        </w:rPr>
        <w:t>2022 and December 31, 2021; no shares issued and outstanding as of September 30, 2022 and December</w:t>
      </w:r>
    </w:p>
    <w:p>
      <w:pPr>
        <w:spacing w:after="0"/>
        <w:rPr>
          <w:sz w:val="20"/>
          <w:szCs w:val="20"/>
          <w:color w:val="auto"/>
        </w:rPr>
      </w:pPr>
      <w:r>
        <w:rPr>
          <w:rFonts w:ascii="Times New Roman" w:cs="Times New Roman" w:eastAsia="Times New Roman" w:hAnsi="Times New Roman"/>
          <w:sz w:val="16"/>
          <w:szCs w:val="16"/>
          <w:color w:val="auto"/>
        </w:rPr>
        <w:t>31, 2021</w:t>
      </w:r>
    </w:p>
    <w:p>
      <w:pPr>
        <w:spacing w:after="0" w:line="35" w:lineRule="exact"/>
        <w:rPr>
          <w:sz w:val="20"/>
          <w:szCs w:val="20"/>
          <w:color w:val="auto"/>
        </w:rPr>
      </w:pPr>
    </w:p>
    <w:p>
      <w:pPr>
        <w:ind w:left="40" w:right="2200" w:firstLine="276"/>
        <w:spacing w:after="0" w:line="229" w:lineRule="auto"/>
        <w:rPr>
          <w:sz w:val="20"/>
          <w:szCs w:val="20"/>
          <w:color w:val="auto"/>
        </w:rPr>
      </w:pPr>
      <w:r>
        <w:rPr>
          <w:rFonts w:ascii="Times New Roman" w:cs="Times New Roman" w:eastAsia="Times New Roman" w:hAnsi="Times New Roman"/>
          <w:sz w:val="16"/>
          <w:szCs w:val="16"/>
          <w:color w:val="auto"/>
        </w:rPr>
        <w:t>Common stock, $0.001 par value per share; 115,000,000 shares authorized as of September 30, 2022 and December 31, 2021; 43,269,200 shares and 17,710,450 shares issued and outstanding as of September 30, 2022 and December 31, 2021, respectively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wp:posOffset>
            </wp:positionH>
            <wp:positionV relativeFrom="paragraph">
              <wp:posOffset>-105410</wp:posOffset>
            </wp:positionV>
            <wp:extent cx="7149465" cy="127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27635"/>
                    </a:xfrm>
                    <a:prstGeom prst="rect">
                      <a:avLst/>
                    </a:prstGeom>
                    <a:noFill/>
                  </pic:spPr>
                </pic:pic>
              </a:graphicData>
            </a:graphic>
          </wp:anchor>
        </w:drawing>
        <w:drawing>
          <wp:anchor simplePos="0" relativeHeight="251657728" behindDoc="1" locked="0" layoutInCell="0" allowOverlap="1">
            <wp:simplePos x="0" y="0"/>
            <wp:positionH relativeFrom="column">
              <wp:posOffset>-66040</wp:posOffset>
            </wp:positionH>
            <wp:positionV relativeFrom="paragraph">
              <wp:posOffset>181610</wp:posOffset>
            </wp:positionV>
            <wp:extent cx="717486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2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r>
      <w:tr>
        <w:trPr>
          <w:trHeight w:val="175"/>
        </w:trPr>
        <w:tc>
          <w:tcPr>
            <w:tcW w:w="194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3"/>
                <w:szCs w:val="13"/>
                <w:b w:val="1"/>
                <w:bCs w:val="1"/>
                <w:color w:val="auto"/>
              </w:rPr>
              <w:t>2022</w:t>
            </w:r>
          </w:p>
        </w:tc>
        <w:tc>
          <w:tcPr>
            <w:tcW w:w="260" w:type="dxa"/>
            <w:vAlign w:val="bottom"/>
          </w:tcPr>
          <w:p>
            <w:pPr>
              <w:spacing w:after="0"/>
              <w:rPr>
                <w:sz w:val="15"/>
                <w:szCs w:val="15"/>
                <w:color w:val="auto"/>
              </w:rPr>
            </w:pPr>
          </w:p>
        </w:tc>
        <w:tc>
          <w:tcPr>
            <w:tcW w:w="196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3"/>
                <w:szCs w:val="13"/>
                <w:b w:val="1"/>
                <w:bCs w:val="1"/>
                <w:color w:val="auto"/>
              </w:rPr>
              <w:t>2021</w:t>
            </w:r>
          </w:p>
        </w:tc>
      </w:tr>
    </w:tbl>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86,047</w:t>
            </w: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70,097</w:t>
            </w:r>
          </w:p>
        </w:tc>
      </w:tr>
      <w:tr>
        <w:trPr>
          <w:trHeight w:val="189"/>
        </w:trPr>
        <w:tc>
          <w:tcPr>
            <w:tcW w:w="102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38,652</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10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2,428</w:t>
            </w:r>
          </w:p>
        </w:tc>
        <w:tc>
          <w:tcPr>
            <w:tcW w:w="2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2,107</w:t>
            </w:r>
          </w:p>
        </w:tc>
      </w:tr>
      <w:tr>
        <w:trPr>
          <w:trHeight w:val="188"/>
        </w:trPr>
        <w:tc>
          <w:tcPr>
            <w:tcW w:w="102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127,127</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72,204</w:t>
            </w:r>
          </w:p>
        </w:tc>
      </w:tr>
      <w:tr>
        <w:trPr>
          <w:trHeight w:val="201"/>
        </w:trPr>
        <w:tc>
          <w:tcPr>
            <w:tcW w:w="102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909</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1,049</w:t>
            </w:r>
          </w:p>
        </w:tc>
      </w:tr>
      <w:tr>
        <w:trPr>
          <w:trHeight w:val="201"/>
        </w:trPr>
        <w:tc>
          <w:tcPr>
            <w:tcW w:w="102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2,997</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3,406</w:t>
            </w:r>
          </w:p>
        </w:tc>
      </w:tr>
      <w:tr>
        <w:trPr>
          <w:trHeight w:val="201"/>
        </w:trPr>
        <w:tc>
          <w:tcPr>
            <w:tcW w:w="102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1,339</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1,339</w:t>
            </w:r>
          </w:p>
        </w:tc>
      </w:tr>
      <w:tr>
        <w:trPr>
          <w:trHeight w:val="206"/>
        </w:trPr>
        <w:tc>
          <w:tcPr>
            <w:tcW w:w="10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643</w:t>
            </w:r>
          </w:p>
        </w:tc>
        <w:tc>
          <w:tcPr>
            <w:tcW w:w="2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669</w:t>
            </w:r>
          </w:p>
        </w:tc>
      </w:tr>
      <w:tr>
        <w:trPr>
          <w:trHeight w:val="181"/>
        </w:trPr>
        <w:tc>
          <w:tcPr>
            <w:tcW w:w="1020" w:type="dxa"/>
            <w:vAlign w:val="bottom"/>
            <w:tcBorders>
              <w:bottom w:val="single" w:sz="8" w:color="auto"/>
            </w:tcBorders>
          </w:tcPr>
          <w:p>
            <w:pPr>
              <w:jc w:val="right"/>
              <w:ind w:right="181"/>
              <w:spacing w:after="0" w:line="181" w:lineRule="exact"/>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133,015</w:t>
            </w:r>
          </w:p>
        </w:tc>
        <w:tc>
          <w:tcPr>
            <w:tcW w:w="260" w:type="dxa"/>
            <w:vAlign w:val="bottom"/>
          </w:tcPr>
          <w:p>
            <w:pPr>
              <w:spacing w:after="0"/>
              <w:rPr>
                <w:sz w:val="15"/>
                <w:szCs w:val="15"/>
                <w:color w:val="auto"/>
              </w:rPr>
            </w:pPr>
          </w:p>
        </w:tc>
        <w:tc>
          <w:tcPr>
            <w:tcW w:w="1080" w:type="dxa"/>
            <w:vAlign w:val="bottom"/>
            <w:tcBorders>
              <w:bottom w:val="single" w:sz="8" w:color="auto"/>
            </w:tcBorders>
          </w:tcPr>
          <w:p>
            <w:pPr>
              <w:jc w:val="right"/>
              <w:ind w:right="2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78,667</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586"/>
        </w:trPr>
        <w:tc>
          <w:tcPr>
            <w:tcW w:w="10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849</w:t>
            </w:r>
          </w:p>
        </w:tc>
        <w:tc>
          <w:tcPr>
            <w:tcW w:w="1340" w:type="dxa"/>
            <w:vAlign w:val="bottom"/>
            <w:gridSpan w:val="2"/>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1,660</w:t>
            </w:r>
          </w:p>
        </w:tc>
      </w:tr>
      <w:tr>
        <w:trPr>
          <w:trHeight w:val="189"/>
        </w:trPr>
        <w:tc>
          <w:tcPr>
            <w:tcW w:w="102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7,939</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6,592</w:t>
            </w:r>
          </w:p>
        </w:tc>
      </w:tr>
      <w:tr>
        <w:trPr>
          <w:trHeight w:val="206"/>
        </w:trPr>
        <w:tc>
          <w:tcPr>
            <w:tcW w:w="10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632</w:t>
            </w:r>
          </w:p>
        </w:tc>
        <w:tc>
          <w:tcPr>
            <w:tcW w:w="2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594</w:t>
            </w:r>
          </w:p>
        </w:tc>
      </w:tr>
      <w:tr>
        <w:trPr>
          <w:trHeight w:val="188"/>
        </w:trPr>
        <w:tc>
          <w:tcPr>
            <w:tcW w:w="1020" w:type="dxa"/>
            <w:vAlign w:val="bottom"/>
          </w:tcPr>
          <w:p>
            <w:pPr>
              <w:spacing w:after="0"/>
              <w:rPr>
                <w:sz w:val="16"/>
                <w:szCs w:val="16"/>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9,420</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8,846</w:t>
            </w:r>
          </w:p>
        </w:tc>
      </w:tr>
      <w:tr>
        <w:trPr>
          <w:trHeight w:val="206"/>
        </w:trPr>
        <w:tc>
          <w:tcPr>
            <w:tcW w:w="10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4,933</w:t>
            </w:r>
          </w:p>
        </w:tc>
        <w:tc>
          <w:tcPr>
            <w:tcW w:w="2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5,408</w:t>
            </w:r>
          </w:p>
        </w:tc>
      </w:tr>
      <w:tr>
        <w:trPr>
          <w:trHeight w:val="181"/>
        </w:trPr>
        <w:tc>
          <w:tcPr>
            <w:tcW w:w="10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14,353</w:t>
            </w:r>
          </w:p>
        </w:tc>
        <w:tc>
          <w:tcPr>
            <w:tcW w:w="2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14,254</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660"/>
        <w:spacing w:after="0"/>
        <w:tabs>
          <w:tab w:leader="none" w:pos="38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26" w:lineRule="exact"/>
        <w:rPr>
          <w:sz w:val="20"/>
          <w:szCs w:val="20"/>
          <w:color w:val="auto"/>
        </w:rPr>
      </w:pPr>
    </w:p>
    <w:tbl>
      <w:tblPr>
        <w:tblLayout w:type="fixed"/>
        <w:tblInd w:w="1300" w:type="dxa"/>
        <w:tblCellMar>
          <w:top w:w="0" w:type="dxa"/>
          <w:left w:w="0" w:type="dxa"/>
          <w:bottom w:w="0" w:type="dxa"/>
          <w:right w:w="0" w:type="dxa"/>
        </w:tblCellMar>
      </w:tblPr>
      <w:tr>
        <w:trPr>
          <w:trHeight w:val="201"/>
        </w:trPr>
        <w:tc>
          <w:tcPr>
            <w:tcW w:w="136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rPr>
              <w:t>43</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06"/>
        </w:trPr>
        <w:tc>
          <w:tcPr>
            <w:tcW w:w="1360" w:type="dxa"/>
            <w:vAlign w:val="bottom"/>
          </w:tcPr>
          <w:p>
            <w:pPr>
              <w:jc w:val="right"/>
              <w:ind w:right="761"/>
              <w:spacing w:after="0"/>
              <w:rPr>
                <w:sz w:val="20"/>
                <w:szCs w:val="20"/>
                <w:color w:val="auto"/>
              </w:rPr>
            </w:pPr>
            <w:r>
              <w:rPr>
                <w:rFonts w:ascii="Times New Roman" w:cs="Times New Roman" w:eastAsia="Times New Roman" w:hAnsi="Times New Roman"/>
                <w:sz w:val="16"/>
                <w:szCs w:val="16"/>
                <w:color w:val="auto"/>
                <w:w w:val="96"/>
              </w:rPr>
              <w:t>260,839</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180,645</w:t>
            </w:r>
          </w:p>
        </w:tc>
      </w:tr>
    </w:tbl>
    <w:p>
      <w:pPr>
        <w:sectPr>
          <w:pgSz w:w="11900" w:h="16838" w:orient="portrait"/>
          <w:cols w:equalWidth="0" w:num="2">
            <w:col w:w="6640" w:space="380"/>
            <w:col w:w="4160"/>
          </w:cols>
          <w:pgMar w:left="400" w:top="136" w:right="31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100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(142,180)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(116,250)</w:t>
            </w:r>
          </w:p>
        </w:tc>
      </w:tr>
      <w:tr>
        <w:trPr>
          <w:trHeight w:val="189"/>
        </w:trPr>
        <w:tc>
          <w:tcPr>
            <w:tcW w:w="71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r>
      <w:tr>
        <w:trPr>
          <w:trHeight w:val="193"/>
        </w:trPr>
        <w:tc>
          <w:tcPr>
            <w:tcW w:w="71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118,662</w:t>
            </w:r>
          </w:p>
        </w:tc>
        <w:tc>
          <w:tcPr>
            <w:tcW w:w="26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64,413</w:t>
            </w:r>
          </w:p>
        </w:tc>
      </w:tr>
      <w:tr>
        <w:trPr>
          <w:trHeight w:val="221"/>
        </w:trPr>
        <w:tc>
          <w:tcPr>
            <w:tcW w:w="7100" w:type="dxa"/>
            <w:vAlign w:val="bottom"/>
            <w:tcBorders>
              <w:bottom w:val="single" w:sz="8" w:color="CFF0FC"/>
            </w:tcBorders>
            <w:shd w:val="clear" w:color="auto" w:fill="CFF0FC"/>
          </w:tcPr>
          <w:p>
            <w:pPr>
              <w:ind w:left="240"/>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00" w:type="dxa"/>
            <w:vAlign w:val="bottom"/>
            <w:tcBorders>
              <w:bottom w:val="single" w:sz="8" w:color="auto"/>
            </w:tcBorders>
            <w:shd w:val="clear" w:color="auto" w:fill="CFF0FC"/>
          </w:tcPr>
          <w:p>
            <w:pPr>
              <w:jc w:val="right"/>
              <w:ind w:right="1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133,015</w:t>
            </w:r>
          </w:p>
        </w:tc>
        <w:tc>
          <w:tcPr>
            <w:tcW w:w="2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2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78,667</w:t>
            </w:r>
          </w:p>
        </w:tc>
      </w:tr>
      <w:tr>
        <w:trPr>
          <w:trHeight w:val="440"/>
        </w:trPr>
        <w:tc>
          <w:tcPr>
            <w:tcW w:w="7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5741670</wp:posOffset>
            </wp:positionH>
            <wp:positionV relativeFrom="paragraph">
              <wp:posOffset>-592455</wp:posOffset>
            </wp:positionV>
            <wp:extent cx="1651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-329565</wp:posOffset>
            </wp:positionV>
            <wp:extent cx="1651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-314960</wp:posOffset>
            </wp:positionV>
            <wp:extent cx="1651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-457200</wp:posOffset>
            </wp:positionV>
            <wp:extent cx="1651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Larimar Therapeutics,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6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582"/>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69"/>
        </w:trPr>
        <w:tc>
          <w:tcPr>
            <w:tcW w:w="46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2021</w:t>
            </w:r>
          </w:p>
        </w:tc>
        <w:tc>
          <w:tcPr>
            <w:tcW w:w="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3"/>
                <w:szCs w:val="13"/>
                <w:b w:val="1"/>
                <w:bCs w:val="1"/>
                <w:color w:val="auto"/>
              </w:rPr>
              <w:t>2022</w:t>
            </w: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93"/>
        </w:trPr>
        <w:tc>
          <w:tcPr>
            <w:tcW w:w="4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expenses:</w:t>
            </w:r>
          </w:p>
        </w:tc>
        <w:tc>
          <w:tcPr>
            <w:tcW w:w="5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201"/>
        </w:trPr>
        <w:tc>
          <w:tcPr>
            <w:tcW w:w="4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5,582</w:t>
            </w:r>
          </w:p>
        </w:tc>
        <w:tc>
          <w:tcPr>
            <w:tcW w:w="70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14,028</w:t>
            </w:r>
          </w:p>
        </w:tc>
        <w:tc>
          <w:tcPr>
            <w:tcW w:w="68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17,032</w:t>
            </w:r>
          </w:p>
        </w:tc>
        <w:tc>
          <w:tcPr>
            <w:tcW w:w="68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32,104</w:t>
            </w:r>
          </w:p>
        </w:tc>
      </w:tr>
      <w:tr>
        <w:trPr>
          <w:trHeight w:val="189"/>
        </w:trPr>
        <w:tc>
          <w:tcPr>
            <w:tcW w:w="466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2,931</w:t>
            </w:r>
          </w:p>
        </w:tc>
        <w:tc>
          <w:tcPr>
            <w:tcW w:w="2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2,702</w:t>
            </w:r>
          </w:p>
        </w:tc>
        <w:tc>
          <w:tcPr>
            <w:tcW w:w="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9,055</w:t>
            </w:r>
          </w:p>
        </w:tc>
        <w:tc>
          <w:tcPr>
            <w:tcW w:w="20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6"/>
                <w:szCs w:val="16"/>
                <w:color w:val="auto"/>
              </w:rPr>
              <w:t>9,275</w:t>
            </w:r>
          </w:p>
        </w:tc>
      </w:tr>
      <w:tr>
        <w:trPr>
          <w:trHeight w:val="181"/>
        </w:trPr>
        <w:tc>
          <w:tcPr>
            <w:tcW w:w="4660" w:type="dxa"/>
            <w:vAlign w:val="bottom"/>
          </w:tcPr>
          <w:p>
            <w:pPr>
              <w:ind w:left="72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
              <w:spacing w:after="0" w:line="181" w:lineRule="exact"/>
              <w:rPr>
                <w:sz w:val="20"/>
                <w:szCs w:val="20"/>
                <w:color w:val="auto"/>
              </w:rPr>
            </w:pPr>
            <w:r>
              <w:rPr>
                <w:rFonts w:ascii="Times New Roman" w:cs="Times New Roman" w:eastAsia="Times New Roman" w:hAnsi="Times New Roman"/>
                <w:sz w:val="16"/>
                <w:szCs w:val="16"/>
                <w:color w:val="auto"/>
              </w:rPr>
              <w:t>8,513</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2"/>
              <w:spacing w:after="0" w:line="181" w:lineRule="exact"/>
              <w:rPr>
                <w:sz w:val="20"/>
                <w:szCs w:val="20"/>
                <w:color w:val="auto"/>
              </w:rPr>
            </w:pPr>
            <w:r>
              <w:rPr>
                <w:rFonts w:ascii="Times New Roman" w:cs="Times New Roman" w:eastAsia="Times New Roman" w:hAnsi="Times New Roman"/>
                <w:sz w:val="16"/>
                <w:szCs w:val="16"/>
                <w:color w:val="auto"/>
              </w:rPr>
              <w:t>16,730</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
              <w:spacing w:after="0" w:line="181" w:lineRule="exact"/>
              <w:rPr>
                <w:sz w:val="20"/>
                <w:szCs w:val="20"/>
                <w:color w:val="auto"/>
              </w:rPr>
            </w:pPr>
            <w:r>
              <w:rPr>
                <w:rFonts w:ascii="Times New Roman" w:cs="Times New Roman" w:eastAsia="Times New Roman" w:hAnsi="Times New Roman"/>
                <w:sz w:val="16"/>
                <w:szCs w:val="16"/>
                <w:color w:val="auto"/>
              </w:rPr>
              <w:t>26,087</w:t>
            </w: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2"/>
              <w:spacing w:after="0" w:line="181" w:lineRule="exact"/>
              <w:rPr>
                <w:sz w:val="20"/>
                <w:szCs w:val="20"/>
                <w:color w:val="auto"/>
              </w:rPr>
            </w:pPr>
            <w:r>
              <w:rPr>
                <w:rFonts w:ascii="Times New Roman" w:cs="Times New Roman" w:eastAsia="Times New Roman" w:hAnsi="Times New Roman"/>
                <w:sz w:val="16"/>
                <w:szCs w:val="16"/>
                <w:color w:val="auto"/>
              </w:rPr>
              <w:t>41,379</w:t>
            </w:r>
          </w:p>
        </w:tc>
      </w:tr>
      <w:tr>
        <w:trPr>
          <w:trHeight w:val="193"/>
        </w:trPr>
        <w:tc>
          <w:tcPr>
            <w:tcW w:w="4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Loss from operations</w:t>
            </w:r>
          </w:p>
        </w:tc>
        <w:tc>
          <w:tcPr>
            <w:tcW w:w="5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(8,513)</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(16,730)</w:t>
            </w: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(26,087)</w:t>
            </w:r>
          </w:p>
        </w:tc>
        <w:tc>
          <w:tcPr>
            <w:tcW w:w="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(41,379)</w:t>
            </w:r>
          </w:p>
        </w:tc>
      </w:tr>
      <w:tr>
        <w:trPr>
          <w:trHeight w:val="189"/>
        </w:trPr>
        <w:tc>
          <w:tcPr>
            <w:tcW w:w="46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income (expense), net</w:t>
            </w: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193</w:t>
            </w:r>
          </w:p>
        </w:tc>
        <w:tc>
          <w:tcPr>
            <w:tcW w:w="2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157</w:t>
            </w: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(123)</w:t>
            </w:r>
          </w:p>
        </w:tc>
      </w:tr>
      <w:tr>
        <w:trPr>
          <w:trHeight w:val="221"/>
        </w:trPr>
        <w:tc>
          <w:tcPr>
            <w:tcW w:w="4660" w:type="dxa"/>
            <w:vAlign w:val="bottom"/>
            <w:tcBorders>
              <w:bottom w:val="single" w:sz="8" w:color="CFF0FC"/>
            </w:tcBorders>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500" w:type="dxa"/>
            <w:vAlign w:val="bottom"/>
            <w:tcBorders>
              <w:bottom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3"/>
              <w:spacing w:after="0" w:line="181" w:lineRule="exact"/>
              <w:rPr>
                <w:sz w:val="20"/>
                <w:szCs w:val="20"/>
                <w:color w:val="auto"/>
              </w:rPr>
            </w:pPr>
            <w:r>
              <w:rPr>
                <w:rFonts w:ascii="Times New Roman" w:cs="Times New Roman" w:eastAsia="Times New Roman" w:hAnsi="Times New Roman"/>
                <w:sz w:val="16"/>
                <w:szCs w:val="16"/>
                <w:color w:val="auto"/>
              </w:rPr>
              <w:t>(8,320)</w:t>
            </w:r>
          </w:p>
        </w:tc>
        <w:tc>
          <w:tcPr>
            <w:tcW w:w="2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ind w:right="22"/>
              <w:spacing w:after="0" w:line="181" w:lineRule="exact"/>
              <w:rPr>
                <w:sz w:val="20"/>
                <w:szCs w:val="20"/>
                <w:color w:val="auto"/>
              </w:rPr>
            </w:pPr>
            <w:r>
              <w:rPr>
                <w:rFonts w:ascii="Times New Roman" w:cs="Times New Roman" w:eastAsia="Times New Roman" w:hAnsi="Times New Roman"/>
                <w:sz w:val="16"/>
                <w:szCs w:val="16"/>
                <w:color w:val="auto"/>
              </w:rPr>
              <w:t>(16,805)</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10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3"/>
              <w:spacing w:after="0" w:line="181" w:lineRule="exact"/>
              <w:rPr>
                <w:sz w:val="20"/>
                <w:szCs w:val="20"/>
                <w:color w:val="auto"/>
              </w:rPr>
            </w:pPr>
            <w:r>
              <w:rPr>
                <w:rFonts w:ascii="Times New Roman" w:cs="Times New Roman" w:eastAsia="Times New Roman" w:hAnsi="Times New Roman"/>
                <w:sz w:val="16"/>
                <w:szCs w:val="16"/>
                <w:color w:val="auto"/>
              </w:rPr>
              <w:t>(25,930)</w:t>
            </w:r>
          </w:p>
        </w:tc>
        <w:tc>
          <w:tcPr>
            <w:tcW w:w="2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ind w:right="22"/>
              <w:spacing w:after="0" w:line="181" w:lineRule="exact"/>
              <w:rPr>
                <w:sz w:val="20"/>
                <w:szCs w:val="20"/>
                <w:color w:val="auto"/>
              </w:rPr>
            </w:pPr>
            <w:r>
              <w:rPr>
                <w:rFonts w:ascii="Times New Roman" w:cs="Times New Roman" w:eastAsia="Times New Roman" w:hAnsi="Times New Roman"/>
                <w:sz w:val="16"/>
                <w:szCs w:val="16"/>
                <w:color w:val="auto"/>
              </w:rPr>
              <w:t>(41,502)</w:t>
            </w:r>
          </w:p>
        </w:tc>
      </w:tr>
      <w:tr>
        <w:trPr>
          <w:trHeight w:val="165"/>
        </w:trPr>
        <w:tc>
          <w:tcPr>
            <w:tcW w:w="4660" w:type="dxa"/>
            <w:vAlign w:val="bottom"/>
          </w:tcPr>
          <w:p>
            <w:pPr>
              <w:ind w:left="80"/>
              <w:spacing w:after="0" w:line="165" w:lineRule="exact"/>
              <w:rPr>
                <w:sz w:val="20"/>
                <w:szCs w:val="20"/>
                <w:color w:val="auto"/>
              </w:rPr>
            </w:pPr>
            <w:r>
              <w:rPr>
                <w:rFonts w:ascii="Times New Roman" w:cs="Times New Roman" w:eastAsia="Times New Roman" w:hAnsi="Times New Roman"/>
                <w:sz w:val="16"/>
                <w:szCs w:val="16"/>
                <w:color w:val="auto"/>
              </w:rPr>
              <w:t>Net loss per share, basic and diluted</w:t>
            </w:r>
          </w:p>
        </w:tc>
        <w:tc>
          <w:tcPr>
            <w:tcW w:w="500" w:type="dxa"/>
            <w:vAlign w:val="bottom"/>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
              <w:spacing w:after="0" w:line="165" w:lineRule="exact"/>
              <w:rPr>
                <w:sz w:val="20"/>
                <w:szCs w:val="20"/>
                <w:color w:val="auto"/>
              </w:rPr>
            </w:pPr>
            <w:r>
              <w:rPr>
                <w:rFonts w:ascii="Times New Roman" w:cs="Times New Roman" w:eastAsia="Times New Roman" w:hAnsi="Times New Roman"/>
                <w:sz w:val="16"/>
                <w:szCs w:val="16"/>
                <w:color w:val="auto"/>
              </w:rPr>
              <w:t>(0.37)</w:t>
            </w:r>
          </w:p>
        </w:tc>
        <w:tc>
          <w:tcPr>
            <w:tcW w:w="700" w:type="dxa"/>
            <w:vAlign w:val="bottom"/>
            <w:gridSpan w:val="2"/>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rPr>
              <w:t>(0.92)</w:t>
            </w:r>
          </w:p>
        </w:tc>
        <w:tc>
          <w:tcPr>
            <w:tcW w:w="680" w:type="dxa"/>
            <w:vAlign w:val="bottom"/>
            <w:gridSpan w:val="2"/>
          </w:tcPr>
          <w:p>
            <w:pPr>
              <w:jc w:val="right"/>
              <w:ind w:right="61"/>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3"/>
              <w:spacing w:after="0" w:line="165" w:lineRule="exact"/>
              <w:rPr>
                <w:sz w:val="20"/>
                <w:szCs w:val="20"/>
                <w:color w:val="auto"/>
              </w:rPr>
            </w:pPr>
            <w:r>
              <w:rPr>
                <w:rFonts w:ascii="Times New Roman" w:cs="Times New Roman" w:eastAsia="Times New Roman" w:hAnsi="Times New Roman"/>
                <w:sz w:val="16"/>
                <w:szCs w:val="16"/>
                <w:color w:val="auto"/>
              </w:rPr>
              <w:t>(1.32)</w:t>
            </w:r>
          </w:p>
        </w:tc>
        <w:tc>
          <w:tcPr>
            <w:tcW w:w="680" w:type="dxa"/>
            <w:vAlign w:val="bottom"/>
            <w:gridSpan w:val="2"/>
          </w:tcPr>
          <w:p>
            <w:pPr>
              <w:jc w:val="right"/>
              <w:ind w:right="41"/>
              <w:spacing w:after="0" w:line="165"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2"/>
              <w:spacing w:after="0" w:line="165" w:lineRule="exact"/>
              <w:rPr>
                <w:sz w:val="20"/>
                <w:szCs w:val="20"/>
                <w:color w:val="auto"/>
              </w:rPr>
            </w:pPr>
            <w:r>
              <w:rPr>
                <w:rFonts w:ascii="Times New Roman" w:cs="Times New Roman" w:eastAsia="Times New Roman" w:hAnsi="Times New Roman"/>
                <w:sz w:val="16"/>
                <w:szCs w:val="16"/>
                <w:color w:val="auto"/>
              </w:rPr>
              <w:t>(2.48)</w:t>
            </w:r>
          </w:p>
        </w:tc>
      </w:tr>
      <w:tr>
        <w:trPr>
          <w:trHeight w:val="20"/>
        </w:trPr>
        <w:tc>
          <w:tcPr>
            <w:tcW w:w="4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660" w:type="dxa"/>
            <w:vAlign w:val="bottom"/>
            <w:tcBorders>
              <w:bottom w:val="single" w:sz="8" w:color="CFF0FC"/>
            </w:tcBorders>
            <w:shd w:val="clear" w:color="auto" w:fill="CFF0FC"/>
          </w:tcPr>
          <w:p>
            <w:pPr>
              <w:ind w:left="8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basic and diluted</w:t>
            </w:r>
          </w:p>
        </w:tc>
        <w:tc>
          <w:tcPr>
            <w:tcW w:w="5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3"/>
              <w:spacing w:after="0" w:line="165" w:lineRule="exact"/>
              <w:rPr>
                <w:sz w:val="20"/>
                <w:szCs w:val="20"/>
                <w:color w:val="auto"/>
              </w:rPr>
            </w:pPr>
            <w:r>
              <w:rPr>
                <w:rFonts w:ascii="Times New Roman" w:cs="Times New Roman" w:eastAsia="Times New Roman" w:hAnsi="Times New Roman"/>
                <w:sz w:val="16"/>
                <w:szCs w:val="16"/>
                <w:color w:val="auto"/>
              </w:rPr>
              <w:t>22,228,228</w:t>
            </w:r>
          </w:p>
        </w:tc>
        <w:tc>
          <w:tcPr>
            <w:tcW w:w="2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62"/>
              <w:spacing w:after="0" w:line="165" w:lineRule="exact"/>
              <w:rPr>
                <w:sz w:val="20"/>
                <w:szCs w:val="20"/>
                <w:color w:val="auto"/>
              </w:rPr>
            </w:pPr>
            <w:r>
              <w:rPr>
                <w:rFonts w:ascii="Times New Roman" w:cs="Times New Roman" w:eastAsia="Times New Roman" w:hAnsi="Times New Roman"/>
                <w:sz w:val="16"/>
                <w:szCs w:val="16"/>
                <w:color w:val="auto"/>
              </w:rPr>
              <w:t>18,287,924</w:t>
            </w:r>
          </w:p>
        </w:tc>
        <w:tc>
          <w:tcPr>
            <w:tcW w:w="1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3"/>
              <w:spacing w:after="0" w:line="165" w:lineRule="exact"/>
              <w:rPr>
                <w:sz w:val="20"/>
                <w:szCs w:val="20"/>
                <w:color w:val="auto"/>
              </w:rPr>
            </w:pPr>
            <w:r>
              <w:rPr>
                <w:rFonts w:ascii="Times New Roman" w:cs="Times New Roman" w:eastAsia="Times New Roman" w:hAnsi="Times New Roman"/>
                <w:sz w:val="16"/>
                <w:szCs w:val="16"/>
                <w:color w:val="auto"/>
              </w:rPr>
              <w:t>19,649,558</w:t>
            </w:r>
          </w:p>
        </w:tc>
        <w:tc>
          <w:tcPr>
            <w:tcW w:w="20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62"/>
              <w:spacing w:after="0" w:line="165" w:lineRule="exact"/>
              <w:rPr>
                <w:sz w:val="20"/>
                <w:szCs w:val="20"/>
                <w:color w:val="auto"/>
              </w:rPr>
            </w:pPr>
            <w:r>
              <w:rPr>
                <w:rFonts w:ascii="Times New Roman" w:cs="Times New Roman" w:eastAsia="Times New Roman" w:hAnsi="Times New Roman"/>
                <w:sz w:val="16"/>
                <w:szCs w:val="16"/>
                <w:color w:val="auto"/>
              </w:rPr>
              <w:t>16,768,458</w:t>
            </w:r>
          </w:p>
        </w:tc>
      </w:tr>
      <w:tr>
        <w:trPr>
          <w:trHeight w:val="185"/>
        </w:trPr>
        <w:tc>
          <w:tcPr>
            <w:tcW w:w="4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Comprehensive loss:</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4"/>
        </w:trPr>
        <w:tc>
          <w:tcPr>
            <w:tcW w:w="46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5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(8,320)</w:t>
            </w:r>
          </w:p>
        </w:tc>
        <w:tc>
          <w:tcPr>
            <w:tcW w:w="7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(16,805)</w:t>
            </w:r>
          </w:p>
        </w:tc>
        <w:tc>
          <w:tcPr>
            <w:tcW w:w="6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(25,930)</w:t>
            </w:r>
          </w:p>
        </w:tc>
        <w:tc>
          <w:tcPr>
            <w:tcW w:w="6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(41,502)</w:t>
            </w:r>
          </w:p>
        </w:tc>
      </w:tr>
      <w:tr>
        <w:trPr>
          <w:trHeight w:val="201"/>
        </w:trPr>
        <w:tc>
          <w:tcPr>
            <w:tcW w:w="4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1"/>
        </w:trPr>
        <w:tc>
          <w:tcPr>
            <w:tcW w:w="466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Unrealized gain/(loss) on marketable debt securities</w:t>
            </w:r>
          </w:p>
        </w:tc>
        <w:tc>
          <w:tcPr>
            <w:tcW w:w="5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6"/>
                <w:szCs w:val="16"/>
                <w:color w:val="auto"/>
              </w:rPr>
              <w:t>(40)</w:t>
            </w:r>
          </w:p>
        </w:tc>
        <w:tc>
          <w:tcPr>
            <w:tcW w:w="200" w:type="dxa"/>
            <w:vAlign w:val="bottom"/>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r>
      <w:tr>
        <w:trPr>
          <w:trHeight w:val="181"/>
        </w:trPr>
        <w:tc>
          <w:tcPr>
            <w:tcW w:w="4660" w:type="dxa"/>
            <w:vAlign w:val="bottom"/>
          </w:tcPr>
          <w:p>
            <w:pPr>
              <w:ind w:left="720"/>
              <w:spacing w:after="0" w:line="181" w:lineRule="exact"/>
              <w:rPr>
                <w:sz w:val="20"/>
                <w:szCs w:val="20"/>
                <w:color w:val="auto"/>
              </w:rPr>
            </w:pPr>
            <w:r>
              <w:rPr>
                <w:rFonts w:ascii="Times New Roman" w:cs="Times New Roman" w:eastAsia="Times New Roman" w:hAnsi="Times New Roman"/>
                <w:sz w:val="16"/>
                <w:szCs w:val="16"/>
                <w:color w:val="auto"/>
              </w:rPr>
              <w:t>Total other comprehensive income (loss)</w:t>
            </w: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
              <w:spacing w:after="0" w:line="181" w:lineRule="exact"/>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2"/>
              <w:spacing w:after="0" w:line="181" w:lineRule="exact"/>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
              <w:spacing w:after="0" w:line="181" w:lineRule="exact"/>
              <w:rPr>
                <w:sz w:val="20"/>
                <w:szCs w:val="20"/>
                <w:color w:val="auto"/>
              </w:rPr>
            </w:pPr>
            <w:r>
              <w:rPr>
                <w:rFonts w:ascii="Times New Roman" w:cs="Times New Roman" w:eastAsia="Times New Roman" w:hAnsi="Times New Roman"/>
                <w:sz w:val="16"/>
                <w:szCs w:val="16"/>
                <w:color w:val="auto"/>
              </w:rPr>
              <w:t>(40)</w:t>
            </w:r>
          </w:p>
        </w:tc>
        <w:tc>
          <w:tcPr>
            <w:tcW w:w="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2"/>
              <w:spacing w:after="0" w:line="181" w:lineRule="exact"/>
              <w:rPr>
                <w:sz w:val="20"/>
                <w:szCs w:val="20"/>
                <w:color w:val="auto"/>
              </w:rPr>
            </w:pPr>
            <w:r>
              <w:rPr>
                <w:rFonts w:ascii="Times New Roman" w:cs="Times New Roman" w:eastAsia="Times New Roman" w:hAnsi="Times New Roman"/>
                <w:sz w:val="16"/>
                <w:szCs w:val="16"/>
                <w:color w:val="auto"/>
              </w:rPr>
              <w:t>(1)</w:t>
            </w:r>
          </w:p>
        </w:tc>
      </w:tr>
      <w:tr>
        <w:trPr>
          <w:trHeight w:val="221"/>
        </w:trPr>
        <w:tc>
          <w:tcPr>
            <w:tcW w:w="4660" w:type="dxa"/>
            <w:vAlign w:val="bottom"/>
            <w:tcBorders>
              <w:bottom w:val="single" w:sz="8" w:color="CFF0FC"/>
            </w:tcBorders>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Total comprehensive loss</w:t>
            </w:r>
          </w:p>
        </w:tc>
        <w:tc>
          <w:tcPr>
            <w:tcW w:w="500" w:type="dxa"/>
            <w:vAlign w:val="bottom"/>
            <w:tcBorders>
              <w:bottom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3"/>
              <w:spacing w:after="0" w:line="181" w:lineRule="exact"/>
              <w:rPr>
                <w:sz w:val="20"/>
                <w:szCs w:val="20"/>
                <w:color w:val="auto"/>
              </w:rPr>
            </w:pPr>
            <w:r>
              <w:rPr>
                <w:rFonts w:ascii="Times New Roman" w:cs="Times New Roman" w:eastAsia="Times New Roman" w:hAnsi="Times New Roman"/>
                <w:sz w:val="16"/>
                <w:szCs w:val="16"/>
                <w:color w:val="auto"/>
              </w:rPr>
              <w:t>(8,303)</w:t>
            </w:r>
          </w:p>
        </w:tc>
        <w:tc>
          <w:tcPr>
            <w:tcW w:w="2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ind w:right="22"/>
              <w:spacing w:after="0" w:line="181" w:lineRule="exact"/>
              <w:rPr>
                <w:sz w:val="20"/>
                <w:szCs w:val="20"/>
                <w:color w:val="auto"/>
              </w:rPr>
            </w:pPr>
            <w:r>
              <w:rPr>
                <w:rFonts w:ascii="Times New Roman" w:cs="Times New Roman" w:eastAsia="Times New Roman" w:hAnsi="Times New Roman"/>
                <w:sz w:val="16"/>
                <w:szCs w:val="16"/>
                <w:color w:val="auto"/>
              </w:rPr>
              <w:t>(16,806)</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FF0FC"/>
          </w:tcPr>
          <w:p>
            <w:pPr>
              <w:jc w:val="right"/>
              <w:ind w:right="3"/>
              <w:spacing w:after="0" w:line="181" w:lineRule="exact"/>
              <w:rPr>
                <w:sz w:val="20"/>
                <w:szCs w:val="20"/>
                <w:color w:val="auto"/>
              </w:rPr>
            </w:pPr>
            <w:r>
              <w:rPr>
                <w:rFonts w:ascii="Times New Roman" w:cs="Times New Roman" w:eastAsia="Times New Roman" w:hAnsi="Times New Roman"/>
                <w:sz w:val="16"/>
                <w:szCs w:val="16"/>
                <w:color w:val="auto"/>
              </w:rPr>
              <w:t>(25,970)</w:t>
            </w:r>
          </w:p>
        </w:tc>
        <w:tc>
          <w:tcPr>
            <w:tcW w:w="2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41"/>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shd w:val="clear" w:color="auto" w:fill="CFF0FC"/>
          </w:tcPr>
          <w:p>
            <w:pPr>
              <w:jc w:val="right"/>
              <w:ind w:right="22"/>
              <w:spacing w:after="0" w:line="181" w:lineRule="exact"/>
              <w:rPr>
                <w:sz w:val="20"/>
                <w:szCs w:val="20"/>
                <w:color w:val="auto"/>
              </w:rPr>
            </w:pPr>
            <w:r>
              <w:rPr>
                <w:rFonts w:ascii="Times New Roman" w:cs="Times New Roman" w:eastAsia="Times New Roman" w:hAnsi="Times New Roman"/>
                <w:sz w:val="16"/>
                <w:szCs w:val="16"/>
                <w:color w:val="auto"/>
              </w:rPr>
              <w:t>(41,503)</w:t>
            </w:r>
          </w:p>
        </w:tc>
      </w:tr>
      <w:tr>
        <w:trPr>
          <w:trHeight w:val="251"/>
        </w:trPr>
        <w:tc>
          <w:tcPr>
            <w:tcW w:w="4660" w:type="dxa"/>
            <w:vAlign w:val="bottom"/>
            <w:tcBorders>
              <w:bottom w:val="single" w:sz="8" w:color="9A9A9A"/>
            </w:tcBorders>
          </w:tcPr>
          <w:p>
            <w:pPr>
              <w:spacing w:after="0"/>
              <w:rPr>
                <w:sz w:val="21"/>
                <w:szCs w:val="21"/>
                <w:color w:val="auto"/>
              </w:rPr>
            </w:pPr>
          </w:p>
        </w:tc>
        <w:tc>
          <w:tcPr>
            <w:tcW w:w="50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50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500" w:type="dxa"/>
            <w:vAlign w:val="bottom"/>
            <w:tcBorders>
              <w:bottom w:val="single" w:sz="8" w:color="9A9A9A"/>
            </w:tcBorders>
          </w:tcPr>
          <w:p>
            <w:pPr>
              <w:spacing w:after="0"/>
              <w:rPr>
                <w:sz w:val="21"/>
                <w:szCs w:val="21"/>
                <w:color w:val="auto"/>
              </w:rPr>
            </w:pPr>
          </w:p>
        </w:tc>
        <w:tc>
          <w:tcPr>
            <w:tcW w:w="1000" w:type="dxa"/>
            <w:vAlign w:val="bottom"/>
            <w:tcBorders>
              <w:bottom w:val="single" w:sz="8" w:color="9A9A9A"/>
            </w:tcBorders>
          </w:tcPr>
          <w:p>
            <w:pPr>
              <w:spacing w:after="0"/>
              <w:rPr>
                <w:sz w:val="21"/>
                <w:szCs w:val="21"/>
                <w:color w:val="auto"/>
              </w:rPr>
            </w:pPr>
          </w:p>
        </w:tc>
        <w:tc>
          <w:tcPr>
            <w:tcW w:w="200" w:type="dxa"/>
            <w:vAlign w:val="bottom"/>
            <w:tcBorders>
              <w:bottom w:val="single" w:sz="8" w:color="9A9A9A"/>
            </w:tcBorders>
          </w:tcPr>
          <w:p>
            <w:pPr>
              <w:spacing w:after="0"/>
              <w:rPr>
                <w:sz w:val="21"/>
                <w:szCs w:val="21"/>
                <w:color w:val="auto"/>
              </w:rPr>
            </w:pPr>
          </w:p>
        </w:tc>
        <w:tc>
          <w:tcPr>
            <w:tcW w:w="48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-1801495</wp:posOffset>
            </wp:positionV>
            <wp:extent cx="12763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-1801495</wp:posOffset>
            </wp:positionV>
            <wp:extent cx="12001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-1801495</wp:posOffset>
            </wp:positionV>
            <wp:extent cx="12001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-1290955</wp:posOffset>
            </wp:positionV>
            <wp:extent cx="12763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-1275715</wp:posOffset>
            </wp:positionV>
            <wp:extent cx="12763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-1290955</wp:posOffset>
            </wp:positionV>
            <wp:extent cx="12001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-1275715</wp:posOffset>
            </wp:positionV>
            <wp:extent cx="12001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-1290955</wp:posOffset>
            </wp:positionV>
            <wp:extent cx="12001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-1275715</wp:posOffset>
            </wp:positionV>
            <wp:extent cx="12001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-1005840</wp:posOffset>
            </wp:positionV>
            <wp:extent cx="12763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-990600</wp:posOffset>
            </wp:positionV>
            <wp:extent cx="12763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-1005840</wp:posOffset>
            </wp:positionV>
            <wp:extent cx="12001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-990600</wp:posOffset>
            </wp:positionV>
            <wp:extent cx="12001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-1005840</wp:posOffset>
            </wp:positionV>
            <wp:extent cx="12001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-990600</wp:posOffset>
            </wp:positionV>
            <wp:extent cx="12001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3903980</wp:posOffset>
            </wp:positionH>
            <wp:positionV relativeFrom="paragraph">
              <wp:posOffset>-477520</wp:posOffset>
            </wp:positionV>
            <wp:extent cx="153035" cy="1606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3035" cy="1606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-477520</wp:posOffset>
            </wp:positionV>
            <wp:extent cx="145415" cy="160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5415" cy="160655"/>
                    </a:xfrm>
                    <a:prstGeom prst="rect">
                      <a:avLst/>
                    </a:prstGeom>
                    <a:noFill/>
                  </pic:spPr>
                </pic:pic>
              </a:graphicData>
            </a:graphic>
          </wp:anchor>
        </w:drawing>
        <w:drawing>
          <wp:anchor simplePos="0" relativeHeight="251657728" behindDoc="1" locked="0" layoutInCell="0" allowOverlap="1">
            <wp:simplePos x="0" y="0"/>
            <wp:positionH relativeFrom="column">
              <wp:posOffset>6059170</wp:posOffset>
            </wp:positionH>
            <wp:positionV relativeFrom="paragraph">
              <wp:posOffset>-477520</wp:posOffset>
            </wp:positionV>
            <wp:extent cx="145415" cy="1606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5415" cy="160655"/>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-209550</wp:posOffset>
            </wp:positionV>
            <wp:extent cx="12763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-194310</wp:posOffset>
            </wp:positionV>
            <wp:extent cx="12763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635" cy="762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-209550</wp:posOffset>
            </wp:positionV>
            <wp:extent cx="120015"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4998085</wp:posOffset>
            </wp:positionH>
            <wp:positionV relativeFrom="paragraph">
              <wp:posOffset>-194310</wp:posOffset>
            </wp:positionV>
            <wp:extent cx="120015"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-209550</wp:posOffset>
            </wp:positionV>
            <wp:extent cx="12001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6071870</wp:posOffset>
            </wp:positionH>
            <wp:positionV relativeFrom="paragraph">
              <wp:posOffset>-194310</wp:posOffset>
            </wp:positionV>
            <wp:extent cx="12001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6"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2022-11-10T06:05:03Z</dcterms:created>
  <dcterms:modified xsi:type="dcterms:W3CDTF">2022-11-10T06:05:03Z</dcterms:modified>
</cp:coreProperties>
</file>