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333-219834</w:t>
      </w:r>
    </w:p>
    <w:p>
      <w:pPr>
        <w:spacing w:after="0" w:line="22" w:lineRule="exact"/>
        <w:rPr>
          <w:sz w:val="24"/>
          <w:szCs w:val="24"/>
          <w:color w:val="auto"/>
        </w:rPr>
      </w:pPr>
    </w:p>
    <w:p>
      <w:pPr>
        <w:ind w:left="200"/>
        <w:spacing w:after="0"/>
        <w:tabs>
          <w:tab w:leader="none" w:pos="8000" w:val="left"/>
        </w:tabs>
        <w:rPr>
          <w:sz w:val="20"/>
          <w:szCs w:val="20"/>
          <w:color w:val="auto"/>
        </w:rPr>
      </w:pPr>
      <w:r>
        <w:rPr>
          <w:rFonts w:ascii="Arial" w:cs="Arial" w:eastAsia="Arial" w:hAnsi="Arial"/>
          <w:sz w:val="18"/>
          <w:szCs w:val="18"/>
          <w:b w:val="1"/>
          <w:bCs w:val="1"/>
          <w:color w:val="D6284A"/>
        </w:rPr>
        <w:t>PROSPECTUS SUPPLEMENT</w:t>
      </w:r>
      <w:r>
        <w:rPr>
          <w:sz w:val="20"/>
          <w:szCs w:val="20"/>
          <w:color w:val="auto"/>
        </w:rPr>
        <w:tab/>
      </w:r>
      <w:r>
        <w:rPr>
          <w:rFonts w:ascii="Arial" w:cs="Arial" w:eastAsia="Arial" w:hAnsi="Arial"/>
          <w:sz w:val="17"/>
          <w:szCs w:val="17"/>
          <w:b w:val="1"/>
          <w:bCs w:val="1"/>
          <w:color w:val="D6284A"/>
        </w:rPr>
        <w:t>(To prospectus dated 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36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182245</wp:posOffset>
            </wp:positionV>
            <wp:extent cx="153479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37" w:lineRule="exact"/>
        <w:rPr>
          <w:sz w:val="24"/>
          <w:szCs w:val="24"/>
          <w:color w:val="auto"/>
        </w:rPr>
      </w:pPr>
    </w:p>
    <w:p>
      <w:pPr>
        <w:jc w:val="both"/>
        <w:ind w:left="200" w:right="220"/>
        <w:spacing w:after="0" w:line="248" w:lineRule="auto"/>
        <w:rPr>
          <w:sz w:val="20"/>
          <w:szCs w:val="20"/>
          <w:color w:val="auto"/>
        </w:rPr>
      </w:pPr>
      <w:r>
        <w:rPr>
          <w:rFonts w:ascii="Arial" w:cs="Arial" w:eastAsia="Arial" w:hAnsi="Arial"/>
          <w:sz w:val="18"/>
          <w:szCs w:val="18"/>
          <w:color w:val="auto"/>
        </w:rPr>
        <w:t>We have entered into a sales agreement with Cowen and Company, LLC, or Cowen, relating to shares of our common stock offered by this prospectus supplement and the accompanying prospectus. In accordance with the terms of the sales agreement, we may offer and sell shares of our common stock having an aggregate offering price of up to $50,000,000 from time to time through Cowen acting as our agent.</w:t>
      </w:r>
    </w:p>
    <w:p>
      <w:pPr>
        <w:spacing w:after="0" w:line="171" w:lineRule="exact"/>
        <w:rPr>
          <w:sz w:val="24"/>
          <w:szCs w:val="24"/>
          <w:color w:val="auto"/>
        </w:rPr>
      </w:pPr>
    </w:p>
    <w:p>
      <w:pPr>
        <w:ind w:left="200" w:right="160"/>
        <w:spacing w:after="0" w:line="276" w:lineRule="auto"/>
        <w:rPr>
          <w:sz w:val="20"/>
          <w:szCs w:val="20"/>
          <w:color w:val="auto"/>
        </w:rPr>
      </w:pPr>
      <w:r>
        <w:rPr>
          <w:rFonts w:ascii="Arial" w:cs="Arial" w:eastAsia="Arial" w:hAnsi="Arial"/>
          <w:sz w:val="18"/>
          <w:szCs w:val="18"/>
          <w:color w:val="auto"/>
        </w:rPr>
        <w:t>Our common stock is listed on The Nasdaq Global Select Market under the symbol “ZFGN”. On November 8, 2018 the last reported sale price of our common stock was $11.49 per share.</w:t>
      </w:r>
    </w:p>
    <w:p>
      <w:pPr>
        <w:spacing w:after="0" w:line="145" w:lineRule="exact"/>
        <w:rPr>
          <w:sz w:val="24"/>
          <w:szCs w:val="24"/>
          <w:color w:val="auto"/>
        </w:rPr>
      </w:pPr>
    </w:p>
    <w:p>
      <w:pPr>
        <w:ind w:left="200" w:right="120"/>
        <w:spacing w:after="0" w:line="245" w:lineRule="auto"/>
        <w:rPr>
          <w:sz w:val="20"/>
          <w:szCs w:val="20"/>
          <w:color w:val="auto"/>
        </w:rPr>
      </w:pPr>
      <w:r>
        <w:rPr>
          <w:rFonts w:ascii="Arial" w:cs="Arial" w:eastAsia="Arial" w:hAnsi="Arial"/>
          <w:sz w:val="18"/>
          <w:szCs w:val="18"/>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Cowen is not required to sell any specific number or dollar amount of securities, but will act as our sales agent using commercially reasonable efforts consistent with its normal trading and sales practices, on mutually agreed terms between Cowen and us. There is no arrangement for funds to be received in any escrow, trust or similar arrangement.</w:t>
      </w:r>
    </w:p>
    <w:p>
      <w:pPr>
        <w:spacing w:after="0" w:line="172" w:lineRule="exact"/>
        <w:rPr>
          <w:sz w:val="24"/>
          <w:szCs w:val="24"/>
          <w:color w:val="auto"/>
        </w:rPr>
      </w:pPr>
    </w:p>
    <w:p>
      <w:pPr>
        <w:ind w:left="200" w:right="80"/>
        <w:spacing w:after="0" w:line="245" w:lineRule="auto"/>
        <w:rPr>
          <w:sz w:val="20"/>
          <w:szCs w:val="20"/>
          <w:color w:val="auto"/>
        </w:rPr>
      </w:pPr>
      <w:r>
        <w:rPr>
          <w:rFonts w:ascii="Arial" w:cs="Arial" w:eastAsia="Arial" w:hAnsi="Arial"/>
          <w:sz w:val="18"/>
          <w:szCs w:val="18"/>
          <w:color w:val="auto"/>
        </w:rPr>
        <w:t>The compensation to Cowen for sales of common stock sold pursuant to the sales agreement will be an amount equal to 3% of the gross proceeds of any shares of common stock sold under the sales agreement. In connection with the sale of the common stock on our behalf, Cowen will be deemed to be an “underwriter” within the meaning of the Securities Act and the compensation to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 See the section titled “Plan of Distribution” on page S</w:t>
      </w:r>
      <w:r>
        <w:rPr>
          <w:rFonts w:ascii="Arial" w:cs="Arial" w:eastAsia="Arial" w:hAnsi="Arial"/>
          <w:sz w:val="18"/>
          <w:szCs w:val="18"/>
          <w:b w:val="1"/>
          <w:bCs w:val="1"/>
          <w:color w:val="auto"/>
        </w:rPr>
        <w:t>-</w:t>
      </w:r>
      <w:r>
        <w:rPr>
          <w:rFonts w:ascii="Arial" w:cs="Arial" w:eastAsia="Arial" w:hAnsi="Arial"/>
          <w:sz w:val="18"/>
          <w:szCs w:val="18"/>
          <w:color w:val="auto"/>
        </w:rPr>
        <w:t>15 of this prospectus supplement.</w:t>
      </w:r>
    </w:p>
    <w:p>
      <w:pPr>
        <w:spacing w:after="0" w:line="162" w:lineRule="exact"/>
        <w:rPr>
          <w:sz w:val="24"/>
          <w:szCs w:val="24"/>
          <w:color w:val="auto"/>
        </w:rPr>
      </w:pPr>
    </w:p>
    <w:p>
      <w:pPr>
        <w:ind w:left="200" w:right="30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Our business and an investment in our common stock involve significant risks. These risks are described under the caption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S-8 of this prospectus supplement and under similar headings in the other documents that are incorporated by reference into this prospectus supplement.</w:t>
      </w:r>
    </w:p>
    <w:p>
      <w:pPr>
        <w:spacing w:after="0" w:line="151" w:lineRule="exact"/>
        <w:rPr>
          <w:sz w:val="24"/>
          <w:szCs w:val="24"/>
          <w:color w:val="auto"/>
        </w:rPr>
      </w:pPr>
    </w:p>
    <w:p>
      <w:pPr>
        <w:ind w:left="200" w:right="60"/>
        <w:spacing w:after="0" w:line="27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124"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Cowen</w:t>
      </w:r>
    </w:p>
    <w:p>
      <w:pPr>
        <w:sectPr>
          <w:pgSz w:w="11900" w:h="16838" w:orient="portrait"/>
          <w:cols w:equalWidth="0" w:num="1">
            <w:col w:w="11220"/>
          </w:cols>
          <w:pgMar w:left="240" w:top="2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60" w:type="dxa"/>
            <w:vAlign w:val="bottom"/>
            <w:gridSpan w:val="27"/>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6"/>
        </w:trPr>
        <w:tc>
          <w:tcPr>
            <w:tcW w:w="2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98"/>
              </w:rPr>
              <w:t>TABLE OF CONTENTS</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99"/>
              </w:rPr>
              <w:t>PROSPECTUS SUPPLEMENT</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8660" w:type="dxa"/>
            <w:vAlign w:val="bottom"/>
            <w:gridSpan w:val="26"/>
          </w:tcPr>
          <w:p>
            <w:pPr>
              <w:spacing w:after="0" w:line="199"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2320" w:type="dxa"/>
            <w:vAlign w:val="bottom"/>
          </w:tcPr>
          <w:p>
            <w:pPr>
              <w:jc w:val="right"/>
              <w:spacing w:after="0" w:line="199"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6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4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18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3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3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DISCLOSURE</w:t>
              </w:r>
            </w:hyperlink>
          </w:p>
        </w:tc>
        <w:tc>
          <w:tcPr>
            <w:tcW w:w="7320" w:type="dxa"/>
            <w:vAlign w:val="bottom"/>
            <w:gridSpan w:val="21"/>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REGARDING FORWARD-LOOKING STATEMENTS</w:t>
              </w:r>
            </w:hyperlink>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54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1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7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DILUTION</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6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PLAN OF</w:t>
              </w:r>
            </w:hyperlink>
          </w:p>
        </w:tc>
        <w:tc>
          <w:tcPr>
            <w:tcW w:w="7800" w:type="dxa"/>
            <w:vAlign w:val="bottom"/>
            <w:gridSpan w:val="24"/>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DISTRIBUTION</w:t>
              </w:r>
            </w:hyperlink>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1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4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280" w:type="dxa"/>
            <w:vAlign w:val="bottom"/>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S-18</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660" w:type="dxa"/>
            <w:vAlign w:val="bottom"/>
            <w:gridSpan w:val="26"/>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9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INCORPORATION BY REFERENCE</w:t>
              </w:r>
            </w:hyperlink>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S-19</w:t>
            </w:r>
          </w:p>
        </w:tc>
        <w:tc>
          <w:tcPr>
            <w:tcW w:w="0" w:type="dxa"/>
            <w:vAlign w:val="bottom"/>
          </w:tcPr>
          <w:p>
            <w:pPr>
              <w:spacing w:after="0"/>
              <w:rPr>
                <w:sz w:val="1"/>
                <w:szCs w:val="1"/>
                <w:color w:val="auto"/>
              </w:rPr>
            </w:pPr>
          </w:p>
        </w:tc>
      </w:tr>
      <w:tr>
        <w:trPr>
          <w:trHeight w:val="478"/>
        </w:trPr>
        <w:tc>
          <w:tcPr>
            <w:tcW w:w="20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9"/>
              </w:rPr>
              <w:t>PROSPECTUS</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3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2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3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CAUTIONARY</w:t>
              </w:r>
            </w:hyperlink>
          </w:p>
        </w:tc>
        <w:tc>
          <w:tcPr>
            <w:tcW w:w="7320" w:type="dxa"/>
            <w:vAlign w:val="bottom"/>
            <w:gridSpan w:val="2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STATEMENT REGARDING FORWARD-LOOKING STATEMENTS</w:t>
              </w:r>
            </w:hyperlink>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THE COMPANY</w:t>
              </w:r>
            </w:hyperlink>
          </w:p>
        </w:tc>
        <w:tc>
          <w:tcPr>
            <w:tcW w:w="5200" w:type="dxa"/>
            <w:vAlign w:val="bottom"/>
            <w:tcBorders>
              <w:top w:val="single" w:sz="8" w:color="0000EE"/>
            </w:tcBorders>
            <w:gridSpan w:val="21"/>
          </w:tcPr>
          <w:p>
            <w:pPr>
              <w:spacing w:after="0"/>
              <w:rPr>
                <w:sz w:val="15"/>
                <w:szCs w:val="15"/>
                <w:color w:val="auto"/>
              </w:rPr>
            </w:pPr>
          </w:p>
        </w:tc>
        <w:tc>
          <w:tcPr>
            <w:tcW w:w="2140" w:type="dxa"/>
            <w:vAlign w:val="bottom"/>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660" w:type="dxa"/>
            <w:vAlign w:val="bottom"/>
            <w:gridSpan w:val="26"/>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1900" w:type="dxa"/>
            <w:vAlign w:val="bottom"/>
            <w:tcBorders>
              <w:top w:val="single" w:sz="8" w:color="0000EE"/>
            </w:tcBorders>
            <w:gridSpan w:val="11"/>
          </w:tcPr>
          <w:p>
            <w:pPr>
              <w:spacing w:after="0"/>
              <w:rPr>
                <w:sz w:val="15"/>
                <w:szCs w:val="15"/>
                <w:color w:val="auto"/>
              </w:rPr>
            </w:pPr>
          </w:p>
        </w:tc>
        <w:tc>
          <w:tcPr>
            <w:tcW w:w="2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4480" w:type="dxa"/>
            <w:vAlign w:val="bottom"/>
            <w:gridSpan w:val="3"/>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660" w:type="dxa"/>
            <w:vAlign w:val="bottom"/>
            <w:gridSpan w:val="26"/>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SECURITIES WE MAY OFFER</w:t>
              </w:r>
            </w:hyperlink>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5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CAPITAL</w:t>
              </w:r>
            </w:hyperlink>
          </w:p>
        </w:tc>
        <w:tc>
          <w:tcPr>
            <w:tcW w:w="6140" w:type="dxa"/>
            <w:vAlign w:val="bottom"/>
            <w:gridSpan w:val="13"/>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STOCK</w:t>
              </w:r>
            </w:hyperlink>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DESCRIPTION OF DEBT SECURITIES</w:t>
              </w:r>
            </w:hyperlink>
          </w:p>
        </w:tc>
        <w:tc>
          <w:tcPr>
            <w:tcW w:w="220" w:type="dxa"/>
            <w:vAlign w:val="bottom"/>
            <w:tcBorders>
              <w:bottom w:val="single" w:sz="8" w:color="0000EE"/>
            </w:tcBorders>
          </w:tcPr>
          <w:p>
            <w:pPr>
              <w:spacing w:after="0"/>
              <w:rPr>
                <w:sz w:val="15"/>
                <w:szCs w:val="15"/>
                <w:color w:val="auto"/>
              </w:rPr>
            </w:pPr>
          </w:p>
        </w:tc>
        <w:tc>
          <w:tcPr>
            <w:tcW w:w="720" w:type="dxa"/>
            <w:vAlign w:val="bottom"/>
            <w:gridSpan w:val="5"/>
          </w:tcPr>
          <w:p>
            <w:pPr>
              <w:spacing w:after="0"/>
              <w:rPr>
                <w:sz w:val="15"/>
                <w:szCs w:val="15"/>
                <w:color w:val="auto"/>
              </w:rPr>
            </w:pPr>
          </w:p>
        </w:tc>
        <w:tc>
          <w:tcPr>
            <w:tcW w:w="260" w:type="dxa"/>
            <w:vAlign w:val="bottom"/>
          </w:tcPr>
          <w:p>
            <w:pPr>
              <w:spacing w:after="0"/>
              <w:rPr>
                <w:sz w:val="15"/>
                <w:szCs w:val="15"/>
                <w:color w:val="auto"/>
              </w:rPr>
            </w:pPr>
          </w:p>
        </w:tc>
        <w:tc>
          <w:tcPr>
            <w:tcW w:w="4480" w:type="dxa"/>
            <w:vAlign w:val="bottom"/>
            <w:gridSpan w:val="3"/>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720" w:type="dxa"/>
            <w:vAlign w:val="bottom"/>
            <w:gridSpan w:val="5"/>
          </w:tcPr>
          <w:p>
            <w:pPr>
              <w:spacing w:after="0"/>
              <w:rPr>
                <w:sz w:val="15"/>
                <w:szCs w:val="15"/>
                <w:color w:val="auto"/>
              </w:rPr>
            </w:pPr>
          </w:p>
        </w:tc>
        <w:tc>
          <w:tcPr>
            <w:tcW w:w="260" w:type="dxa"/>
            <w:vAlign w:val="bottom"/>
          </w:tcPr>
          <w:p>
            <w:pPr>
              <w:spacing w:after="0"/>
              <w:rPr>
                <w:sz w:val="15"/>
                <w:szCs w:val="15"/>
                <w:color w:val="auto"/>
              </w:rPr>
            </w:pPr>
          </w:p>
        </w:tc>
        <w:tc>
          <w:tcPr>
            <w:tcW w:w="4480" w:type="dxa"/>
            <w:vAlign w:val="bottom"/>
            <w:gridSpan w:val="3"/>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6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1320" w:type="dxa"/>
            <w:vAlign w:val="bottom"/>
            <w:gridSpan w:val="8"/>
          </w:tcPr>
          <w:p>
            <w:pPr>
              <w:spacing w:after="0"/>
              <w:rPr>
                <w:sz w:val="15"/>
                <w:szCs w:val="15"/>
                <w:color w:val="auto"/>
              </w:rPr>
            </w:pPr>
          </w:p>
        </w:tc>
        <w:tc>
          <w:tcPr>
            <w:tcW w:w="260" w:type="dxa"/>
            <w:vAlign w:val="bottom"/>
          </w:tcPr>
          <w:p>
            <w:pPr>
              <w:spacing w:after="0"/>
              <w:rPr>
                <w:sz w:val="15"/>
                <w:szCs w:val="15"/>
                <w:color w:val="auto"/>
              </w:rPr>
            </w:pPr>
          </w:p>
        </w:tc>
        <w:tc>
          <w:tcPr>
            <w:tcW w:w="4480" w:type="dxa"/>
            <w:vAlign w:val="bottom"/>
            <w:gridSpan w:val="3"/>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1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1800" w:type="dxa"/>
            <w:vAlign w:val="bottom"/>
            <w:gridSpan w:val="11"/>
          </w:tcPr>
          <w:p>
            <w:pPr>
              <w:spacing w:after="0"/>
              <w:rPr>
                <w:sz w:val="15"/>
                <w:szCs w:val="15"/>
                <w:color w:val="auto"/>
              </w:rPr>
            </w:pPr>
          </w:p>
        </w:tc>
        <w:tc>
          <w:tcPr>
            <w:tcW w:w="260" w:type="dxa"/>
            <w:vAlign w:val="bottom"/>
          </w:tcPr>
          <w:p>
            <w:pPr>
              <w:spacing w:after="0"/>
              <w:rPr>
                <w:sz w:val="15"/>
                <w:szCs w:val="15"/>
                <w:color w:val="auto"/>
              </w:rPr>
            </w:pPr>
          </w:p>
        </w:tc>
        <w:tc>
          <w:tcPr>
            <w:tcW w:w="4480" w:type="dxa"/>
            <w:vAlign w:val="bottom"/>
            <w:gridSpan w:val="3"/>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1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1820" w:type="dxa"/>
            <w:vAlign w:val="bottom"/>
            <w:gridSpan w:val="12"/>
          </w:tcPr>
          <w:p>
            <w:pPr>
              <w:spacing w:after="0"/>
              <w:rPr>
                <w:sz w:val="15"/>
                <w:szCs w:val="15"/>
                <w:color w:val="auto"/>
              </w:rPr>
            </w:pPr>
          </w:p>
        </w:tc>
        <w:tc>
          <w:tcPr>
            <w:tcW w:w="260" w:type="dxa"/>
            <w:vAlign w:val="bottom"/>
          </w:tcPr>
          <w:p>
            <w:pPr>
              <w:spacing w:after="0"/>
              <w:rPr>
                <w:sz w:val="15"/>
                <w:szCs w:val="15"/>
                <w:color w:val="auto"/>
              </w:rPr>
            </w:pPr>
          </w:p>
        </w:tc>
        <w:tc>
          <w:tcPr>
            <w:tcW w:w="4480" w:type="dxa"/>
            <w:vAlign w:val="bottom"/>
            <w:gridSpan w:val="3"/>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4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2440" w:type="dxa"/>
            <w:vAlign w:val="bottom"/>
            <w:gridSpan w:val="15"/>
          </w:tcPr>
          <w:p>
            <w:pPr>
              <w:spacing w:after="0"/>
              <w:rPr>
                <w:sz w:val="15"/>
                <w:szCs w:val="15"/>
                <w:color w:val="auto"/>
              </w:rPr>
            </w:pPr>
          </w:p>
        </w:tc>
        <w:tc>
          <w:tcPr>
            <w:tcW w:w="260" w:type="dxa"/>
            <w:vAlign w:val="bottom"/>
          </w:tcPr>
          <w:p>
            <w:pPr>
              <w:spacing w:after="0"/>
              <w:rPr>
                <w:sz w:val="15"/>
                <w:szCs w:val="15"/>
                <w:color w:val="auto"/>
              </w:rPr>
            </w:pPr>
          </w:p>
        </w:tc>
        <w:tc>
          <w:tcPr>
            <w:tcW w:w="4480" w:type="dxa"/>
            <w:vAlign w:val="bottom"/>
            <w:gridSpan w:val="3"/>
          </w:tcPr>
          <w:p>
            <w:pPr>
              <w:spacing w:after="0"/>
              <w:rPr>
                <w:sz w:val="15"/>
                <w:szCs w:val="15"/>
                <w:color w:val="auto"/>
              </w:rPr>
            </w:pP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80" w:type="dxa"/>
            <w:vAlign w:val="bottom"/>
            <w:gridSpan w:val="2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3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92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WHERE YOU CAN FIND MORE INFORMATION</w:t>
              </w:r>
            </w:hyperlink>
          </w:p>
        </w:tc>
        <w:tc>
          <w:tcPr>
            <w:tcW w:w="4740" w:type="dxa"/>
            <w:vAlign w:val="bottom"/>
            <w:gridSpan w:val="4"/>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8660" w:type="dxa"/>
            <w:vAlign w:val="bottom"/>
            <w:gridSpan w:val="26"/>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INFORMATION INCORPORATED BY REFERENCE</w:t>
              </w:r>
            </w:hyperlink>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322"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color w:val="auto"/>
        </w:rPr>
        <w:t>This prospectus supplement is part of a registration statement that we filed with the Securities and Exchange Commission, or SEC, utilizing a “shelf” registration process. Under this shelf registration process, we may from time to time sell shares of our common stock having an aggregate offering price of up to $ 50,000,000 under this prospectus supplement at prices and on terms to be determined by market conditions at the time of the offering. This document is in two parts. The first part is this prospectus supplement, which describes the specific terms of this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w:t>
      </w:r>
    </w:p>
    <w:p>
      <w:pPr>
        <w:spacing w:after="0" w:line="179" w:lineRule="exact"/>
        <w:rPr>
          <w:sz w:val="20"/>
          <w:szCs w:val="20"/>
          <w:color w:val="auto"/>
        </w:rPr>
      </w:pPr>
    </w:p>
    <w:p>
      <w:pPr>
        <w:ind w:left="200" w:right="80" w:firstLine="331"/>
        <w:spacing w:after="0" w:line="248" w:lineRule="auto"/>
        <w:rPr>
          <w:sz w:val="20"/>
          <w:szCs w:val="20"/>
          <w:color w:val="auto"/>
        </w:rPr>
      </w:pPr>
      <w:r>
        <w:rPr>
          <w:rFonts w:ascii="Arial" w:cs="Arial" w:eastAsia="Arial" w:hAnsi="Arial"/>
          <w:sz w:val="18"/>
          <w:szCs w:val="18"/>
          <w:color w:val="auto"/>
        </w:rPr>
        <w:t>This prospectus supplement and the accompanying prospectus includes or incorporates by reference important information about us, our common stock, and other matters you should know before investing. You should carefully read this prospectus, the information and documents incorporated herein by reference and the additional information under the headings “Where You Can Find More Information” and “Incorporation of Documents by Reference” before making an investment decision.</w:t>
      </w:r>
    </w:p>
    <w:p>
      <w:pPr>
        <w:spacing w:after="0" w:line="17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and in any free writing prospectus we may provide to you in connection with this offering. We have not, and Cowen has not, authorized anyone to provide you with information that is in addition to, or different from that contained or incorporated by reference in this prospectus, the accompanying prospectus or any related free writing prospectus. No dealer, salesperson or other person is authorized to give any information or to represent anything not contained or incorporated by reference in this prospectus supplement, the accompanying prospectus or any related free writing prospectus. You must not rely on any unauthorized information or representation. This prospectus supplement is an offer to sell only the shares of our common stock offered hereby, but only under circumstances and in jurisdictions where it is lawful to do so. You should assume that the information in this prospectus supplement, the accompanying prospectus or any related free writing prospectus is accurate only as of the date on the front of the document and that any information we have incorporated herein by reference is accurate only as of the date of the document incorporated by reference, regardless of the time of delivery of this prospectus or any related free writing prospectus or any sale of a security. Our business, financial condition, liquidity, results of operations, and prospects may have changed since those dates.</w:t>
      </w:r>
    </w:p>
    <w:p>
      <w:pPr>
        <w:spacing w:after="0" w:line="184" w:lineRule="exact"/>
        <w:rPr>
          <w:sz w:val="20"/>
          <w:szCs w:val="20"/>
          <w:color w:val="auto"/>
        </w:rPr>
      </w:pPr>
    </w:p>
    <w:p>
      <w:pPr>
        <w:ind w:left="200" w:right="20" w:firstLine="331"/>
        <w:spacing w:after="0" w:line="243"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in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4" w:lineRule="exact"/>
        <w:rPr>
          <w:sz w:val="20"/>
          <w:szCs w:val="20"/>
          <w:color w:val="auto"/>
        </w:rPr>
      </w:pPr>
    </w:p>
    <w:p>
      <w:pPr>
        <w:ind w:left="200" w:firstLine="331"/>
        <w:spacing w:after="0" w:line="255" w:lineRule="auto"/>
        <w:rPr>
          <w:sz w:val="20"/>
          <w:szCs w:val="20"/>
          <w:color w:val="auto"/>
        </w:rPr>
      </w:pPr>
      <w:r>
        <w:rPr>
          <w:rFonts w:ascii="Arial" w:cs="Arial" w:eastAsia="Arial" w:hAnsi="Arial"/>
          <w:sz w:val="18"/>
          <w:szCs w:val="18"/>
          <w:color w:val="auto"/>
        </w:rPr>
        <w:t>Unless the context otherwise requires, “Zafgen,” “the Company,” “we,” “us,” “our” and similar names refer to Zafgen, Inc., a Delaware corporation, and its subsidiaries. When we refer to “you” or “yours” we mean the investors and potential investors in the shares of common stock offered hereby.</w:t>
      </w:r>
    </w:p>
    <w:p>
      <w:pPr>
        <w:spacing w:after="0" w:line="164" w:lineRule="exact"/>
        <w:rPr>
          <w:sz w:val="20"/>
          <w:szCs w:val="20"/>
          <w:color w:val="auto"/>
        </w:rPr>
      </w:pPr>
    </w:p>
    <w:p>
      <w:pPr>
        <w:ind w:left="200" w:right="20" w:firstLine="331"/>
        <w:spacing w:after="0" w:line="276" w:lineRule="auto"/>
        <w:rPr>
          <w:sz w:val="20"/>
          <w:szCs w:val="20"/>
          <w:color w:val="auto"/>
        </w:rPr>
      </w:pPr>
      <w:r>
        <w:rPr>
          <w:rFonts w:ascii="Arial" w:cs="Arial" w:eastAsia="Arial" w:hAnsi="Arial"/>
          <w:sz w:val="18"/>
          <w:szCs w:val="18"/>
          <w:color w:val="auto"/>
        </w:rPr>
        <w:t>Our trademarks include, without limitation, our name and corporate logo. Other service marks, trademarks and trade names contained in this prospectus or the documents incorporated by reference herein are the property of their respective owners.</w:t>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480" w:firstLine="331"/>
        <w:spacing w:after="0" w:line="248" w:lineRule="auto"/>
        <w:rPr>
          <w:sz w:val="20"/>
          <w:szCs w:val="20"/>
          <w:color w:val="auto"/>
        </w:rPr>
      </w:pPr>
      <w:r>
        <w:rPr>
          <w:rFonts w:ascii="Arial" w:cs="Arial" w:eastAsia="Arial" w:hAnsi="Arial"/>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w:t>
      </w:r>
    </w:p>
    <w:p>
      <w:pPr>
        <w:spacing w:after="0" w:line="171" w:lineRule="exact"/>
        <w:rPr>
          <w:sz w:val="20"/>
          <w:szCs w:val="20"/>
          <w:color w:val="auto"/>
        </w:rPr>
      </w:pPr>
    </w:p>
    <w:p>
      <w:pPr>
        <w:ind w:left="200" w:firstLine="331"/>
        <w:spacing w:after="0" w:line="276" w:lineRule="auto"/>
        <w:rPr>
          <w:sz w:val="20"/>
          <w:szCs w:val="20"/>
          <w:color w:val="auto"/>
        </w:rPr>
      </w:pPr>
      <w:r>
        <w:rPr>
          <w:rFonts w:ascii="Arial" w:cs="Arial" w:eastAsia="Arial" w:hAnsi="Arial"/>
          <w:sz w:val="18"/>
          <w:szCs w:val="18"/>
          <w:color w:val="auto"/>
        </w:rPr>
        <w:t>To the extent there are inconsistencies between this prospectus and any documents incorporated by reference, the document with the most recent date will control.</w:t>
      </w:r>
    </w:p>
    <w:p>
      <w:pPr>
        <w:spacing w:after="0" w:line="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715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2145" cy="57156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SUPPLEMENT SUMMARY</w:t>
      </w:r>
    </w:p>
    <w:p>
      <w:pPr>
        <w:spacing w:after="0" w:line="324" w:lineRule="exact"/>
        <w:rPr>
          <w:sz w:val="20"/>
          <w:szCs w:val="20"/>
          <w:color w:val="auto"/>
        </w:rPr>
      </w:pPr>
    </w:p>
    <w:p>
      <w:pPr>
        <w:ind w:left="380" w:right="160" w:firstLine="320"/>
        <w:spacing w:after="0" w:line="241" w:lineRule="auto"/>
        <w:rPr>
          <w:sz w:val="20"/>
          <w:szCs w:val="20"/>
          <w:color w:val="auto"/>
        </w:rPr>
      </w:pPr>
      <w:r>
        <w:rPr>
          <w:rFonts w:ascii="Arial" w:cs="Arial" w:eastAsia="Arial" w:hAnsi="Arial"/>
          <w:sz w:val="18"/>
          <w:szCs w:val="18"/>
          <w:i w:val="1"/>
          <w:iCs w:val="1"/>
          <w:color w:val="auto"/>
        </w:rPr>
        <w:t>The following summary of our business highlights some of the information contained elsewhere in or incorporated by reference into this prospectus supplement and the accompanying prospectus. Because this is only a summary, however, it does not contain all of the information that may be important to you. You should carefully read this prospectus supplement and the accompanying prospectus, including the documents incorporated herein by reference, which are described under “Incorporation of Certain Information by Reference” in this prospectus supplement. You should also carefully consider the matters discussed in the section in this prospectus supplement entitled “Risk Factors” and in the accompanying prospectus and in other periodic reports incorporated herein by reference.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w:t>
      </w:r>
    </w:p>
    <w:p>
      <w:pPr>
        <w:spacing w:after="0" w:line="65" w:lineRule="exact"/>
        <w:rPr>
          <w:sz w:val="20"/>
          <w:szCs w:val="20"/>
          <w:color w:val="auto"/>
        </w:rPr>
      </w:pPr>
    </w:p>
    <w:p>
      <w:pPr>
        <w:ind w:left="380" w:right="100" w:firstLine="320"/>
        <w:spacing w:after="0" w:line="248" w:lineRule="auto"/>
        <w:rPr>
          <w:sz w:val="20"/>
          <w:szCs w:val="20"/>
          <w:color w:val="auto"/>
        </w:rPr>
      </w:pPr>
      <w:r>
        <w:rPr>
          <w:rFonts w:ascii="Arial" w:cs="Arial" w:eastAsia="Arial" w:hAnsi="Arial"/>
          <w:sz w:val="18"/>
          <w:szCs w:val="18"/>
          <w:color w:val="auto"/>
        </w:rPr>
        <w:t>We are a clinical-stage biopharmaceutical company leveraging our proprietary methionine aminopeptidase 2, or MetAP2, biology platform to develop novel therapies for patients affected by complex metabolic diseases. We have pioneered the study of MetAP2 inhibitors in both common and rare metabolic disorders and we are currently advancing programs for type 2 diabetes, Prader-Willi syndrome, or PWS, and liver diseases.</w:t>
      </w:r>
    </w:p>
    <w:p>
      <w:pPr>
        <w:spacing w:after="0" w:line="171" w:lineRule="exact"/>
        <w:rPr>
          <w:sz w:val="20"/>
          <w:szCs w:val="20"/>
          <w:color w:val="auto"/>
        </w:rPr>
      </w:pPr>
    </w:p>
    <w:p>
      <w:pPr>
        <w:ind w:left="380" w:firstLine="320"/>
        <w:spacing w:after="0"/>
        <w:rPr>
          <w:sz w:val="20"/>
          <w:szCs w:val="20"/>
          <w:color w:val="auto"/>
        </w:rPr>
      </w:pPr>
      <w:r>
        <w:rPr>
          <w:rFonts w:ascii="Arial" w:cs="Arial" w:eastAsia="Arial" w:hAnsi="Arial"/>
          <w:sz w:val="18"/>
          <w:szCs w:val="18"/>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disorder that leads to increased microvascular and macrovascular disease, and as such increases risk of death from cardiovascular disease, stroke, and kidney failure. Type 2 diabetes is also a leading cause of lower-limb amputation and blindness. Existing agents, while effective in reducing blood glucose levels, fail to reduce progression of the disease, which is driven by loss of function of insulin-producing beta cells and by loss of sensitivity to insulin action. It is estimated that approximately one-third of patients progress to needing insulin (recently estimated to be a $20 billion market based on annual sales). New therapies are needed to improve glycemic control and reduce comorbidities of type 2 diabetes.</w:t>
      </w:r>
    </w:p>
    <w:p>
      <w:pPr>
        <w:spacing w:after="0" w:line="181" w:lineRule="exact"/>
        <w:rPr>
          <w:sz w:val="20"/>
          <w:szCs w:val="20"/>
          <w:color w:val="auto"/>
        </w:rPr>
      </w:pPr>
    </w:p>
    <w:p>
      <w:pPr>
        <w:ind w:left="380" w:right="20" w:firstLine="320"/>
        <w:spacing w:after="0" w:line="238" w:lineRule="auto"/>
        <w:rPr>
          <w:sz w:val="20"/>
          <w:szCs w:val="20"/>
          <w:color w:val="auto"/>
        </w:rPr>
      </w:pPr>
      <w:r>
        <w:rPr>
          <w:rFonts w:ascii="Arial" w:cs="Arial" w:eastAsia="Arial" w:hAnsi="Arial"/>
          <w:sz w:val="18"/>
          <w:szCs w:val="18"/>
          <w:color w:val="auto"/>
        </w:rPr>
        <w:t>We have also initiated development of a second, highly-optimized MetAP2 development candidate, ZGN-1258, which is administered by subcutaneous injection. We expect that our initial target indication for ZGN-1258 will be PWS. 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81" w:lineRule="exact"/>
        <w:rPr>
          <w:sz w:val="20"/>
          <w:szCs w:val="20"/>
          <w:color w:val="auto"/>
        </w:rPr>
      </w:pPr>
    </w:p>
    <w:p>
      <w:pPr>
        <w:ind w:left="380" w:right="340" w:firstLine="320"/>
        <w:spacing w:after="0" w:line="276" w:lineRule="auto"/>
        <w:rPr>
          <w:sz w:val="20"/>
          <w:szCs w:val="20"/>
          <w:color w:val="auto"/>
        </w:rPr>
      </w:pPr>
      <w:r>
        <w:rPr>
          <w:rFonts w:ascii="Arial" w:cs="Arial" w:eastAsia="Arial" w:hAnsi="Arial"/>
          <w:sz w:val="18"/>
          <w:szCs w:val="18"/>
          <w:color w:val="auto"/>
        </w:rPr>
        <w:t>We have also advanced ZGN-1345, an orally dosed MetAP2 inhibitor specifically targeting the liver, to development candidate stage as a differentiated third asset within the Company’s pipeline.</w:t>
      </w: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40"/>
          </w:cols>
          <w:pgMar w:left="240" w:top="455" w:right="6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466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Nonclinical models of ZGN-1345 have shown positive preliminary results in multiple liver disease indications.</w:t>
      </w:r>
    </w:p>
    <w:p>
      <w:pPr>
        <w:spacing w:after="0" w:line="212" w:lineRule="exact"/>
        <w:rPr>
          <w:sz w:val="20"/>
          <w:szCs w:val="20"/>
          <w:color w:val="auto"/>
        </w:rPr>
      </w:pPr>
    </w:p>
    <w:p>
      <w:pPr>
        <w:ind w:left="380" w:firstLine="320"/>
        <w:spacing w:after="0" w:line="238" w:lineRule="auto"/>
        <w:rPr>
          <w:sz w:val="20"/>
          <w:szCs w:val="20"/>
          <w:color w:val="auto"/>
        </w:rPr>
      </w:pPr>
      <w:r>
        <w:rPr>
          <w:rFonts w:ascii="Arial" w:cs="Arial" w:eastAsia="Arial" w:hAnsi="Arial"/>
          <w:sz w:val="18"/>
          <w:szCs w:val="18"/>
          <w:color w:val="auto"/>
        </w:rPr>
        <w:t>With respect to ZGN-1258, we initiated investigational new drug application, or IND, enabling nonclinical activities in the first quarter of 2018, in preparation for filing an IND with the U.S. Food and Drug Administration, or FDA, and have successfully completed all such activities with the exception of one in which the contract research organization, or CRO, improperly conducted the study. We are in the process of completing this last requirement with a different CRO and expect to obtain the IND allowance and begin Phase 1 clinical development by the end of the first quarter of 2019. We anticipate our Phase 1 clinical program of ZGN-1258 will be focused on evaluation of drug exposure, safety and tolerability following single doses in healthy subjects, and understanding the dose-responsiveness of changes following repeat dosing for circulating biomarkers of drug effect, body weight change, and changes in hunger-related parameters in overweight or obese but otherwise healthy subjects. Provided the results of the Phase 1 clinical program are supportive of further development, subsequent clinical trials are anticipated to evaluate the effects of treatment with ZGN-1258 on core therapeutic endpoints in PWS such as improvement of hyperphagia-related behaviors. We have launched a co-sponsored four-year natural history study to advance understanding of the medical history of and medical events in people with PWS. We have enrolled approximately 190 of the 500-participant goal in the first month of the study. The study is a non-interventional, observational study to evaluate occurrences of serious medical events in PWS and is intended to inform development and clinical trial design for potential new treatments for PWS, including ZGN-1258.</w:t>
      </w:r>
    </w:p>
    <w:p>
      <w:pPr>
        <w:spacing w:after="0" w:line="179" w:lineRule="exact"/>
        <w:rPr>
          <w:sz w:val="20"/>
          <w:szCs w:val="20"/>
          <w:color w:val="auto"/>
        </w:rPr>
      </w:pPr>
    </w:p>
    <w:p>
      <w:pPr>
        <w:ind w:left="380" w:right="60" w:firstLine="320"/>
        <w:spacing w:after="0" w:line="243" w:lineRule="auto"/>
        <w:rPr>
          <w:sz w:val="20"/>
          <w:szCs w:val="20"/>
          <w:color w:val="auto"/>
        </w:rPr>
      </w:pPr>
      <w:r>
        <w:rPr>
          <w:rFonts w:ascii="Arial" w:cs="Arial" w:eastAsia="Arial" w:hAnsi="Arial"/>
          <w:sz w:val="18"/>
          <w:szCs w:val="18"/>
          <w:color w:val="auto"/>
        </w:rPr>
        <w:t>Both ZGN-1061 and ZGN-1258 were discovered by our researchers as part of a multi-year campaign to identify highly potent and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pathway and display appropriate activity in animal models of type 2 diabetes and obesity. Both compounds display improved safety profiles relative to beloranib for effects on thrombosis.</w:t>
      </w:r>
    </w:p>
    <w:p>
      <w:pPr>
        <w:spacing w:after="0" w:line="174" w:lineRule="exact"/>
        <w:rPr>
          <w:sz w:val="20"/>
          <w:szCs w:val="20"/>
          <w:color w:val="auto"/>
        </w:rPr>
      </w:pPr>
    </w:p>
    <w:p>
      <w:pPr>
        <w:ind w:left="380" w:right="260" w:firstLine="320"/>
        <w:spacing w:after="0" w:line="241" w:lineRule="auto"/>
        <w:rPr>
          <w:sz w:val="20"/>
          <w:szCs w:val="20"/>
          <w:color w:val="auto"/>
        </w:rPr>
      </w:pPr>
      <w:r>
        <w:rPr>
          <w:rFonts w:ascii="Arial" w:cs="Arial" w:eastAsia="Arial" w:hAnsi="Arial"/>
          <w:sz w:val="18"/>
          <w:szCs w:val="18"/>
          <w:color w:val="auto"/>
        </w:rPr>
        <w:t>ZGN-1061 and ZGN-1258 are differentiated from each other with respect to their tissue distribution and predominant sites of action in animal models. While treatment with both compounds leads to target engagement and MetAP2 inhibition in key organs of relevance to the treatment of type 2 diabetes and obesity, ZGN-1258 also displays enhanced uptake into the brain and displays greater potency and activity in animal models of hyperphagic behaviors than does ZGN-1061. These differences support the development of ZGN-1061 for treatment of type 2 diabetes, in which metabolic effects related to liver, adipose tissue, and muscle effects are likely to be important, and ZGN-1258 in higher need indications such as PWS, in which brain activity is likely to be more important for therapeutic effects.</w:t>
      </w:r>
    </w:p>
    <w:p>
      <w:pPr>
        <w:spacing w:after="0" w:line="179" w:lineRule="exact"/>
        <w:rPr>
          <w:sz w:val="20"/>
          <w:szCs w:val="20"/>
          <w:color w:val="auto"/>
        </w:rPr>
      </w:pPr>
    </w:p>
    <w:p>
      <w:pPr>
        <w:ind w:left="380" w:right="160" w:firstLine="320"/>
        <w:spacing w:after="0"/>
        <w:rPr>
          <w:sz w:val="20"/>
          <w:szCs w:val="20"/>
          <w:color w:val="auto"/>
        </w:rPr>
      </w:pPr>
      <w:r>
        <w:rPr>
          <w:rFonts w:ascii="Arial" w:cs="Arial" w:eastAsia="Arial" w:hAnsi="Arial"/>
          <w:sz w:val="18"/>
          <w:szCs w:val="18"/>
          <w:color w:val="auto"/>
        </w:rPr>
        <w:t>We completed a Phase 1 clinical trial of ZGN-1061 in the Netherlands, which demonstrated rapid drug absorption and clearance in line with pre-specified criteria established for the molecule. In addition, ZGN-1061 was well-tolerated, with no evidence of pro-thrombotic effects or other safety signals. We are also conducting a Phase 2 clinical trial of ZGN-1061 in Australia and New Zealand, which is designed to demonstrate proof-of-concept efficacy and safety in patients with type 2 diabetes and establish minimally effective doses. The initial part of the Phase 2 clinical trial has met its primary objectives at a 0.9 mg dose as compared to placebo and 12-week data has demonstrated a favorable safety and tolerability profile, with no treatment-related serious adverse events and no cardiovascular safety signals observed. ZGN-1061 was generally safe and well-tolerated, with primarily mild to moderate adverse events and an overall high study completion rate (95%). We have completed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40"/>
          </w:cols>
          <w:pgMar w:left="240" w:top="455" w:right="6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301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30143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80" w:right="260"/>
        <w:spacing w:after="0" w:line="276" w:lineRule="auto"/>
        <w:rPr>
          <w:sz w:val="20"/>
          <w:szCs w:val="20"/>
          <w:color w:val="auto"/>
        </w:rPr>
      </w:pPr>
      <w:r>
        <w:rPr>
          <w:rFonts w:ascii="Arial" w:cs="Arial" w:eastAsia="Arial" w:hAnsi="Arial"/>
          <w:sz w:val="18"/>
          <w:szCs w:val="18"/>
          <w:color w:val="auto"/>
        </w:rPr>
        <w:t>enrollment for an additional cohort arm of the Phase 2 clinical trial of ZGN-1061 dosing up to 1.8 mg. We initiated this additional cohort to explore full MetAP2 target engagement efficacy and we expect to report the results of this additional cohort early in 2019.</w:t>
      </w:r>
    </w:p>
    <w:p>
      <w:pPr>
        <w:spacing w:after="0" w:line="145" w:lineRule="exact"/>
        <w:rPr>
          <w:sz w:val="20"/>
          <w:szCs w:val="20"/>
          <w:color w:val="auto"/>
        </w:rPr>
      </w:pPr>
    </w:p>
    <w:p>
      <w:pPr>
        <w:ind w:left="380" w:right="20" w:firstLine="320"/>
        <w:spacing w:after="0"/>
        <w:rPr>
          <w:sz w:val="20"/>
          <w:szCs w:val="20"/>
          <w:color w:val="auto"/>
        </w:rPr>
      </w:pPr>
      <w:r>
        <w:rPr>
          <w:rFonts w:ascii="Arial" w:cs="Arial" w:eastAsia="Arial" w:hAnsi="Arial"/>
          <w:sz w:val="18"/>
          <w:szCs w:val="18"/>
          <w:color w:val="auto"/>
        </w:rPr>
        <w:t>In addition to the Phase 2 clinical data for ZGN-1061, nonclinical data on treatment with both ZGN-1061 and liraglutide suggest that combination therapy with these glucose-lowering agents may yield additive improvement in glycemic control and weight loss than either agent alone in patients with type 2 diabetes, demonstrating the potential effect of two complementary mechanisms—MetAP2 and glucose-dependent insulinotropic peptide, or GLP-1. From nonclinical data in a nonalcoholic steatohepatitis, or NASH, model, we further observed that ZGN-1061 markedly reduced liver weight, NAS score and markers of liver damage (ALT and AST). These NASH-related data, combined with previous gene expression data and clinical liver fat content data from Zafgen’s first-generation MetAP2 inhibitor, suggest potential clinical value in treating liver-specific metabolic conditions. We anticipate that treatment with ZGN-1061 could improve multiple aspects of NASH, and we will evaluate the potential utility of ZGN-1061 as a NASH therapy in the setting of type 2 diabetes.</w:t>
      </w:r>
    </w:p>
    <w:p>
      <w:pPr>
        <w:spacing w:after="0" w:line="176" w:lineRule="exact"/>
        <w:rPr>
          <w:sz w:val="20"/>
          <w:szCs w:val="20"/>
          <w:color w:val="auto"/>
        </w:rPr>
      </w:pPr>
    </w:p>
    <w:p>
      <w:pPr>
        <w:ind w:left="380" w:right="460" w:firstLine="320"/>
        <w:spacing w:after="0" w:line="276" w:lineRule="auto"/>
        <w:rPr>
          <w:sz w:val="20"/>
          <w:szCs w:val="20"/>
          <w:color w:val="auto"/>
        </w:rPr>
      </w:pPr>
      <w:r>
        <w:rPr>
          <w:rFonts w:ascii="Arial" w:cs="Arial" w:eastAsia="Arial" w:hAnsi="Arial"/>
          <w:sz w:val="18"/>
          <w:szCs w:val="18"/>
          <w:color w:val="auto"/>
        </w:rPr>
        <w:t>We own various U.S. federal trademark registrations and applications, and unregistered trademarks, including our corporate name and our corporate logo.</w:t>
      </w:r>
    </w:p>
    <w:p>
      <w:pPr>
        <w:spacing w:after="0" w:line="145" w:lineRule="exact"/>
        <w:rPr>
          <w:sz w:val="20"/>
          <w:szCs w:val="20"/>
          <w:color w:val="auto"/>
        </w:rPr>
      </w:pPr>
    </w:p>
    <w:p>
      <w:pPr>
        <w:ind w:left="380" w:firstLine="320"/>
        <w:spacing w:after="0" w:line="245" w:lineRule="auto"/>
        <w:rPr>
          <w:sz w:val="20"/>
          <w:szCs w:val="20"/>
          <w:color w:val="auto"/>
        </w:rPr>
      </w:pPr>
      <w:r>
        <w:rPr>
          <w:rFonts w:ascii="Arial" w:cs="Arial" w:eastAsia="Arial" w:hAnsi="Arial"/>
          <w:sz w:val="18"/>
          <w:szCs w:val="18"/>
          <w:color w:val="auto"/>
        </w:rPr>
        <w:t>We were incorporated under the laws of the State of Delaware in 2005. Our principal executive offices are located at 175 Portland Street, 4th Floor, Boston, Massachusetts 02114 and our telephone number is (617) 622-4003. Our website address is www.zafgen.com. We do not incorporate the information on or accessible through our website into this prospectus, and you should not consider any information on, or that can be accessed through, our website as part of this prospectus. Our common stock trades on The Nasdaq Global Select Market under the symbol “ZFGN”.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20"/>
          </w:cols>
          <w:pgMar w:left="24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10" w:type="dxa"/>
        <w:tblCellMar>
          <w:top w:w="0" w:type="dxa"/>
          <w:left w:w="0" w:type="dxa"/>
          <w:bottom w:w="0" w:type="dxa"/>
          <w:right w:w="0" w:type="dxa"/>
        </w:tblCellMar>
      </w:tblPr>
      <w:tr>
        <w:trPr>
          <w:trHeight w:val="420"/>
        </w:trPr>
        <w:tc>
          <w:tcPr>
            <w:tcW w:w="4520" w:type="dxa"/>
            <w:vAlign w:val="bottom"/>
            <w:tcBorders>
              <w:top w:val="single" w:sz="8" w:color="auto"/>
              <w:left w:val="single" w:sz="8" w:color="auto"/>
            </w:tcBorders>
          </w:tcPr>
          <w:p>
            <w:pPr>
              <w:spacing w:after="0"/>
              <w:rPr>
                <w:sz w:val="24"/>
                <w:szCs w:val="24"/>
                <w:color w:val="auto"/>
              </w:rPr>
            </w:pPr>
          </w:p>
        </w:tc>
        <w:tc>
          <w:tcPr>
            <w:tcW w:w="652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THE OFFERING</w:t>
            </w:r>
          </w:p>
        </w:tc>
      </w:tr>
      <w:tr>
        <w:trPr>
          <w:trHeight w:val="559"/>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Zafgen, Inc.</w:t>
            </w:r>
          </w:p>
        </w:tc>
      </w:tr>
      <w:tr>
        <w:trPr>
          <w:trHeight w:val="419"/>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offered by us</w:t>
            </w: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Shares of our common stock having an aggregate offering price of up</w:t>
            </w:r>
          </w:p>
        </w:tc>
      </w:tr>
      <w:tr>
        <w:trPr>
          <w:trHeight w:val="243"/>
        </w:trPr>
        <w:tc>
          <w:tcPr>
            <w:tcW w:w="4520" w:type="dxa"/>
            <w:vAlign w:val="bottom"/>
            <w:tcBorders>
              <w:left w:val="single" w:sz="8" w:color="auto"/>
            </w:tcBorders>
          </w:tcPr>
          <w:p>
            <w:pPr>
              <w:spacing w:after="0"/>
              <w:rPr>
                <w:sz w:val="21"/>
                <w:szCs w:val="21"/>
                <w:color w:val="auto"/>
              </w:rPr>
            </w:pP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to $50,000,000.</w:t>
            </w:r>
          </w:p>
        </w:tc>
      </w:tr>
      <w:tr>
        <w:trPr>
          <w:trHeight w:val="40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to be outstanding after this offering</w:t>
            </w: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Up to 41,217,427 shares (as more fully described in the notes</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following this table), assuming sales of 4,351,610 shares of our</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common stock in this offering at an assumed offering price of $11.49</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per share, which was the last reported sale price of our common</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stock on The Nasdaq Global Select Market on November 8, 2018.</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The actual number of shares issued in connection with this offering</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will vary depending on how many shares of our common stock we</w:t>
            </w:r>
          </w:p>
        </w:tc>
      </w:tr>
      <w:tr>
        <w:trPr>
          <w:trHeight w:val="243"/>
        </w:trPr>
        <w:tc>
          <w:tcPr>
            <w:tcW w:w="4520" w:type="dxa"/>
            <w:vAlign w:val="bottom"/>
            <w:tcBorders>
              <w:left w:val="single" w:sz="8" w:color="auto"/>
            </w:tcBorders>
          </w:tcPr>
          <w:p>
            <w:pPr>
              <w:spacing w:after="0"/>
              <w:rPr>
                <w:sz w:val="21"/>
                <w:szCs w:val="21"/>
                <w:color w:val="auto"/>
              </w:rPr>
            </w:pP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choose to sell and the prices at which such sales occur.</w:t>
            </w:r>
          </w:p>
        </w:tc>
      </w:tr>
      <w:tr>
        <w:trPr>
          <w:trHeight w:val="40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Manner of offering</w:t>
            </w: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“At the market offering” that may be made from time to time through</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our sales agent, Cowen and Company, LLC. See “Plan of</w:t>
            </w:r>
          </w:p>
        </w:tc>
      </w:tr>
      <w:tr>
        <w:trPr>
          <w:trHeight w:val="243"/>
        </w:trPr>
        <w:tc>
          <w:tcPr>
            <w:tcW w:w="4520" w:type="dxa"/>
            <w:vAlign w:val="bottom"/>
            <w:tcBorders>
              <w:left w:val="single" w:sz="8" w:color="auto"/>
            </w:tcBorders>
          </w:tcPr>
          <w:p>
            <w:pPr>
              <w:spacing w:after="0"/>
              <w:rPr>
                <w:sz w:val="21"/>
                <w:szCs w:val="21"/>
                <w:color w:val="auto"/>
              </w:rPr>
            </w:pP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Distribution” on page S-15 of this prospectus supplement.</w:t>
            </w:r>
          </w:p>
        </w:tc>
      </w:tr>
      <w:tr>
        <w:trPr>
          <w:trHeight w:val="40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We intend to use the net proceeds from this offering, if any, to</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advance the clinical development of ZGN-1258 for rare metabolic</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indications, initially focusing on PWS; develop clinical and nonclinical</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data necessary to potentially optimize the value of ZGN-1061,</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including unique mechanistic effects in diabetes, potential liver effects</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in NASH, and other endpoint data based upon proprietary knowledge</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of the MetAP2 pathway; advance ZGN-1345 into clinical development</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as an orally active MetAP2 inhibitor for the treatment of liver-specific</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metabolic disease; and fund working capital and other general</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corporate purposes. See “Use of Proceeds,” beginning on page S-12</w:t>
            </w:r>
          </w:p>
        </w:tc>
      </w:tr>
      <w:tr>
        <w:trPr>
          <w:trHeight w:val="243"/>
        </w:trPr>
        <w:tc>
          <w:tcPr>
            <w:tcW w:w="4520" w:type="dxa"/>
            <w:vAlign w:val="bottom"/>
            <w:tcBorders>
              <w:left w:val="single" w:sz="8" w:color="auto"/>
            </w:tcBorders>
          </w:tcPr>
          <w:p>
            <w:pPr>
              <w:spacing w:after="0"/>
              <w:rPr>
                <w:sz w:val="21"/>
                <w:szCs w:val="21"/>
                <w:color w:val="auto"/>
              </w:rPr>
            </w:pP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of this prospectus supplement.</w:t>
            </w:r>
          </w:p>
        </w:tc>
      </w:tr>
      <w:tr>
        <w:trPr>
          <w:trHeight w:val="405"/>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The investment in shares of our common stock involves a high</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degree of risk. See the information contained in or incorporated by</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reference under “Risk Factors,” beginning on page S-8 of this</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prospectus supplement and page 2 of the accompanying</w:t>
            </w:r>
          </w:p>
        </w:tc>
      </w:tr>
      <w:tr>
        <w:trPr>
          <w:trHeight w:val="203"/>
        </w:trPr>
        <w:tc>
          <w:tcPr>
            <w:tcW w:w="4520" w:type="dxa"/>
            <w:vAlign w:val="bottom"/>
            <w:tcBorders>
              <w:left w:val="single" w:sz="8" w:color="auto"/>
            </w:tcBorders>
          </w:tcPr>
          <w:p>
            <w:pPr>
              <w:spacing w:after="0"/>
              <w:rPr>
                <w:sz w:val="17"/>
                <w:szCs w:val="17"/>
                <w:color w:val="auto"/>
              </w:rPr>
            </w:pPr>
          </w:p>
        </w:tc>
        <w:tc>
          <w:tcPr>
            <w:tcW w:w="6520" w:type="dxa"/>
            <w:vAlign w:val="bottom"/>
            <w:tcBorders>
              <w:right w:val="single" w:sz="8" w:color="auto"/>
            </w:tcBorders>
          </w:tcPr>
          <w:p>
            <w:pPr>
              <w:ind w:left="760"/>
              <w:spacing w:after="0" w:line="202" w:lineRule="exact"/>
              <w:rPr>
                <w:sz w:val="20"/>
                <w:szCs w:val="20"/>
                <w:color w:val="auto"/>
              </w:rPr>
            </w:pPr>
            <w:r>
              <w:rPr>
                <w:rFonts w:ascii="Arial" w:cs="Arial" w:eastAsia="Arial" w:hAnsi="Arial"/>
                <w:sz w:val="18"/>
                <w:szCs w:val="18"/>
                <w:color w:val="auto"/>
              </w:rPr>
              <w:t>prospectus, and in the documents incorporated by reference into this</w:t>
            </w:r>
          </w:p>
        </w:tc>
      </w:tr>
      <w:tr>
        <w:trPr>
          <w:trHeight w:val="243"/>
        </w:trPr>
        <w:tc>
          <w:tcPr>
            <w:tcW w:w="4520" w:type="dxa"/>
            <w:vAlign w:val="bottom"/>
            <w:tcBorders>
              <w:left w:val="single" w:sz="8" w:color="auto"/>
            </w:tcBorders>
          </w:tcPr>
          <w:p>
            <w:pPr>
              <w:spacing w:after="0"/>
              <w:rPr>
                <w:sz w:val="21"/>
                <w:szCs w:val="21"/>
                <w:color w:val="auto"/>
              </w:rPr>
            </w:pP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prospectus supplement.</w:t>
            </w:r>
          </w:p>
        </w:tc>
      </w:tr>
      <w:tr>
        <w:trPr>
          <w:trHeight w:val="446"/>
        </w:trPr>
        <w:tc>
          <w:tcPr>
            <w:tcW w:w="4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Symbol on The Nasdaq Global Select Market</w:t>
            </w:r>
          </w:p>
        </w:tc>
        <w:tc>
          <w:tcPr>
            <w:tcW w:w="65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“ZFGN”</w:t>
            </w:r>
          </w:p>
        </w:tc>
      </w:tr>
      <w:tr>
        <w:trPr>
          <w:trHeight w:val="236"/>
        </w:trPr>
        <w:tc>
          <w:tcPr>
            <w:tcW w:w="4520" w:type="dxa"/>
            <w:vAlign w:val="bottom"/>
            <w:tcBorders>
              <w:left w:val="single" w:sz="8" w:color="auto"/>
              <w:bottom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spacing w:after="0"/>
              <w:rPr>
                <w:sz w:val="20"/>
                <w:szCs w:val="20"/>
                <w:color w:val="auto"/>
              </w:rPr>
            </w:pPr>
          </w:p>
        </w:tc>
      </w:tr>
      <w:tr>
        <w:trPr>
          <w:trHeight w:val="608"/>
        </w:trPr>
        <w:tc>
          <w:tcPr>
            <w:tcW w:w="4520" w:type="dxa"/>
            <w:vAlign w:val="bottom"/>
          </w:tcPr>
          <w:p>
            <w:pPr>
              <w:spacing w:after="0"/>
              <w:rPr>
                <w:sz w:val="24"/>
                <w:szCs w:val="24"/>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152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15220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80" w:right="140" w:firstLine="320"/>
        <w:spacing w:after="0" w:line="276" w:lineRule="auto"/>
        <w:rPr>
          <w:sz w:val="20"/>
          <w:szCs w:val="20"/>
          <w:color w:val="auto"/>
        </w:rPr>
      </w:pPr>
      <w:r>
        <w:rPr>
          <w:rFonts w:ascii="Arial" w:cs="Arial" w:eastAsia="Arial" w:hAnsi="Arial"/>
          <w:sz w:val="18"/>
          <w:szCs w:val="18"/>
          <w:color w:val="auto"/>
        </w:rPr>
        <w:t>The number of shares of common stock shown above to be outstanding immediately after this offering is based on 36,865,817 shares outstanding, as of September 30, 2018, and excludes as of that date:</w:t>
      </w:r>
    </w:p>
    <w:p>
      <w:pPr>
        <w:spacing w:after="0" w:line="172" w:lineRule="exact"/>
        <w:rPr>
          <w:sz w:val="20"/>
          <w:szCs w:val="20"/>
          <w:color w:val="auto"/>
        </w:rPr>
      </w:pPr>
    </w:p>
    <w:p>
      <w:pPr>
        <w:ind w:left="1100" w:hanging="407"/>
        <w:spacing w:after="0" w:line="232" w:lineRule="auto"/>
        <w:tabs>
          <w:tab w:leader="none" w:pos="110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6,776,861 shares of common stock issuable upon the exercise of stock options outstanding as of September 30, 2018, at a weighted average exercise price of $8.46 per share;</w:t>
      </w:r>
    </w:p>
    <w:p>
      <w:pPr>
        <w:spacing w:after="0" w:line="1" w:lineRule="exact"/>
        <w:rPr>
          <w:rFonts w:ascii="MS PGothic" w:cs="MS PGothic" w:eastAsia="MS PGothic" w:hAnsi="MS PGothic"/>
          <w:sz w:val="25"/>
          <w:szCs w:val="25"/>
          <w:color w:val="auto"/>
          <w:vertAlign w:val="superscript"/>
        </w:rPr>
      </w:pPr>
    </w:p>
    <w:p>
      <w:pPr>
        <w:ind w:left="1100" w:right="340" w:hanging="407"/>
        <w:spacing w:after="0" w:line="232" w:lineRule="auto"/>
        <w:tabs>
          <w:tab w:leader="none" w:pos="110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2,263,902 shares of common stock that are available for future issuance under the Zafgen, Inc. 2014 Stock Option and Incentive Plan as of September 30, 2018; and</w:t>
      </w:r>
    </w:p>
    <w:p>
      <w:pPr>
        <w:spacing w:after="0" w:line="1" w:lineRule="exact"/>
        <w:rPr>
          <w:rFonts w:ascii="MS PGothic" w:cs="MS PGothic" w:eastAsia="MS PGothic" w:hAnsi="MS PGothic"/>
          <w:sz w:val="25"/>
          <w:szCs w:val="25"/>
          <w:color w:val="auto"/>
          <w:vertAlign w:val="superscript"/>
        </w:rPr>
      </w:pPr>
    </w:p>
    <w:p>
      <w:pPr>
        <w:ind w:left="1100" w:right="560" w:hanging="407"/>
        <w:spacing w:after="0" w:line="232" w:lineRule="auto"/>
        <w:tabs>
          <w:tab w:leader="none" w:pos="110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129,844 shares of common stock that are available for future issuance under the Zafgen, Inc. 2014 Employee Stock Purchase Plan as of September 30, 2018.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880"/>
          </w:cols>
          <w:pgMar w:left="240" w:top="455" w:right="7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Investing in our securities involves a high degree of risk. You should carefully consider the risks and uncertainties described in the documents incorporated by reference in this prospectus supplement, including our most recent Annual Report on Form 10-K for the year ended December 31, 2017 and our Quarterly Reports on Form 10-Q for the quarters ended March 31, 2018, June 30, 2018 and September 30, 2018 as well as other information we include or incorporate by reference into this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214" w:lineRule="exact"/>
        <w:rPr>
          <w:sz w:val="20"/>
          <w:szCs w:val="20"/>
          <w:color w:val="auto"/>
        </w:rPr>
      </w:pPr>
    </w:p>
    <w:p>
      <w:pPr>
        <w:ind w:left="200" w:right="840"/>
        <w:spacing w:after="0" w:line="281"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our existing cash and may not use them effectively.</w:t>
      </w:r>
    </w:p>
    <w:p>
      <w:pPr>
        <w:spacing w:after="0" w:line="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as well as our existing cash and cash equivalents, and you will be relying on the judgment of our management regarding such application. You will not have the opportunity, as part of your investment decision, to assess whether the proceeds are being used appropriately.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investment-grade, interest-bearing securities. These investments may not yield a favorable return to our stockholders.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experience immediate and substantial dilution.</w:t>
      </w:r>
    </w:p>
    <w:p>
      <w:pPr>
        <w:spacing w:after="0" w:line="6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offering price per share in this offering may exceed the net tangible book value per share of our common stock outstanding prior to this offering. Assuming the sale by us of 4,351,610 shares of our common stock in this offering, at an offering price of $11.49 per share, the last reported sale price of our common stock on The Nasdaq Global Select Market on November 8, 2018, for aggregate gross proceeds of $50 million and after deducting commissions and estimated offering expenses payable by us, you will experience immediate dilution of $ 7.80 per share based on the difference between our as adjusted net tangible book value per share as of September 30, 2018 after giving effect to this offering and the assumed offering price. The exercise of outstanding stock options may result in further dilution of your investment. See the section titled “Dilution” below for a more detailed illustration of the dilution you may incur if you participate in this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63" w:lineRule="exact"/>
        <w:rPr>
          <w:sz w:val="20"/>
          <w:szCs w:val="20"/>
          <w:color w:val="auto"/>
        </w:rPr>
      </w:pPr>
    </w:p>
    <w:p>
      <w:pPr>
        <w:ind w:left="200" w:right="40" w:firstLine="331"/>
        <w:spacing w:after="0" w:line="248"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more or less than the price per share paid by investors in this offering, and investors purchasing shares or other securities in the future could have rights superior to existing stockholders.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spacing w:after="0" w:line="28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after this offering could cause our stock price to fall.</w:t>
      </w:r>
    </w:p>
    <w:p>
      <w:pPr>
        <w:spacing w:after="0" w:line="2" w:lineRule="exact"/>
        <w:rPr>
          <w:sz w:val="20"/>
          <w:szCs w:val="20"/>
          <w:color w:val="auto"/>
        </w:rPr>
      </w:pPr>
    </w:p>
    <w:p>
      <w:pPr>
        <w:ind w:left="200" w:firstLine="331"/>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As of September 30, 2018, 36,865,817 shares of our common stock and options to purchase 6,776,861 shares of our common stock were outstanding. The sale or the availability for sale of a large number of shares of our common stock in the public market could cause the price of our common stock to decline.</w:t>
      </w:r>
    </w:p>
    <w:p>
      <w:pPr>
        <w:spacing w:after="0" w:line="174" w:lineRule="exact"/>
        <w:rPr>
          <w:sz w:val="20"/>
          <w:szCs w:val="20"/>
          <w:color w:val="auto"/>
        </w:rPr>
      </w:pPr>
    </w:p>
    <w:p>
      <w:pPr>
        <w:ind w:left="200" w:right="20" w:firstLine="331"/>
        <w:spacing w:after="0" w:line="248"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71" w:lineRule="exact"/>
        <w:rPr>
          <w:sz w:val="20"/>
          <w:szCs w:val="20"/>
          <w:color w:val="auto"/>
        </w:rPr>
      </w:pPr>
    </w:p>
    <w:p>
      <w:pPr>
        <w:ind w:left="200" w:right="200"/>
        <w:spacing w:after="0" w:line="274"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ind w:left="200" w:right="20" w:firstLine="331"/>
        <w:spacing w:after="0" w:line="248"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sales of shares made at prices lower than the prices they paid.</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actual number of shares we will issue under the sales agreement, at any one time or in total, is uncertain.</w:t>
      </w:r>
    </w:p>
    <w:p>
      <w:pPr>
        <w:spacing w:after="0" w:line="63" w:lineRule="exact"/>
        <w:rPr>
          <w:sz w:val="20"/>
          <w:szCs w:val="20"/>
          <w:color w:val="auto"/>
        </w:rPr>
      </w:pPr>
    </w:p>
    <w:p>
      <w:pPr>
        <w:ind w:left="200" w:firstLine="331"/>
        <w:spacing w:after="0" w:line="245"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Cowen at any time throughout the term of the sales agreement. The number of shares that are sold by Cowen after delivering a placement notice will fluctuate based on the market price of the common shares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32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This prospectus supplement and any accompanying prospectus, including the documents that we incorporate by reference, may contain forward-looking statements within the meaning of Section 27A of the Securities Act of 1933, as amended, or the Securities Act, and Section 21E of the Securities Exchange Act of 1934, as amended, or the Exchange Act. Forward-looking statements in this prospectus supplement and the accompanying prospectus give our current expectations or forecasts of future events. You can identify these statements by the fact that they do not relate strictly to historical or current facts. You can find many (but not all) of these statements by looking for words such as “may,” “will,” “should,” “expects,” “intends,” “plans,” “anticipates,” “believes,” “estimates,” “predicts,” “potential,” “continue” or the negative of these terms or other comparable terminology in this prospectus supplement and the accompanying prospectus. In particular, forward-looking statements include statements relating to future actions, prospective products and applications, customers, technologies, future performance or future financial results. These forward-looking statements are subject to certain risks and uncertainties that could cause actual results to differ materially from our historical experience and our present expectations or projections. Factors that could cause actual results to differ from those discussed in the forward-looking statements include, but are not limited to:</w:t>
      </w:r>
    </w:p>
    <w:p>
      <w:pPr>
        <w:spacing w:after="0" w:line="201" w:lineRule="exact"/>
        <w:rPr>
          <w:sz w:val="20"/>
          <w:szCs w:val="20"/>
          <w:color w:val="auto"/>
        </w:rPr>
      </w:pPr>
    </w:p>
    <w:p>
      <w:pPr>
        <w:ind w:left="960" w:hanging="432"/>
        <w:spacing w:after="0"/>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accuracy of our estimates regarding expenses, future revenues, cash forecasts and capital requirements;</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file and have our IND for ZGN-1258 and/or ZGN-1061 go into effect;</w:t>
      </w:r>
    </w:p>
    <w:p>
      <w:pPr>
        <w:spacing w:after="0" w:line="22" w:lineRule="exact"/>
        <w:rPr>
          <w:rFonts w:ascii="MS PGothic" w:cs="MS PGothic" w:eastAsia="MS PGothic" w:hAnsi="MS PGothic"/>
          <w:sz w:val="25"/>
          <w:szCs w:val="25"/>
          <w:color w:val="auto"/>
          <w:vertAlign w:val="superscript"/>
        </w:rPr>
      </w:pPr>
    </w:p>
    <w:p>
      <w:pPr>
        <w:ind w:left="960" w:right="120" w:hanging="432"/>
        <w:spacing w:after="0" w:line="220"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advance ZGN-1258 and/or ZGN-1061 into and through all clinical trials to enable submission of a new drug application;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gain regulatory approval and to successfully commercialize ZGN-1258;</w:t>
      </w:r>
    </w:p>
    <w:p>
      <w:pPr>
        <w:spacing w:after="0" w:line="22" w:lineRule="exact"/>
        <w:rPr>
          <w:rFonts w:ascii="MS PGothic" w:cs="MS PGothic" w:eastAsia="MS PGothic" w:hAnsi="MS PGothic"/>
          <w:sz w:val="25"/>
          <w:szCs w:val="25"/>
          <w:color w:val="auto"/>
          <w:vertAlign w:val="superscript"/>
        </w:rPr>
      </w:pPr>
    </w:p>
    <w:p>
      <w:pPr>
        <w:ind w:left="960" w:right="740" w:hanging="432"/>
        <w:spacing w:after="0" w:line="220"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advance ZGN-1345 through nonclinical trials and the IND process as an oral MetAP2 inhibitor;</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advance an MetAP2 inhibitor into Phase 1 trials;</w:t>
      </w:r>
    </w:p>
    <w:p>
      <w:pPr>
        <w:spacing w:after="0" w:line="22" w:lineRule="exact"/>
        <w:rPr>
          <w:rFonts w:ascii="MS PGothic" w:cs="MS PGothic" w:eastAsia="MS PGothic" w:hAnsi="MS PGothic"/>
          <w:sz w:val="25"/>
          <w:szCs w:val="25"/>
          <w:color w:val="auto"/>
          <w:vertAlign w:val="superscript"/>
        </w:rPr>
      </w:pPr>
    </w:p>
    <w:p>
      <w:pPr>
        <w:ind w:left="960" w:right="280" w:hanging="432"/>
        <w:spacing w:after="0" w:line="220"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dissociate effects of or MetAP2 inhibitors from pro-thrombotic effects or other adverse events observed in clinical development of our first-generation compound, beloranib;</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distinguish ZGN-1061, ZGN-1258 and other novel MetAP2 inhibitors relative to our first-generation compound;</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and political developments in the United States and foreign countries;</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performance of our third-party contract manufacturers and clinical research organizations;</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intellectual property protection for our proprietary assets;</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size of the potential markets for our product candidates and our ability to serve those markets;</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degree of market acceptance of our product candidates for any indication once approved;</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additional financing when needed;</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success of competing products that are or become available for the indications that we are pursuing;</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our executive, medical and development teams; and</w:t>
      </w:r>
    </w:p>
    <w:p>
      <w:pPr>
        <w:spacing w:after="0" w:line="22" w:lineRule="exact"/>
        <w:rPr>
          <w:rFonts w:ascii="MS PGothic" w:cs="MS PGothic" w:eastAsia="MS PGothic" w:hAnsi="MS PGothic"/>
          <w:sz w:val="25"/>
          <w:szCs w:val="25"/>
          <w:color w:val="auto"/>
          <w:vertAlign w:val="superscript"/>
        </w:rPr>
      </w:pPr>
    </w:p>
    <w:p>
      <w:pPr>
        <w:ind w:left="960" w:right="500" w:hanging="432"/>
        <w:spacing w:after="0" w:line="220" w:lineRule="auto"/>
        <w:tabs>
          <w:tab w:leader="none" w:pos="9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risks and uncertainties, including those listed in this prospectus supplement and the accompanying prospectus or the documents incorporated by reference in this prospectus supplement.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firstLine="331"/>
        <w:spacing w:after="0" w:line="245"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The forward-looking statements are based upon management’s beliefs and assumptions and are made as of the date of this prospectus supplement. We undertake no obligation to publicly update or revise any forward-looking statements included in this prospectus supplement to conform such statements to actual results or changes in our expectations. You should not place undue reliance on these forward-looking statements.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840"/>
          </w:cols>
          <w:pgMar w:left="240" w:top="455" w:right="8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322" w:lineRule="exact"/>
        <w:rPr>
          <w:sz w:val="20"/>
          <w:szCs w:val="20"/>
          <w:color w:val="auto"/>
        </w:rPr>
      </w:pPr>
    </w:p>
    <w:p>
      <w:pPr>
        <w:ind w:left="200" w:firstLine="331"/>
        <w:spacing w:after="0" w:line="245" w:lineRule="auto"/>
        <w:rPr>
          <w:sz w:val="20"/>
          <w:szCs w:val="20"/>
          <w:color w:val="auto"/>
        </w:rPr>
      </w:pPr>
      <w:r>
        <w:rPr>
          <w:rFonts w:ascii="Arial" w:cs="Arial" w:eastAsia="Arial" w:hAnsi="Arial"/>
          <w:sz w:val="18"/>
          <w:szCs w:val="18"/>
          <w:color w:val="auto"/>
        </w:rPr>
        <w:t>We may offer and sell shares of our common stock having aggregate sales proceeds of up to $ 50 million from time to time pursuant to this prospectus supplement. Because there is no minimum offering amount required as a condition to close this offering, the actual total public offering amount, commissions and proceeds to us, if any, are not determinable at this time. Actual net proceeds will depend on the number of shares we sell and the prices at which such sales, if any, occur. There can be no assurance that we will sell any shares under or fully utilize the sales agreement with Cowen as a source of financing.</w:t>
      </w:r>
    </w:p>
    <w:p>
      <w:pPr>
        <w:spacing w:after="0" w:line="172" w:lineRule="exact"/>
        <w:rPr>
          <w:sz w:val="20"/>
          <w:szCs w:val="20"/>
          <w:color w:val="auto"/>
        </w:rPr>
      </w:pPr>
    </w:p>
    <w:p>
      <w:pPr>
        <w:ind w:left="200" w:right="600" w:firstLine="331"/>
        <w:spacing w:after="0" w:line="247" w:lineRule="auto"/>
        <w:rPr>
          <w:sz w:val="20"/>
          <w:szCs w:val="20"/>
          <w:color w:val="auto"/>
        </w:rPr>
      </w:pPr>
      <w:r>
        <w:rPr>
          <w:rFonts w:ascii="Arial" w:cs="Arial" w:eastAsia="Arial" w:hAnsi="Arial"/>
          <w:sz w:val="18"/>
          <w:szCs w:val="18"/>
          <w:color w:val="auto"/>
        </w:rPr>
        <w:t>We intend to use any proceeds received from this offering to advance the clinical development of ZGN-1258 for rare metabolic indications, initially focusing on PWS; develop clinical and nonclinical data necessary to potentially optimize the value</w:t>
      </w:r>
    </w:p>
    <w:p>
      <w:pPr>
        <w:spacing w:after="0" w:line="1" w:lineRule="exact"/>
        <w:rPr>
          <w:sz w:val="20"/>
          <w:szCs w:val="20"/>
          <w:color w:val="auto"/>
        </w:rPr>
      </w:pPr>
    </w:p>
    <w:p>
      <w:pPr>
        <w:ind w:left="200" w:right="200"/>
        <w:spacing w:after="0" w:line="242" w:lineRule="auto"/>
        <w:rPr>
          <w:sz w:val="20"/>
          <w:szCs w:val="20"/>
          <w:color w:val="auto"/>
        </w:rPr>
      </w:pPr>
      <w:r>
        <w:rPr>
          <w:rFonts w:ascii="Arial" w:cs="Arial" w:eastAsia="Arial" w:hAnsi="Arial"/>
          <w:sz w:val="18"/>
          <w:szCs w:val="18"/>
          <w:color w:val="auto"/>
        </w:rPr>
        <w:t>of ZGN-1061, including unique mechanistic effects in diabetes, potential liver effects in NASH, and other endpoint data based upon proprietary knowledge of the MetAP2 pathway; advance ZGN-1345 into clinical development as an orally active MetAP2 inhibitor for the treatment of liver-specific metabolic disease; and fund working capital and other general corporate purposes.</w:t>
      </w:r>
    </w:p>
    <w:p>
      <w:pPr>
        <w:spacing w:after="0" w:line="176"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Even if we sell all of the securities subject to this offering, we will still need to obtain additional financing in the future in order to fully fund our business through the FDA regulatory approval process. We may elect to seek such additional financing through public or private equity or debt offerings or other sources, including collaborative or other arrangements with corporate partners or through refinancing our existing debt. There can be no assurance we will be able to obtain such additional financing or that such additional financing will be on terms that are favorable to us. Although we currently anticipate that we will use the net proceeds of this offering as described above, there may be circumstances where a reallocation of funds may be necessary. The amounts and timing of our actual expenditures will depend upon numerous factors, including the progress of our development and commercialization efforts, the progress of our clinical studies, whether or not we enter into strategic collaborations or partnerships and our operating costs and expenditures. Accordingly, our management will have significant flexibility in applying the net proceeds of this offering.</w:t>
      </w:r>
    </w:p>
    <w:p>
      <w:pPr>
        <w:spacing w:after="0" w:line="176" w:lineRule="exact"/>
        <w:rPr>
          <w:sz w:val="20"/>
          <w:szCs w:val="20"/>
          <w:color w:val="auto"/>
        </w:rPr>
      </w:pPr>
    </w:p>
    <w:p>
      <w:pPr>
        <w:ind w:left="200" w:right="120" w:firstLine="331"/>
        <w:spacing w:after="0" w:line="248" w:lineRule="auto"/>
        <w:rPr>
          <w:sz w:val="20"/>
          <w:szCs w:val="20"/>
          <w:color w:val="auto"/>
        </w:rPr>
      </w:pPr>
      <w:r>
        <w:rPr>
          <w:rFonts w:ascii="Arial" w:cs="Arial" w:eastAsia="Arial" w:hAnsi="Arial"/>
          <w:sz w:val="18"/>
          <w:szCs w:val="18"/>
          <w:color w:val="auto"/>
        </w:rPr>
        <w:t>The costs and timing of regulatory approval, particularly conducting clinical studies, are highly uncertain, are subject to substantial risks and can often change. Accordingly, we may change the allocation of use of these proceeds as a result of contingencies such as the progress and results of our clinical studies and other development activities, the establishment of collaborations, our manufacturing requirements and regulatory or competitive developments.</w:t>
      </w:r>
    </w:p>
    <w:p>
      <w:pPr>
        <w:spacing w:after="0" w:line="171" w:lineRule="exact"/>
        <w:rPr>
          <w:sz w:val="20"/>
          <w:szCs w:val="20"/>
          <w:color w:val="auto"/>
        </w:rPr>
      </w:pPr>
    </w:p>
    <w:p>
      <w:pPr>
        <w:ind w:left="200" w:right="120" w:firstLine="331"/>
        <w:spacing w:after="0" w:line="276" w:lineRule="auto"/>
        <w:rPr>
          <w:sz w:val="20"/>
          <w:szCs w:val="20"/>
          <w:color w:val="auto"/>
        </w:rPr>
      </w:pPr>
      <w:r>
        <w:rPr>
          <w:rFonts w:ascii="Arial" w:cs="Arial" w:eastAsia="Arial" w:hAnsi="Arial"/>
          <w:sz w:val="18"/>
          <w:szCs w:val="18"/>
          <w:color w:val="auto"/>
        </w:rPr>
        <w:t>Pending the application of the net proceeds as described above or otherwise, we may invest the proceeds in short-term, investment-grade, interest-bearing securities or guaranteed obligations of the U.S. government or other securities.</w:t>
      </w:r>
    </w:p>
    <w:p>
      <w:pPr>
        <w:spacing w:after="0" w:line="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80"/>
          </w:cols>
          <w:pgMar w:left="24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DILUTION</w:t>
      </w:r>
    </w:p>
    <w:p>
      <w:pPr>
        <w:spacing w:after="0" w:line="322" w:lineRule="exact"/>
        <w:rPr>
          <w:sz w:val="20"/>
          <w:szCs w:val="20"/>
          <w:color w:val="auto"/>
        </w:rPr>
      </w:pPr>
    </w:p>
    <w:p>
      <w:pPr>
        <w:ind w:left="200" w:right="20" w:firstLine="331"/>
        <w:spacing w:after="0" w:line="248" w:lineRule="auto"/>
        <w:rPr>
          <w:sz w:val="20"/>
          <w:szCs w:val="20"/>
          <w:color w:val="auto"/>
        </w:rPr>
      </w:pPr>
      <w:r>
        <w:rPr>
          <w:rFonts w:ascii="Arial" w:cs="Arial" w:eastAsia="Arial" w:hAnsi="Arial"/>
          <w:sz w:val="18"/>
          <w:szCs w:val="18"/>
          <w:color w:val="auto"/>
        </w:rPr>
        <w:t>Our net tangible book value as of September 30, 2018 was approximately $ 103.9 million, or approximately $ 2.82 per share of common stock, based upon 36,865,817 shares outstanding as of that date. Net tangible book value per share is determined by dividing such number of outstanding shares of common stock into our net tangible book value, which is our total tangible assets, less total liabilities at that date.</w:t>
      </w:r>
    </w:p>
    <w:p>
      <w:pPr>
        <w:spacing w:after="0" w:line="171" w:lineRule="exact"/>
        <w:rPr>
          <w:sz w:val="20"/>
          <w:szCs w:val="20"/>
          <w:color w:val="auto"/>
        </w:rPr>
      </w:pPr>
    </w:p>
    <w:p>
      <w:pPr>
        <w:ind w:left="200" w:right="160" w:firstLine="331"/>
        <w:spacing w:after="0" w:line="243" w:lineRule="auto"/>
        <w:rPr>
          <w:sz w:val="20"/>
          <w:szCs w:val="20"/>
          <w:color w:val="auto"/>
        </w:rPr>
      </w:pPr>
      <w:r>
        <w:rPr>
          <w:rFonts w:ascii="Arial" w:cs="Arial" w:eastAsia="Arial" w:hAnsi="Arial"/>
          <w:sz w:val="18"/>
          <w:szCs w:val="18"/>
          <w:color w:val="auto"/>
        </w:rPr>
        <w:t>After giving effect to the sale of 4,351,610 shares of our common stock in this offering at an assumed offering price of $11.49 per share, which was the last reported sale price of our common stock on The Nasdaq Global Select Market on November 8, 2018, and after deducting offering commissions and other estimated offering expenses payable by us, our adjusted net tangible book value as of September 30, 2018 would have been approximately $152.1 million, or approximately $3.69 per share. This represents an immediate increase in net tangible book value of approximately $0.87 per share to our existing stockholders, and an immediate dilution of $7.80 per share to investors purchasing securities in the offering.</w:t>
      </w:r>
    </w:p>
    <w:p>
      <w:pPr>
        <w:spacing w:after="0" w:line="174" w:lineRule="exact"/>
        <w:rPr>
          <w:sz w:val="20"/>
          <w:szCs w:val="20"/>
          <w:color w:val="auto"/>
        </w:rPr>
      </w:pPr>
    </w:p>
    <w:tbl>
      <w:tblPr>
        <w:tblLayout w:type="fixed"/>
        <w:tblInd w:w="540" w:type="dxa"/>
        <w:tblCellMar>
          <w:top w:w="0" w:type="dxa"/>
          <w:left w:w="0" w:type="dxa"/>
          <w:bottom w:w="0" w:type="dxa"/>
          <w:right w:w="0" w:type="dxa"/>
        </w:tblCellMar>
      </w:tblP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The following table illustrates the per share dilution to investors purchasing securities in the offering:</w:t>
            </w: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26"/>
        </w:trPr>
        <w:tc>
          <w:tcPr>
            <w:tcW w:w="8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3"/>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offering price per share</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11.49</w:t>
            </w:r>
          </w:p>
        </w:tc>
      </w:tr>
      <w:tr>
        <w:trPr>
          <w:trHeight w:val="203"/>
        </w:trPr>
        <w:tc>
          <w:tcPr>
            <w:tcW w:w="8380" w:type="dxa"/>
            <w:vAlign w:val="bottom"/>
          </w:tcPr>
          <w:p>
            <w:pPr>
              <w:ind w:left="360"/>
              <w:spacing w:after="0" w:line="202" w:lineRule="exact"/>
              <w:rPr>
                <w:sz w:val="20"/>
                <w:szCs w:val="20"/>
                <w:color w:val="auto"/>
              </w:rPr>
            </w:pPr>
            <w:r>
              <w:rPr>
                <w:rFonts w:ascii="Arial" w:cs="Arial" w:eastAsia="Arial" w:hAnsi="Arial"/>
                <w:sz w:val="18"/>
                <w:szCs w:val="18"/>
                <w:color w:val="auto"/>
              </w:rPr>
              <w:t>Net tangible book value per share as of September 30, 2018</w:t>
            </w:r>
          </w:p>
        </w:tc>
        <w:tc>
          <w:tcPr>
            <w:tcW w:w="14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$2.82</w:t>
            </w:r>
          </w:p>
        </w:tc>
        <w:tc>
          <w:tcPr>
            <w:tcW w:w="500" w:type="dxa"/>
            <w:vAlign w:val="bottom"/>
          </w:tcPr>
          <w:p>
            <w:pPr>
              <w:spacing w:after="0"/>
              <w:rPr>
                <w:sz w:val="17"/>
                <w:szCs w:val="17"/>
                <w:color w:val="auto"/>
              </w:rPr>
            </w:pPr>
          </w:p>
        </w:tc>
      </w:tr>
      <w:tr>
        <w:trPr>
          <w:trHeight w:val="203"/>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per share attributable to new investors</w:t>
            </w:r>
          </w:p>
        </w:tc>
        <w:tc>
          <w:tcPr>
            <w:tcW w:w="14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$0.87</w:t>
            </w:r>
          </w:p>
        </w:tc>
        <w:tc>
          <w:tcPr>
            <w:tcW w:w="500" w:type="dxa"/>
            <w:vAlign w:val="bottom"/>
            <w:shd w:val="clear" w:color="auto" w:fill="CCEEFF"/>
          </w:tcPr>
          <w:p>
            <w:pPr>
              <w:spacing w:after="0"/>
              <w:rPr>
                <w:sz w:val="17"/>
                <w:szCs w:val="17"/>
                <w:color w:val="auto"/>
              </w:rPr>
            </w:pP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Net tangible book value per share after this offering</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r>
      <w:tr>
        <w:trPr>
          <w:trHeight w:val="203"/>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r>
    </w:tbl>
    <w:p>
      <w:pPr>
        <w:spacing w:after="0" w:line="193" w:lineRule="exact"/>
        <w:rPr>
          <w:sz w:val="20"/>
          <w:szCs w:val="20"/>
          <w:color w:val="auto"/>
        </w:rPr>
      </w:pPr>
    </w:p>
    <w:p>
      <w:pPr>
        <w:ind w:left="200" w:firstLine="331"/>
        <w:spacing w:after="0" w:line="276" w:lineRule="auto"/>
        <w:rPr>
          <w:sz w:val="20"/>
          <w:szCs w:val="20"/>
          <w:color w:val="auto"/>
        </w:rPr>
      </w:pPr>
      <w:r>
        <w:rPr>
          <w:rFonts w:ascii="Arial" w:cs="Arial" w:eastAsia="Arial" w:hAnsi="Arial"/>
          <w:sz w:val="18"/>
          <w:szCs w:val="18"/>
          <w:color w:val="auto"/>
        </w:rPr>
        <w:t>The above calculation is based on 36,865,817 shares of common stock outstanding as of September 30, 2018 and excludes as of that date:</w:t>
      </w:r>
    </w:p>
    <w:p>
      <w:pPr>
        <w:spacing w:after="0" w:line="172" w:lineRule="exact"/>
        <w:rPr>
          <w:sz w:val="20"/>
          <w:szCs w:val="20"/>
          <w:color w:val="auto"/>
        </w:rPr>
      </w:pPr>
    </w:p>
    <w:p>
      <w:pPr>
        <w:ind w:left="960" w:right="480" w:hanging="432"/>
        <w:spacing w:after="0" w:line="232" w:lineRule="auto"/>
        <w:tabs>
          <w:tab w:leader="none" w:pos="9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6,776,861 shares of common stock issuable upon the exercise of stock options outstanding as of September 30, 2018, at a weighted average exercise price of $8.46 per share;</w:t>
      </w:r>
    </w:p>
    <w:p>
      <w:pPr>
        <w:spacing w:after="0" w:line="1" w:lineRule="exact"/>
        <w:rPr>
          <w:rFonts w:ascii="MS PGothic" w:cs="MS PGothic" w:eastAsia="MS PGothic" w:hAnsi="MS PGothic"/>
          <w:sz w:val="25"/>
          <w:szCs w:val="25"/>
          <w:color w:val="auto"/>
          <w:vertAlign w:val="superscript"/>
        </w:rPr>
      </w:pPr>
    </w:p>
    <w:p>
      <w:pPr>
        <w:ind w:left="960" w:right="40" w:hanging="432"/>
        <w:spacing w:after="0" w:line="232" w:lineRule="auto"/>
        <w:tabs>
          <w:tab w:leader="none" w:pos="9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2,263,902 shares of common stock that are available for future issuance under the Zafgen, Inc. 2014 Stock Option and Incentive Plan as of September 30, 2018; and</w:t>
      </w:r>
    </w:p>
    <w:p>
      <w:pPr>
        <w:spacing w:after="0" w:line="1" w:lineRule="exact"/>
        <w:rPr>
          <w:rFonts w:ascii="MS PGothic" w:cs="MS PGothic" w:eastAsia="MS PGothic" w:hAnsi="MS PGothic"/>
          <w:sz w:val="25"/>
          <w:szCs w:val="25"/>
          <w:color w:val="auto"/>
          <w:vertAlign w:val="superscript"/>
        </w:rPr>
      </w:pPr>
    </w:p>
    <w:p>
      <w:pPr>
        <w:ind w:left="960" w:right="240" w:hanging="432"/>
        <w:spacing w:after="0" w:line="232" w:lineRule="auto"/>
        <w:tabs>
          <w:tab w:leader="none" w:pos="9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129,844 shares of common stock that are available for future issuance under the Zafgen, Inc. 2014 Employee Stock Purchase Plan as of September 30, 2018.</w:t>
      </w:r>
    </w:p>
    <w:p>
      <w:pPr>
        <w:spacing w:after="0" w:line="17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shares subject to the sales agreement with Cowen are being sold from time to time at various prices. An increase of $1.00 per share in the price at which the shares are sold from the assumed offering price of $11.49 per share shown in the table above, assuming all of our common stock in the aggregate amount of $50,000,000 during the term of the sales agreement with Cowen is sold at that price, would increase our adjusted net tangible book value per share after the offering to $3.72 per share and would increase the dilution in net tangible book value per share to new investors in this offering to $8.77 per share, after deducting commissions and estimated aggregate offering expenses payable by us. A decrease of $1.00 per share in the price at which the shares are sold from the assumed offering price of $11.49 per share shown in the table above, assuming all of our common stock in the aggregate amount of $ 50,000,000 during the term of the sales agreement with Cowen is sold at that price, would decrease our net tangible book value per share after the offering to $3.65 per share and would decrease the dilution in net tangible book value per share to new investors to $6.84 per share, after deducting commissions and estimated aggregate offering expenses payable by us. This information is supplied for illustrative purposes only and may differ based on the actual offering price and the actual number of shares offered.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firstLine="331"/>
        <w:spacing w:after="0" w:line="245" w:lineRule="auto"/>
        <w:rPr>
          <w:sz w:val="20"/>
          <w:szCs w:val="20"/>
          <w:color w:val="auto"/>
        </w:rPr>
      </w:pPr>
      <w:r>
        <w:rPr>
          <w:rFonts w:ascii="Arial" w:cs="Arial" w:eastAsia="Arial" w:hAnsi="Arial"/>
          <w:sz w:val="18"/>
          <w:szCs w:val="18"/>
          <w:color w:val="auto"/>
        </w:rPr>
        <w:t>To the extent that outstanding options or restricted stock units outstanding as of September 30, 2018 have been or may be exercised or settled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the issuance of these securities could result in further dilution to our stockholders.</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240" w:top="455" w:right="5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3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entered into a sales agreement with Cowen, under which we may offer and sell from time to time up to an aggregate of</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 million of our common stock through Cowen as our sales agent. Sales of our common stock, if any, will be made at market prices by</w:t>
      </w:r>
    </w:p>
    <w:p>
      <w:pPr>
        <w:ind w:left="200"/>
        <w:spacing w:after="0" w:line="234" w:lineRule="auto"/>
        <w:rPr>
          <w:sz w:val="20"/>
          <w:szCs w:val="20"/>
          <w:color w:val="auto"/>
        </w:rPr>
      </w:pPr>
      <w:r>
        <w:rPr>
          <w:rFonts w:ascii="Arial" w:cs="Arial" w:eastAsia="Arial" w:hAnsi="Arial"/>
          <w:sz w:val="18"/>
          <w:szCs w:val="18"/>
          <w:color w:val="auto"/>
        </w:rPr>
        <w:t>any method that is deemed to be an “at the market” offering as defined in Rule 415 under the Securities Act, including sales made directly</w:t>
      </w:r>
    </w:p>
    <w:p>
      <w:pPr>
        <w:ind w:left="200"/>
        <w:spacing w:after="0" w:line="235" w:lineRule="auto"/>
        <w:rPr>
          <w:sz w:val="20"/>
          <w:szCs w:val="20"/>
          <w:color w:val="auto"/>
        </w:rPr>
      </w:pPr>
      <w:r>
        <w:rPr>
          <w:rFonts w:ascii="Arial" w:cs="Arial" w:eastAsia="Arial" w:hAnsi="Arial"/>
          <w:sz w:val="18"/>
          <w:szCs w:val="18"/>
          <w:color w:val="auto"/>
        </w:rPr>
        <w:t>on The Nasdaq Global Select Market or any other trading market for our common stock. If authorized by us in writing, Cowen will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purchase shares of our common stock as principal.</w:t>
      </w:r>
    </w:p>
    <w:p>
      <w:pPr>
        <w:spacing w:after="0" w:line="190"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sole discretion at any time.</w:t>
      </w:r>
    </w:p>
    <w:p>
      <w:pPr>
        <w:spacing w:after="0" w:line="181" w:lineRule="exact"/>
        <w:rPr>
          <w:sz w:val="20"/>
          <w:szCs w:val="20"/>
          <w:color w:val="auto"/>
        </w:rPr>
      </w:pPr>
    </w:p>
    <w:p>
      <w:pPr>
        <w:ind w:left="200" w:right="420" w:firstLine="331"/>
        <w:spacing w:after="0" w:line="248" w:lineRule="auto"/>
        <w:rPr>
          <w:sz w:val="20"/>
          <w:szCs w:val="20"/>
          <w:color w:val="auto"/>
        </w:rPr>
      </w:pPr>
      <w:r>
        <w:rPr>
          <w:rFonts w:ascii="Arial" w:cs="Arial" w:eastAsia="Arial" w:hAnsi="Arial"/>
          <w:sz w:val="18"/>
          <w:szCs w:val="18"/>
          <w:color w:val="auto"/>
        </w:rPr>
        <w:t>The aggregate compensation payable to Cowen as sales agent equals 3.0% of the gross sales price of the shares sold through it pursuant to the sales agreement. We have also agreed to reimburse Cowen up to $50,000 of Cowen’s actual outside legal expenses incurred by Cowen in connection with this offering. We estimate that the total expenses of the offering payable by us, excluding commissions payable to Cowen under the sales agreement, will be approximately $300,000.</w:t>
      </w:r>
    </w:p>
    <w:p>
      <w:pPr>
        <w:spacing w:after="0" w:line="171" w:lineRule="exact"/>
        <w:rPr>
          <w:sz w:val="20"/>
          <w:szCs w:val="20"/>
          <w:color w:val="auto"/>
        </w:rPr>
      </w:pPr>
    </w:p>
    <w:p>
      <w:pPr>
        <w:ind w:left="200" w:right="140" w:firstLine="331"/>
        <w:spacing w:after="0" w:line="276"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45" w:lineRule="exact"/>
        <w:rPr>
          <w:sz w:val="20"/>
          <w:szCs w:val="20"/>
          <w:color w:val="auto"/>
        </w:rPr>
      </w:pPr>
    </w:p>
    <w:p>
      <w:pPr>
        <w:ind w:left="200" w:right="80" w:firstLine="331"/>
        <w:spacing w:after="0" w:line="248" w:lineRule="auto"/>
        <w:rPr>
          <w:sz w:val="20"/>
          <w:szCs w:val="20"/>
          <w:color w:val="auto"/>
        </w:rPr>
      </w:pPr>
      <w:r>
        <w:rPr>
          <w:rFonts w:ascii="Arial" w:cs="Arial" w:eastAsia="Arial" w:hAnsi="Arial"/>
          <w:sz w:val="18"/>
          <w:szCs w:val="18"/>
          <w:color w:val="auto"/>
        </w:rPr>
        <w:t>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71" w:lineRule="exact"/>
        <w:rPr>
          <w:sz w:val="20"/>
          <w:szCs w:val="20"/>
          <w:color w:val="auto"/>
        </w:rPr>
      </w:pPr>
    </w:p>
    <w:p>
      <w:pPr>
        <w:ind w:left="200" w:right="560" w:firstLine="331"/>
        <w:spacing w:after="0" w:line="276" w:lineRule="auto"/>
        <w:rPr>
          <w:sz w:val="20"/>
          <w:szCs w:val="20"/>
          <w:color w:val="auto"/>
        </w:rPr>
      </w:pPr>
      <w:r>
        <w:rPr>
          <w:rFonts w:ascii="Arial" w:cs="Arial" w:eastAsia="Arial" w:hAnsi="Arial"/>
          <w:sz w:val="18"/>
          <w:szCs w:val="18"/>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145" w:lineRule="exact"/>
        <w:rPr>
          <w:sz w:val="20"/>
          <w:szCs w:val="20"/>
          <w:color w:val="auto"/>
        </w:rPr>
      </w:pPr>
    </w:p>
    <w:p>
      <w:pPr>
        <w:jc w:val="both"/>
        <w:ind w:left="200" w:firstLine="331"/>
        <w:spacing w:after="0" w:line="255" w:lineRule="auto"/>
        <w:rPr>
          <w:sz w:val="20"/>
          <w:szCs w:val="20"/>
          <w:color w:val="auto"/>
        </w:rPr>
      </w:pPr>
      <w:r>
        <w:rPr>
          <w:rFonts w:ascii="Arial" w:cs="Arial" w:eastAsia="Arial" w:hAnsi="Arial"/>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64" w:lineRule="exact"/>
        <w:rPr>
          <w:sz w:val="20"/>
          <w:szCs w:val="20"/>
          <w:color w:val="auto"/>
        </w:rPr>
      </w:pPr>
    </w:p>
    <w:p>
      <w:pPr>
        <w:ind w:left="200" w:firstLine="331"/>
        <w:spacing w:after="0" w:line="248" w:lineRule="auto"/>
        <w:rPr>
          <w:sz w:val="20"/>
          <w:szCs w:val="20"/>
          <w:color w:val="auto"/>
        </w:rPr>
      </w:pPr>
      <w:r>
        <w:rPr>
          <w:rFonts w:ascii="Arial" w:cs="Arial" w:eastAsia="Arial" w:hAnsi="Arial"/>
          <w:sz w:val="18"/>
          <w:szCs w:val="18"/>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transactions that stabilizes our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0" w:right="460" w:firstLine="331"/>
        <w:spacing w:after="0" w:line="276" w:lineRule="auto"/>
        <w:rPr>
          <w:sz w:val="20"/>
          <w:szCs w:val="20"/>
          <w:color w:val="auto"/>
        </w:rPr>
      </w:pPr>
      <w:r>
        <w:rPr>
          <w:rFonts w:ascii="Arial" w:cs="Arial" w:eastAsia="Arial" w:hAnsi="Arial"/>
          <w:sz w:val="18"/>
          <w:szCs w:val="18"/>
          <w:color w:val="auto"/>
        </w:rPr>
        <w:t>Our common stock is listed on The Nasdaq Global Select Market and trades under the symbol “ZFGN.” The transfer agent of our common stock is Computershare Trust Company, N.A.</w:t>
      </w:r>
    </w:p>
    <w:p>
      <w:pPr>
        <w:spacing w:after="0" w:line="145" w:lineRule="exact"/>
        <w:rPr>
          <w:sz w:val="20"/>
          <w:szCs w:val="20"/>
          <w:color w:val="auto"/>
        </w:rPr>
      </w:pPr>
    </w:p>
    <w:p>
      <w:pPr>
        <w:ind w:left="200" w:firstLine="331"/>
        <w:spacing w:after="0" w:line="276" w:lineRule="auto"/>
        <w:rPr>
          <w:sz w:val="20"/>
          <w:szCs w:val="20"/>
          <w:color w:val="auto"/>
        </w:rPr>
      </w:pPr>
      <w:r>
        <w:rPr>
          <w:rFonts w:ascii="Arial" w:cs="Arial" w:eastAsia="Arial" w:hAnsi="Arial"/>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LEGAL MATTERS</w:t>
      </w:r>
    </w:p>
    <w:p>
      <w:pPr>
        <w:spacing w:after="0" w:line="322" w:lineRule="exact"/>
        <w:rPr>
          <w:sz w:val="20"/>
          <w:szCs w:val="20"/>
          <w:color w:val="auto"/>
        </w:rPr>
      </w:pPr>
    </w:p>
    <w:p>
      <w:pPr>
        <w:jc w:val="both"/>
        <w:ind w:left="200" w:right="1020" w:firstLine="331"/>
        <w:spacing w:after="0" w:line="306" w:lineRule="auto"/>
        <w:rPr>
          <w:sz w:val="20"/>
          <w:szCs w:val="20"/>
          <w:color w:val="auto"/>
        </w:rPr>
      </w:pPr>
      <w:r>
        <w:rPr>
          <w:rFonts w:ascii="Arial" w:cs="Arial" w:eastAsia="Arial" w:hAnsi="Arial"/>
          <w:sz w:val="17"/>
          <w:szCs w:val="17"/>
          <w:color w:val="auto"/>
        </w:rPr>
        <w:t>The validity of the shares of common stock offered hereby will be passed upon for us by Goodwin Procter LLP, Boston, Massachusetts. Cowen is being represented in connection with this offering by Ropes &amp; Gray LLP, Boston, Massachusetts.</w:t>
      </w:r>
    </w:p>
    <w:p>
      <w:pPr>
        <w:spacing w:after="0" w:line="22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EXPERTS</w:t>
      </w:r>
    </w:p>
    <w:p>
      <w:pPr>
        <w:spacing w:after="0" w:line="3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w:t>
      </w:r>
    </w:p>
    <w:p>
      <w:pPr>
        <w:spacing w:after="0" w:line="18"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color w:val="auto"/>
        </w:rPr>
        <w:t>ended December 31, 2017 have been so incorporated in reliance on the report (which contains an explanatory paragraph relating to the Company’s liquidity position as described in Note 1 to the financial statements)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00"/>
          </w:cols>
          <w:pgMar w:left="240" w:top="455" w:right="6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22" w:lineRule="exact"/>
        <w:rPr>
          <w:sz w:val="20"/>
          <w:szCs w:val="20"/>
          <w:color w:val="auto"/>
        </w:rPr>
      </w:pPr>
    </w:p>
    <w:p>
      <w:pPr>
        <w:ind w:left="200" w:right="40" w:firstLine="331"/>
        <w:spacing w:after="0" w:line="245" w:lineRule="auto"/>
        <w:rPr>
          <w:sz w:val="20"/>
          <w:szCs w:val="20"/>
          <w:color w:val="auto"/>
        </w:rPr>
      </w:pPr>
      <w:r>
        <w:rPr>
          <w:rFonts w:ascii="Arial" w:cs="Arial" w:eastAsia="Arial" w:hAnsi="Arial"/>
          <w:sz w:val="18"/>
          <w:szCs w:val="18"/>
          <w:color w:val="auto"/>
        </w:rPr>
        <w:t xml:space="preserve">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prospectus.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Zafgen, Inc., 175 Portland Street, 4th Floor, Boston, MA 02114, Attention: Secretary, and telephone requests should be made to (617) 622-4003. Our website is located at </w:t>
      </w:r>
      <w:r>
        <w:rPr>
          <w:rFonts w:ascii="Arial" w:cs="Arial" w:eastAsia="Arial" w:hAnsi="Arial"/>
          <w:sz w:val="18"/>
          <w:szCs w:val="18"/>
          <w:i w:val="1"/>
          <w:iCs w:val="1"/>
          <w:color w:val="auto"/>
        </w:rPr>
        <w:t>www.zafgen.com</w:t>
      </w:r>
      <w:r>
        <w:rPr>
          <w:rFonts w:ascii="Arial" w:cs="Arial" w:eastAsia="Arial" w:hAnsi="Arial"/>
          <w:sz w:val="18"/>
          <w:szCs w:val="18"/>
          <w:color w:val="auto"/>
        </w:rPr>
        <w:t>. Information contained on our website is not incorporated by reference into this prospectus and, therefore, is not part of this prospectus supplement and the accompanying prospectus.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22"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color w:val="auto"/>
        </w:rPr>
        <w:t>The SEC allows us to incorporate by reference into this prospectus supplement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supplement, to the extent that a statement contained in or omitted from this prospectus supplement,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supplement. We incorporate by reference the documents listed below which have been filed by us:</w:t>
      </w:r>
    </w:p>
    <w:p>
      <w:pPr>
        <w:spacing w:after="0" w:line="196" w:lineRule="exact"/>
        <w:rPr>
          <w:sz w:val="20"/>
          <w:szCs w:val="20"/>
          <w:color w:val="auto"/>
        </w:rPr>
      </w:pPr>
    </w:p>
    <w:p>
      <w:pPr>
        <w:ind w:left="960" w:hanging="432"/>
        <w:spacing w:after="0"/>
        <w:tabs>
          <w:tab w:leader="none" w:pos="9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Annual Report on Form 10-K for the year ended December 31, 2017, filed with the SEC on March 9, 2018;</w:t>
      </w:r>
    </w:p>
    <w:p>
      <w:pPr>
        <w:spacing w:after="0" w:line="22" w:lineRule="exact"/>
        <w:rPr>
          <w:rFonts w:ascii="MS PGothic" w:cs="MS PGothic" w:eastAsia="MS PGothic" w:hAnsi="MS PGothic"/>
          <w:sz w:val="25"/>
          <w:szCs w:val="25"/>
          <w:color w:val="auto"/>
          <w:vertAlign w:val="superscript"/>
        </w:rPr>
      </w:pPr>
    </w:p>
    <w:p>
      <w:pPr>
        <w:ind w:left="960" w:hanging="432"/>
        <w:spacing w:after="0" w:line="209" w:lineRule="auto"/>
        <w:tabs>
          <w:tab w:leader="none" w:pos="9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Definitive proxy statement on Schedule 14A, filed with the SEC on April 18, 2018;</w:t>
      </w:r>
    </w:p>
    <w:p>
      <w:pPr>
        <w:spacing w:after="0" w:line="22" w:lineRule="exact"/>
        <w:rPr>
          <w:rFonts w:ascii="MS PGothic" w:cs="MS PGothic" w:eastAsia="MS PGothic" w:hAnsi="MS PGothic"/>
          <w:sz w:val="25"/>
          <w:szCs w:val="25"/>
          <w:color w:val="auto"/>
          <w:vertAlign w:val="superscript"/>
        </w:rPr>
      </w:pPr>
    </w:p>
    <w:p>
      <w:pPr>
        <w:ind w:left="960" w:right="260" w:hanging="432"/>
        <w:spacing w:after="0" w:line="220" w:lineRule="auto"/>
        <w:tabs>
          <w:tab w:leader="none" w:pos="9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Quarterly Report on Form 10-Q for the quarterly periods ended March 31, 2018, June 30, 2018 and September 30, 2018, filed with the SEC on May 10, 2018, August 9, 2018 and November 9, 2018, respectively;</w:t>
      </w:r>
    </w:p>
    <w:p>
      <w:pPr>
        <w:spacing w:after="0" w:line="2" w:lineRule="exact"/>
        <w:rPr>
          <w:rFonts w:ascii="MS PGothic" w:cs="MS PGothic" w:eastAsia="MS PGothic" w:hAnsi="MS PGothic"/>
          <w:sz w:val="25"/>
          <w:szCs w:val="25"/>
          <w:color w:val="auto"/>
          <w:vertAlign w:val="superscript"/>
        </w:rPr>
      </w:pPr>
    </w:p>
    <w:p>
      <w:pPr>
        <w:jc w:val="both"/>
        <w:ind w:left="960" w:right="60" w:hanging="432"/>
        <w:spacing w:after="0" w:line="233" w:lineRule="auto"/>
        <w:tabs>
          <w:tab w:leader="none" w:pos="9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Current Reports on Form 8-K filed with the SEC on January 5, 2018, May 30, 2018, June 7, 2018, June 28, 2018, and August 2, 2018 (other than any portions thereof that are furnished under Item 2.02 or Item 7.01 and any exhibits included with such Items); and</w:t>
      </w:r>
    </w:p>
    <w:p>
      <w:pPr>
        <w:ind w:left="960" w:right="100" w:hanging="432"/>
        <w:spacing w:after="0" w:line="232" w:lineRule="auto"/>
        <w:tabs>
          <w:tab w:leader="none" w:pos="9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description of the common stock contained in our Registration Statement on Form 8-A filed with the SEC on June 18, 2014, including any amendment or report filed for the purpose of updating such description.</w:t>
      </w:r>
    </w:p>
    <w:p>
      <w:pPr>
        <w:spacing w:after="0" w:line="177" w:lineRule="exact"/>
        <w:rPr>
          <w:sz w:val="20"/>
          <w:szCs w:val="20"/>
          <w:color w:val="auto"/>
        </w:rPr>
      </w:pPr>
    </w:p>
    <w:p>
      <w:pPr>
        <w:ind w:left="200" w:right="60" w:firstLine="331"/>
        <w:spacing w:after="0" w:line="241" w:lineRule="auto"/>
        <w:rPr>
          <w:sz w:val="20"/>
          <w:szCs w:val="20"/>
          <w:color w:val="auto"/>
        </w:rPr>
      </w:pPr>
      <w:r>
        <w:rPr>
          <w:rFonts w:ascii="Arial" w:cs="Arial" w:eastAsia="Arial" w:hAnsi="Arial"/>
          <w:sz w:val="18"/>
          <w:szCs w:val="18"/>
          <w:color w:val="auto"/>
        </w:rPr>
        <w:t>Additionally, all documents filed by us with the SEC under Sections 13(a), 13(c), 14 or 15(d) of the Exchange Act (other than any portions of filings that are furnished rather than filed pursuant to Items 2.02 and 7.01 of a Current Report on Form 8-K), after the date of this prospectus supplement and before the termination or completion of this offering (including all such documents filed with the SEC after the date of the initial registration statement and prior to the effectiveness of the registration statement) shall be deemed to be incorporated by reference into this prospectus supplement from the respective dates of filing of such documents. Any information that we subsequently file with the SEC that is incorporated by reference as described above will automatically update and supersede any previous information that is part of this prospectus supplement.</w:t>
      </w:r>
    </w:p>
    <w:p>
      <w:pPr>
        <w:spacing w:after="0" w:line="179" w:lineRule="exact"/>
        <w:rPr>
          <w:sz w:val="20"/>
          <w:szCs w:val="20"/>
          <w:color w:val="auto"/>
        </w:rPr>
      </w:pPr>
    </w:p>
    <w:p>
      <w:pPr>
        <w:ind w:left="200" w:right="80" w:firstLine="331"/>
        <w:spacing w:after="0" w:line="245"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supplement is delivered, a copy of the documents incorporated by reference into this prospectus supplement but not delivered with the prospectus. You may request a copy of these filings, and any exhibits we have specifically incorporated by reference as an exhibit in this prospectus supplement, at no cost by writing to us at Zafgen, Inc., 175 Portland Street, 4th Floor, Boston, MA 02114, Attention: Secretary, or by telephoning us at (617) 622-4003.</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473710</wp:posOffset>
            </wp:positionV>
            <wp:extent cx="1724025" cy="43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240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may from time to time issue, in one or more series or classes, up to $150,000,000 in aggregate principal amount of our common stock, preferred stock, debt securities, warrants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jc w:val="both"/>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“ZFGN.” On August 7, 2017, the closing price for our common stock, as reported on The NASDAQ Global Market, was $3.49 per share. Our principal executive offices are located at 175 Portland Street, 4th Floor, Boston, Massachusetts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00" w:right="20" w:firstLine="441"/>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hyperlink w:anchor="page25">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contained in this prospectus beginning on page 2 and any applicable prospectus supplement, and under similar headings in the other documents that are incorporated by reference into this prospectus.</w:t>
      </w:r>
    </w:p>
    <w:p>
      <w:pPr>
        <w:spacing w:after="0" w:line="181" w:lineRule="exact"/>
        <w:rPr>
          <w:sz w:val="20"/>
          <w:szCs w:val="20"/>
          <w:color w:val="auto"/>
        </w:rPr>
      </w:pPr>
    </w:p>
    <w:p>
      <w:pPr>
        <w:ind w:left="200" w:right="1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9, 2017.</w:t>
      </w:r>
    </w:p>
    <w:p>
      <w:pPr>
        <w:sectPr>
          <w:pgSz w:w="11900" w:h="16838" w:orient="portrait"/>
          <w:cols w:equalWidth="0" w:num="1">
            <w:col w:w="11180"/>
          </w:cols>
          <w:pgMar w:left="24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20" w:type="dxa"/>
            <w:vAlign w:val="bottom"/>
          </w:tcPr>
          <w:p>
            <w:pPr>
              <w:jc w:val="right"/>
              <w:ind w:right="4471"/>
              <w:spacing w:after="0"/>
              <w:rPr>
                <w:sz w:val="20"/>
                <w:szCs w:val="20"/>
                <w:color w:val="auto"/>
              </w:rPr>
            </w:pPr>
            <w:r>
              <w:rPr>
                <w:rFonts w:ascii="Times New Roman" w:cs="Times New Roman" w:eastAsia="Times New Roman" w:hAnsi="Times New Roman"/>
                <w:sz w:val="18"/>
                <w:szCs w:val="18"/>
                <w:color w:val="auto"/>
                <w:w w:val="99"/>
              </w:rPr>
              <w:t>TABLE OF CONTENTS</w:t>
            </w:r>
          </w:p>
        </w:tc>
      </w:tr>
      <w:tr>
        <w:trPr>
          <w:trHeight w:val="409"/>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4560" w:type="dxa"/>
            <w:vAlign w:val="bottom"/>
            <w:gridSpan w:val="16"/>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About this Prospectus</w:t>
              </w:r>
            </w:hyperlink>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5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2980" w:type="dxa"/>
            <w:vAlign w:val="bottom"/>
            <w:gridSpan w:val="9"/>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4560" w:type="dxa"/>
            <w:vAlign w:val="bottom"/>
            <w:gridSpan w:val="16"/>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Cautionary Statement Regarding Forward-Looking Statements</w:t>
              </w:r>
            </w:hyperlink>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452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The Company</w:t>
              </w:r>
            </w:hyperlink>
          </w:p>
        </w:tc>
        <w:tc>
          <w:tcPr>
            <w:tcW w:w="40" w:type="dxa"/>
            <w:vAlign w:val="bottom"/>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4560" w:type="dxa"/>
            <w:vAlign w:val="bottom"/>
            <w:gridSpan w:val="1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Ratio of Earnings to Fixed Charges</w:t>
              </w:r>
            </w:hyperlink>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1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Use of Proceeds</w:t>
              </w:r>
            </w:hyperlink>
          </w:p>
        </w:tc>
        <w:tc>
          <w:tcPr>
            <w:tcW w:w="1360" w:type="dxa"/>
            <w:vAlign w:val="bottom"/>
            <w:tcBorders>
              <w:top w:val="single" w:sz="8" w:color="0000EE"/>
            </w:tcBorders>
            <w:gridSpan w:val="9"/>
          </w:tcPr>
          <w:p>
            <w:pPr>
              <w:spacing w:after="0"/>
              <w:rPr>
                <w:sz w:val="24"/>
                <w:szCs w:val="24"/>
                <w:color w:val="auto"/>
              </w:rPr>
            </w:pPr>
          </w:p>
        </w:tc>
        <w:tc>
          <w:tcPr>
            <w:tcW w:w="2020" w:type="dxa"/>
            <w:vAlign w:val="bottom"/>
            <w:gridSpan w:val="3"/>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4560" w:type="dxa"/>
            <w:vAlign w:val="bottom"/>
            <w:gridSpan w:val="16"/>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Securities We May Offer</w:t>
              </w:r>
            </w:hyperlink>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2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Description of Capital Stock</w:t>
              </w:r>
            </w:hyperlink>
          </w:p>
        </w:tc>
        <w:tc>
          <w:tcPr>
            <w:tcW w:w="2500" w:type="dxa"/>
            <w:vAlign w:val="bottom"/>
            <w:gridSpan w:val="5"/>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4560" w:type="dxa"/>
            <w:vAlign w:val="bottom"/>
            <w:gridSpan w:val="1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Description of Debt Securities</w:t>
              </w:r>
            </w:hyperlink>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21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Description of Warrants</w:t>
              </w:r>
            </w:hyperlink>
          </w:p>
        </w:tc>
        <w:tc>
          <w:tcPr>
            <w:tcW w:w="2380" w:type="dxa"/>
            <w:vAlign w:val="bottom"/>
            <w:gridSpan w:val="4"/>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4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Description of Units</w:t>
              </w:r>
            </w:hyperlink>
          </w:p>
        </w:tc>
        <w:tc>
          <w:tcPr>
            <w:tcW w:w="240" w:type="dxa"/>
            <w:vAlign w:val="bottom"/>
            <w:tcBorders>
              <w:top w:val="single" w:sz="8" w:color="0000EE"/>
            </w:tcBorders>
            <w:gridSpan w:val="2"/>
          </w:tcPr>
          <w:p>
            <w:pPr>
              <w:spacing w:after="0"/>
              <w:rPr>
                <w:sz w:val="24"/>
                <w:szCs w:val="24"/>
                <w:color w:val="auto"/>
              </w:rPr>
            </w:pPr>
          </w:p>
        </w:tc>
        <w:tc>
          <w:tcPr>
            <w:tcW w:w="2840" w:type="dxa"/>
            <w:vAlign w:val="bottom"/>
            <w:gridSpan w:val="8"/>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4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Plan of Distribution</w:t>
              </w:r>
            </w:hyperlink>
          </w:p>
        </w:tc>
        <w:tc>
          <w:tcPr>
            <w:tcW w:w="3120" w:type="dxa"/>
            <w:vAlign w:val="bottom"/>
            <w:gridSpan w:val="11"/>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4560" w:type="dxa"/>
            <w:vAlign w:val="bottom"/>
            <w:gridSpan w:val="16"/>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Legal Matters</w:t>
              </w:r>
            </w:hyperlink>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5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w:anchor="page57">
              <w:r>
                <w:rPr>
                  <w:rFonts w:ascii="Times New Roman" w:cs="Times New Roman" w:eastAsia="Times New Roman" w:hAnsi="Times New Roman"/>
                  <w:sz w:val="18"/>
                  <w:szCs w:val="18"/>
                  <w:color w:val="0000EE"/>
                  <w:w w:val="98"/>
                </w:rPr>
                <w:t>Experts</w:t>
              </w:r>
            </w:hyperlink>
          </w:p>
        </w:tc>
        <w:tc>
          <w:tcPr>
            <w:tcW w:w="460" w:type="dxa"/>
            <w:vAlign w:val="bottom"/>
            <w:tcBorders>
              <w:top w:val="single" w:sz="8" w:color="0000EE"/>
            </w:tcBorders>
            <w:gridSpan w:val="2"/>
          </w:tcPr>
          <w:p>
            <w:pPr>
              <w:spacing w:after="0"/>
              <w:rPr>
                <w:sz w:val="24"/>
                <w:szCs w:val="24"/>
                <w:color w:val="auto"/>
              </w:rPr>
            </w:pPr>
          </w:p>
        </w:tc>
        <w:tc>
          <w:tcPr>
            <w:tcW w:w="3540" w:type="dxa"/>
            <w:vAlign w:val="bottom"/>
            <w:gridSpan w:val="13"/>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2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Where You Can Find More Information</w:t>
              </w:r>
            </w:hyperlink>
          </w:p>
        </w:tc>
        <w:tc>
          <w:tcPr>
            <w:tcW w:w="1680" w:type="dxa"/>
            <w:vAlign w:val="bottom"/>
            <w:gridSpan w:val="2"/>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4560" w:type="dxa"/>
            <w:vAlign w:val="bottom"/>
            <w:gridSpan w:val="16"/>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Incorporation by Reference</w:t>
              </w:r>
            </w:hyperlink>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bl>
    <w:p>
      <w:pPr>
        <w:sectPr>
          <w:pgSz w:w="11900" w:h="16838" w:orient="portrait"/>
          <w:cols w:equalWidth="0" w:num="1">
            <w:col w:w="11180"/>
          </w:cols>
          <w:pgMar w:left="24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200" w:firstLine="881"/>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$150,000,000.</w:t>
      </w:r>
    </w:p>
    <w:p>
      <w:pPr>
        <w:spacing w:after="0" w:line="176" w:lineRule="exact"/>
        <w:rPr>
          <w:sz w:val="20"/>
          <w:szCs w:val="20"/>
          <w:color w:val="auto"/>
        </w:rPr>
      </w:pPr>
    </w:p>
    <w:p>
      <w:pPr>
        <w:jc w:val="both"/>
        <w:ind w:left="200" w:right="120" w:firstLine="881"/>
        <w:spacing w:after="0" w:line="281"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34 of this prospectus.</w:t>
      </w:r>
    </w:p>
    <w:p>
      <w:pPr>
        <w:spacing w:after="0" w:line="165" w:lineRule="exact"/>
        <w:rPr>
          <w:sz w:val="20"/>
          <w:szCs w:val="20"/>
          <w:color w:val="auto"/>
        </w:rPr>
      </w:pPr>
    </w:p>
    <w:p>
      <w:pPr>
        <w:ind w:left="200" w:right="40" w:firstLine="881"/>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200" w:right="160" w:firstLine="881"/>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“Zafgen”, “we”, “our”, “us” and “the Company” refer, collectively, to Zafgen, Inc., a Delaware corporation.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firstLine="881"/>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below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2016, which is on file with the SEC and is incorporated herein by reference, (ii) our quarterly reports on Form 10-Q for the quarters ended March 31, 2017 and June 30, 2017, which are on file with the SEC and are incorporated herein by reference, and (iii) other documents we file with the SEC that are deemed incorporated by reference into this prospectus.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200" w:firstLine="881"/>
        <w:spacing w:after="0" w:line="255"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185" w:lineRule="exact"/>
        <w:rPr>
          <w:sz w:val="20"/>
          <w:szCs w:val="20"/>
          <w:color w:val="auto"/>
        </w:rPr>
      </w:pPr>
    </w:p>
    <w:p>
      <w:pPr>
        <w:ind w:left="200" w:right="180" w:firstLine="881"/>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89" w:lineRule="exact"/>
        <w:rPr>
          <w:sz w:val="20"/>
          <w:szCs w:val="20"/>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cash forecasts and capital requirements;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commercialize ZGN-1061 as a treatment for metabolic diseases including type 2 diabetes and obesity;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advance ZGN-1061 into later-stage clinical trials;</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dissociate effects of methionine aminopeptidase 2, or MetAP2, inhibitors from prothrombotic effects or other adverse events observed in clinical development of beloranib;</w:t>
      </w:r>
    </w:p>
    <w:p>
      <w:pPr>
        <w:spacing w:after="0" w:line="67" w:lineRule="exact"/>
        <w:rPr>
          <w:rFonts w:ascii="Times New Roman" w:cs="Times New Roman" w:eastAsia="Times New Roman" w:hAnsi="Times New Roman"/>
          <w:sz w:val="18"/>
          <w:szCs w:val="18"/>
          <w:color w:val="auto"/>
        </w:rPr>
      </w:pPr>
    </w:p>
    <w:p>
      <w:pPr>
        <w:ind w:left="1060" w:right="740" w:hanging="316"/>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compelling argument for improved safety of ZGN-1061 and other novel MetAP2 inhibitors relative to first generation compounds, including beloranib;</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contract manufacturers and clinical research organizations;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proprietary assets;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for any indication once approved;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when needed;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that are or become available for the indications that we are pursuing;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scientific or management personnel;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the section “Risk Factors.”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24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dedicated to significantly improving the health and well-being of patients affected by metabolic diseases including type 2 diabetes and obesity. We are focused on developing novel therapeutics that treat the underlying biological mechanisms through the methionine aminopeptidase 2, or MetAP2, pathway. We have pioneered the study of MetAP2 inhibitors in both common and rare forms of obesity. Our lead product candidate is ZGN-1061, a novel fumagillin-class MetAP2 inhibitor administered by subcutaneous injection, which is currently being profiled for its utility in the treatment of metabolic diseases including type 2 diabetes and obesity. We have completed a Phase 1 clinical trial of ZGN-1061 in the Netherlands, which was comprised of a single ascending dose, or SAD, portion and a multiple ascending dose, or MAD, portion. This clinical trial evaluated ZGN-1061 for safety, tolerability and pharmacokinetics while also gaining an early indication of efficacy over four weeks of treatment. We reported positive top line results from this clinical trial in May 2017 and presented the full data package at the American Diabetes Association’s 77th Annual Scientific Sessions in June 2017. ZGN-1061 demonstrated rapid drug absorption and clearance in line with criteria established in advance for the molecule, and has a favorable safety profile, with no evidence of prothrombotic effects. The data show that ZGN-1061 treatment causes improvements across multiple metabolic measures consistent with MetAP2 inhibition, and patients in the clinical trial experienced mean weight loss of up to approximately one pound per week. We plan to advance ZGN-1061 into a Phase 2 clinical trial in patients with type 2 diabetes who are overweight or obese, in Australia and New Zealand in the third quarter of 2017.</w:t>
      </w:r>
    </w:p>
    <w:p>
      <w:pPr>
        <w:spacing w:after="0" w:line="18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reducing hunger. In animal models that mimic aspects of type 2 diabetes, these processes lead to improvement of glycemic control independent of weight loss.</w:t>
      </w:r>
    </w:p>
    <w:p>
      <w:pPr>
        <w:spacing w:after="0" w:line="188"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ZGN-1061 was discovered by our researchers as part of a multi-year campaign to identify novel compounds for development in the treatment of type 2 diabetes, and that avoided limiting pre-clinical safety concerns observed with beloranib, including teratogenicity and effects on testicular function. To date, the compound has similar efficacy, potency, and range of activity in animal models as beloranib, but displays highly differentiated properties and improved safety margins in pre-clinical studies, supporting the value of the compound as a more highly optimized MetAP2 inhibitor. Further, the compound displays improved safety margins in non-clinical safety studies relative to beloranib for effects on coagulation in dogs, an effect that correlates with reduced impact on endothelial cell proliferation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200" w:right="640" w:firstLine="441"/>
        <w:spacing w:after="0" w:line="282" w:lineRule="auto"/>
        <w:rPr>
          <w:sz w:val="20"/>
          <w:szCs w:val="20"/>
          <w:color w:val="auto"/>
        </w:rPr>
      </w:pPr>
      <w:r>
        <w:rPr>
          <w:rFonts w:ascii="Times New Roman" w:cs="Times New Roman" w:eastAsia="Times New Roman" w:hAnsi="Times New Roman"/>
          <w:sz w:val="18"/>
          <w:szCs w:val="18"/>
          <w:color w:val="auto"/>
        </w:rPr>
        <w:t>We own various U.S. federal trademark registrations and applications, and unregistered trademarks, including our corporate name and our corporate logo.</w:t>
      </w:r>
    </w:p>
    <w:p>
      <w:pPr>
        <w:spacing w:after="0" w:line="162"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175 Portland Street, 4th Floor, Boston, Massachusetts 02114 and our telephone number is (617) 622-4003.</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200" w:firstLine="881"/>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shown. You should read this table in conjunction with the consolidated financial statements and notes incorporated by reference in this prospectus. We have no shares of preferred stock outstanding and paid no dividends on shares of preferred stock during the periods indicated. Therefore, the ratios of earnings to combined fixed charges and preferred dividends are the same as the ratios of earnings to fixed charges presented below.</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114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60" w:type="dxa"/>
            <w:vAlign w:val="bottom"/>
            <w:tcBorders>
              <w:top w:val="single" w:sz="8" w:color="auto"/>
            </w:tcBorders>
            <w:gridSpan w:val="2"/>
          </w:tcPr>
          <w:p>
            <w:pPr>
              <w:jc w:val="center"/>
              <w:ind w:left="4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N/A</w:t>
            </w: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N/A</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N/A</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360" w:firstLine="881"/>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ratios in the table above, earnings consist of net loss before income taxes. Fixed charges include interest expense on indebtedness and an estimate of the interest expense within rental expense.</w:t>
      </w:r>
    </w:p>
    <w:p>
      <w:pPr>
        <w:spacing w:after="0" w:line="162" w:lineRule="exact"/>
        <w:rPr>
          <w:sz w:val="20"/>
          <w:szCs w:val="20"/>
          <w:color w:val="auto"/>
        </w:rPr>
      </w:pPr>
    </w:p>
    <w:p>
      <w:pPr>
        <w:ind w:left="200" w:right="20" w:firstLine="881"/>
        <w:spacing w:after="0" w:line="261" w:lineRule="auto"/>
        <w:rPr>
          <w:sz w:val="20"/>
          <w:szCs w:val="20"/>
          <w:color w:val="auto"/>
        </w:rPr>
      </w:pPr>
      <w:r>
        <w:rPr>
          <w:rFonts w:ascii="Times New Roman" w:cs="Times New Roman" w:eastAsia="Times New Roman" w:hAnsi="Times New Roman"/>
          <w:sz w:val="18"/>
          <w:szCs w:val="18"/>
          <w:color w:val="auto"/>
        </w:rPr>
        <w:t>Due to our net losses for the years ended December 31, 2016, 2015 and 2014 and for the six months ended June 30, 2017, earnings were insufficient to cover fixed charges for such periods and we are unable to disclose a ratio of earnings to fixed charges for such periods. The dollar amount of the deficiency in earnings available for fixed charges for the years December 31, 2016, 2015 and 2014 and for the six months ended June 30, 2017 was approximately $58.2 million, $73.8 million, $35.5 million and $26.8 million, respectively.</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24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firstLine="881"/>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potential strategic acquisitions of complementary businesses, services or technologies, repayment and refinancing of debt, general and administrative costs, working capital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240" w:top="455" w:right="5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ind w:left="200" w:firstLine="881"/>
        <w:spacing w:after="0" w:line="282"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200" w:firstLine="881"/>
        <w:spacing w:after="0" w:line="277" w:lineRule="auto"/>
        <w:rPr>
          <w:sz w:val="20"/>
          <w:szCs w:val="20"/>
          <w:color w:val="auto"/>
        </w:rPr>
      </w:pPr>
      <w:r>
        <w:rPr>
          <w:rFonts w:ascii="Times New Roman" w:cs="Times New Roman" w:eastAsia="Times New Roman" w:hAnsi="Times New Roman"/>
          <w:sz w:val="17"/>
          <w:szCs w:val="17"/>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or Charter, and our amended and restated bylaws, or Bylaws, which are exhibits to the registration statement of which this prospectus forms a part, and by applicable law. The terms of our common stock and preferred stock may also be affected by Delaware law.</w:t>
      </w: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200" w:firstLine="881"/>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115,000,000 shares of common stock, par value $0.001 per share, and 5,000,000 shares of preferred stock, par value $0.001 per share. As of August 7, 2017, we had 27,483,925 shares of common stock outstanding and no shares of preferred stock outstanding.</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200" w:firstLine="881"/>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stockholders and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fully-paid and non-assessable.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“ZFGN.” On August 7, 2017, the closing price for our common stock, as reported on The NASDAQ Global Market, was $3.49 per share.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200" w:right="160" w:firstLine="881"/>
        <w:spacing w:after="0" w:line="266" w:lineRule="auto"/>
        <w:rPr>
          <w:sz w:val="20"/>
          <w:szCs w:val="20"/>
          <w:color w:val="auto"/>
        </w:rPr>
      </w:pPr>
      <w:r>
        <w:rPr>
          <w:rFonts w:ascii="Times New Roman" w:cs="Times New Roman" w:eastAsia="Times New Roman" w:hAnsi="Times New Roman"/>
          <w:sz w:val="18"/>
          <w:szCs w:val="18"/>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ind w:left="200" w:right="160" w:firstLine="881"/>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240" w:top="455"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stockholder vote on specific issuances. Examples of rights and preferences that the board of directors may fix are:</w:t>
      </w:r>
    </w:p>
    <w:p>
      <w:pPr>
        <w:spacing w:after="0" w:line="131" w:lineRule="exact"/>
        <w:rPr>
          <w:sz w:val="20"/>
          <w:szCs w:val="20"/>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200" w:firstLine="881"/>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9" w:lineRule="exact"/>
        <w:rPr>
          <w:sz w:val="20"/>
          <w:szCs w:val="20"/>
          <w:color w:val="auto"/>
        </w:rPr>
      </w:pPr>
    </w:p>
    <w:p>
      <w:pPr>
        <w:ind w:left="200" w:right="300" w:firstLine="881"/>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82" w:lineRule="exact"/>
        <w:rPr>
          <w:sz w:val="20"/>
          <w:szCs w:val="20"/>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200" w:right="460" w:firstLine="881"/>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2" w:lineRule="exact"/>
        <w:rPr>
          <w:sz w:val="20"/>
          <w:szCs w:val="20"/>
          <w:color w:val="auto"/>
        </w:rPr>
      </w:pPr>
    </w:p>
    <w:p>
      <w:pPr>
        <w:ind w:left="200" w:firstLine="88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of directors into three classes serving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staggered three-year 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80" w:lineRule="exact"/>
        <w:rPr>
          <w:sz w:val="20"/>
          <w:szCs w:val="20"/>
          <w:color w:val="auto"/>
        </w:rPr>
      </w:pPr>
    </w:p>
    <w:p>
      <w:pPr>
        <w:ind w:left="200" w:firstLine="88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an annual or special meeting, and that stockholders may not take any action by written consent in lieu of a meeting.</w:t>
      </w:r>
    </w:p>
    <w:p>
      <w:pPr>
        <w:spacing w:after="0" w:line="155" w:lineRule="exact"/>
        <w:rPr>
          <w:sz w:val="20"/>
          <w:szCs w:val="20"/>
          <w:color w:val="auto"/>
        </w:rPr>
      </w:pPr>
    </w:p>
    <w:p>
      <w:pPr>
        <w:ind w:left="200" w:right="40" w:firstLine="88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Stockholders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Charter and Bylaws provide that only a majority of the members of our board of directors then in office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32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Requirements. </w:t>
      </w:r>
      <w:r>
        <w:rPr>
          <w:rFonts w:ascii="Times New Roman" w:cs="Times New Roman" w:eastAsia="Times New Roman" w:hAnsi="Times New Roman"/>
          <w:sz w:val="18"/>
          <w:szCs w:val="18"/>
          <w:color w:val="auto"/>
        </w:rPr>
        <w:t>Our Bylaws establish advance notice procedures with regard to stockholder proposals relating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w:t>
      </w:r>
    </w:p>
    <w:p>
      <w:pPr>
        <w:ind w:left="200" w:right="900"/>
        <w:spacing w:after="0" w:line="261" w:lineRule="auto"/>
        <w:rPr>
          <w:sz w:val="20"/>
          <w:szCs w:val="20"/>
          <w:color w:val="auto"/>
        </w:rPr>
      </w:pPr>
      <w:r>
        <w:rPr>
          <w:rFonts w:ascii="Times New Roman" w:cs="Times New Roman" w:eastAsia="Times New Roman" w:hAnsi="Times New Roman"/>
          <w:sz w:val="18"/>
          <w:szCs w:val="18"/>
          <w:color w:val="auto"/>
        </w:rPr>
        <w:t>than 90 days nor more than 120 days prior to the first anniversary date of the annual meeting for the preceding year. Our Bylaws specify the requirements as to form and content of all stockholders’ notices.</w:t>
      </w:r>
    </w:p>
    <w:p>
      <w:pPr>
        <w:spacing w:after="0" w:line="176" w:lineRule="exact"/>
        <w:rPr>
          <w:sz w:val="20"/>
          <w:szCs w:val="20"/>
          <w:color w:val="auto"/>
        </w:rPr>
      </w:pPr>
    </w:p>
    <w:p>
      <w:pPr>
        <w:ind w:left="200" w:right="100" w:firstLine="88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required by the Delaware General Corporation Law, any amendment of our Charter must first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by a majority of our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21" w:lineRule="exact"/>
        <w:rPr>
          <w:sz w:val="20"/>
          <w:szCs w:val="20"/>
          <w:color w:val="auto"/>
        </w:rPr>
      </w:pPr>
    </w:p>
    <w:p>
      <w:pPr>
        <w:ind w:left="200" w:firstLine="881"/>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95" w:lineRule="exact"/>
        <w:rPr>
          <w:sz w:val="20"/>
          <w:szCs w:val="20"/>
          <w:color w:val="auto"/>
        </w:rPr>
      </w:pPr>
    </w:p>
    <w:p>
      <w:pPr>
        <w:ind w:left="1060" w:right="100" w:hanging="316"/>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60" w:right="160" w:hanging="316"/>
        <w:spacing w:after="0" w:line="261"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85" w:lineRule="exact"/>
        <w:rPr>
          <w:rFonts w:ascii="Times New Roman" w:cs="Times New Roman" w:eastAsia="Times New Roman" w:hAnsi="Times New Roman"/>
          <w:sz w:val="18"/>
          <w:szCs w:val="18"/>
          <w:color w:val="auto"/>
        </w:rPr>
      </w:pPr>
    </w:p>
    <w:p>
      <w:pPr>
        <w:ind w:left="1060" w:right="200" w:hanging="316"/>
        <w:spacing w:after="0" w:line="266"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72" w:lineRule="exact"/>
        <w:rPr>
          <w:sz w:val="20"/>
          <w:szCs w:val="20"/>
          <w:color w:val="auto"/>
        </w:rPr>
      </w:pPr>
    </w:p>
    <w:p>
      <w:pPr>
        <w:ind w:left="200" w:right="80" w:firstLine="881"/>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Court of Chancery of the State of Delaware shall be the sole and exclusive forum for (i) any derivative action or proceeding brought on our behalf,</w:t>
      </w:r>
    </w:p>
    <w:p>
      <w:pPr>
        <w:spacing w:after="0" w:line="1" w:lineRule="exact"/>
        <w:rPr>
          <w:sz w:val="20"/>
          <w:szCs w:val="20"/>
          <w:color w:val="auto"/>
        </w:rPr>
      </w:pPr>
    </w:p>
    <w:p>
      <w:pPr>
        <w:ind w:left="460" w:hanging="256"/>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to us or our stockholders,</w:t>
      </w:r>
    </w:p>
    <w:p>
      <w:pPr>
        <w:spacing w:after="0" w:line="9" w:lineRule="exact"/>
        <w:rPr>
          <w:rFonts w:ascii="Times New Roman" w:cs="Times New Roman" w:eastAsia="Times New Roman" w:hAnsi="Times New Roman"/>
          <w:sz w:val="18"/>
          <w:szCs w:val="18"/>
          <w:color w:val="auto"/>
        </w:rPr>
      </w:pPr>
    </w:p>
    <w:p>
      <w:pPr>
        <w:ind w:left="200" w:right="340" w:firstLine="4"/>
        <w:spacing w:after="0" w:line="261" w:lineRule="auto"/>
        <w:tabs>
          <w:tab w:leader="none" w:pos="5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Charter or our Bylaws, or (iv) any action asserting a claim against us governed by the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24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240" w:top="455" w:right="5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200" w:firstLine="881"/>
        <w:spacing w:after="0" w:line="258" w:lineRule="auto"/>
        <w:rPr>
          <w:sz w:val="20"/>
          <w:szCs w:val="20"/>
          <w:color w:val="auto"/>
        </w:rPr>
      </w:pPr>
      <w:r>
        <w:rPr>
          <w:rFonts w:ascii="Times New Roman" w:cs="Times New Roman" w:eastAsia="Times New Roman" w:hAnsi="Times New Roman"/>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84" w:lineRule="exact"/>
        <w:rPr>
          <w:sz w:val="20"/>
          <w:szCs w:val="20"/>
          <w:color w:val="auto"/>
        </w:rPr>
      </w:pPr>
    </w:p>
    <w:p>
      <w:pPr>
        <w:ind w:left="200" w:firstLine="881"/>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We included copies of the forms of the indentures as exhibits to our registration statement of which this prospectus forms a part.</w:t>
      </w:r>
    </w:p>
    <w:p>
      <w:pPr>
        <w:spacing w:after="0" w:line="189" w:lineRule="exact"/>
        <w:rPr>
          <w:sz w:val="20"/>
          <w:szCs w:val="20"/>
          <w:color w:val="auto"/>
        </w:rPr>
      </w:pPr>
    </w:p>
    <w:p>
      <w:pPr>
        <w:jc w:val="both"/>
        <w:ind w:left="200" w:right="380" w:firstLine="881"/>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offering price of the offered securities issued under this prospectus, we will include only the offering price of the debt securities and not the principal amount of the debt securities.</w:t>
      </w:r>
    </w:p>
    <w:p>
      <w:pPr>
        <w:spacing w:after="0" w:line="176" w:lineRule="exact"/>
        <w:rPr>
          <w:sz w:val="20"/>
          <w:szCs w:val="20"/>
          <w:color w:val="auto"/>
        </w:rPr>
      </w:pPr>
    </w:p>
    <w:p>
      <w:pPr>
        <w:ind w:left="200" w:firstLine="881"/>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ind w:left="200" w:right="680" w:firstLine="881"/>
        <w:spacing w:after="0" w:line="282"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unsecured and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282" w:lineRule="auto"/>
        <w:rPr>
          <w:sz w:val="20"/>
          <w:szCs w:val="20"/>
          <w:color w:val="auto"/>
        </w:rPr>
      </w:pPr>
      <w:r>
        <w:rPr>
          <w:rFonts w:ascii="Times New Roman" w:cs="Times New Roman" w:eastAsia="Times New Roman" w:hAnsi="Times New Roman"/>
          <w:sz w:val="18"/>
          <w:szCs w:val="18"/>
          <w:color w:val="auto"/>
        </w:rPr>
        <w:t>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162" w:lineRule="exact"/>
        <w:rPr>
          <w:sz w:val="20"/>
          <w:szCs w:val="20"/>
          <w:color w:val="auto"/>
        </w:rPr>
      </w:pPr>
    </w:p>
    <w:p>
      <w:pPr>
        <w:ind w:left="200" w:right="60" w:firstLine="881"/>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130" w:lineRule="exact"/>
        <w:rPr>
          <w:rFonts w:ascii="Times New Roman" w:cs="Times New Roman" w:eastAsia="Times New Roman" w:hAnsi="Times New Roman"/>
          <w:sz w:val="18"/>
          <w:szCs w:val="18"/>
          <w:color w:val="auto"/>
        </w:rPr>
      </w:pPr>
    </w:p>
    <w:p>
      <w:pPr>
        <w:ind w:left="1060" w:right="240" w:hanging="316"/>
        <w:spacing w:after="0" w:line="266"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1" w:lineRule="exact"/>
        <w:rPr>
          <w:rFonts w:ascii="Times New Roman" w:cs="Times New Roman" w:eastAsia="Times New Roman" w:hAnsi="Times New Roman"/>
          <w:sz w:val="18"/>
          <w:szCs w:val="18"/>
          <w:color w:val="auto"/>
        </w:rPr>
      </w:pPr>
    </w:p>
    <w:p>
      <w:pPr>
        <w:ind w:left="1060" w:right="340" w:hanging="316"/>
        <w:spacing w:after="0" w:line="261"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such dates will be determine;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130" w:lineRule="exact"/>
        <w:rPr>
          <w:rFonts w:ascii="Times New Roman" w:cs="Times New Roman" w:eastAsia="Times New Roman" w:hAnsi="Times New Roman"/>
          <w:sz w:val="18"/>
          <w:szCs w:val="18"/>
          <w:color w:val="auto"/>
        </w:rPr>
      </w:pPr>
    </w:p>
    <w:p>
      <w:pPr>
        <w:jc w:val="both"/>
        <w:ind w:left="1060" w:right="100" w:hanging="316"/>
        <w:spacing w:after="0" w:line="313" w:lineRule="auto"/>
        <w:tabs>
          <w:tab w:leader="none" w:pos="10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43" w:lineRule="exact"/>
        <w:rPr>
          <w:rFonts w:ascii="Times New Roman" w:cs="Times New Roman" w:eastAsia="Times New Roman" w:hAnsi="Times New Roman"/>
          <w:sz w:val="17"/>
          <w:szCs w:val="17"/>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24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130" w:lineRule="exact"/>
        <w:rPr>
          <w:rFonts w:ascii="Times New Roman" w:cs="Times New Roman" w:eastAsia="Times New Roman" w:hAnsi="Times New Roman"/>
          <w:sz w:val="18"/>
          <w:szCs w:val="18"/>
          <w:color w:val="auto"/>
        </w:rPr>
      </w:pPr>
    </w:p>
    <w:p>
      <w:pPr>
        <w:jc w:val="both"/>
        <w:ind w:left="1060" w:right="60" w:hanging="316"/>
        <w:spacing w:after="0" w:line="266"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81" w:lineRule="exact"/>
        <w:rPr>
          <w:rFonts w:ascii="Times New Roman" w:cs="Times New Roman" w:eastAsia="Times New Roman" w:hAnsi="Times New Roman"/>
          <w:sz w:val="18"/>
          <w:szCs w:val="18"/>
          <w:color w:val="auto"/>
        </w:rPr>
      </w:pPr>
    </w:p>
    <w:p>
      <w:pPr>
        <w:jc w:val="both"/>
        <w:ind w:left="1060" w:right="420" w:hanging="316"/>
        <w:spacing w:after="0" w:line="266"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81" w:lineRule="exact"/>
        <w:rPr>
          <w:rFonts w:ascii="Times New Roman" w:cs="Times New Roman" w:eastAsia="Times New Roman" w:hAnsi="Times New Roman"/>
          <w:sz w:val="18"/>
          <w:szCs w:val="18"/>
          <w:color w:val="auto"/>
        </w:rPr>
      </w:pPr>
    </w:p>
    <w:p>
      <w:pPr>
        <w:ind w:left="1060" w:right="100" w:hanging="316"/>
        <w:spacing w:after="0" w:line="266"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1" w:lineRule="exact"/>
        <w:rPr>
          <w:rFonts w:ascii="Times New Roman" w:cs="Times New Roman" w:eastAsia="Times New Roman" w:hAnsi="Times New Roman"/>
          <w:sz w:val="18"/>
          <w:szCs w:val="18"/>
          <w:color w:val="auto"/>
        </w:rPr>
      </w:pPr>
    </w:p>
    <w:p>
      <w:pPr>
        <w:ind w:left="1060" w:right="66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67" w:lineRule="exact"/>
        <w:rPr>
          <w:rFonts w:ascii="Times New Roman" w:cs="Times New Roman" w:eastAsia="Times New Roman" w:hAnsi="Times New Roman"/>
          <w:sz w:val="18"/>
          <w:szCs w:val="18"/>
          <w:color w:val="auto"/>
        </w:rPr>
      </w:pPr>
    </w:p>
    <w:p>
      <w:pPr>
        <w:ind w:left="1060" w:right="80" w:hanging="316"/>
        <w:spacing w:after="0" w:line="261"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85"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67" w:lineRule="exact"/>
        <w:rPr>
          <w:rFonts w:ascii="Times New Roman" w:cs="Times New Roman" w:eastAsia="Times New Roman" w:hAnsi="Times New Roman"/>
          <w:sz w:val="18"/>
          <w:szCs w:val="18"/>
          <w:color w:val="auto"/>
        </w:rPr>
      </w:pPr>
    </w:p>
    <w:p>
      <w:pPr>
        <w:ind w:left="1060" w:right="20" w:hanging="316"/>
        <w:spacing w:after="0" w:line="261"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85"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securities in registered form, if such series are to be issuable as a global security;</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130" w:lineRule="exact"/>
        <w:rPr>
          <w:rFonts w:ascii="Times New Roman" w:cs="Times New Roman" w:eastAsia="Times New Roman" w:hAnsi="Times New Roman"/>
          <w:sz w:val="18"/>
          <w:szCs w:val="18"/>
          <w:color w:val="auto"/>
        </w:rPr>
      </w:pPr>
    </w:p>
    <w:p>
      <w:pPr>
        <w:ind w:left="1060" w:right="58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67"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67"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1"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54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67" w:lineRule="exact"/>
        <w:rPr>
          <w:rFonts w:ascii="Times New Roman" w:cs="Times New Roman" w:eastAsia="Times New Roman" w:hAnsi="Times New Roman"/>
          <w:sz w:val="18"/>
          <w:szCs w:val="18"/>
          <w:color w:val="auto"/>
        </w:rPr>
      </w:pPr>
    </w:p>
    <w:p>
      <w:pPr>
        <w:ind w:left="1060" w:right="38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67"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left="200" w:right="60" w:firstLine="881"/>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0" w:lineRule="exact"/>
        <w:rPr>
          <w:sz w:val="20"/>
          <w:szCs w:val="20"/>
          <w:color w:val="auto"/>
        </w:rPr>
      </w:pPr>
    </w:p>
    <w:p>
      <w:pPr>
        <w:ind w:left="200" w:right="100" w:firstLine="881"/>
        <w:spacing w:after="0" w:line="261" w:lineRule="auto"/>
        <w:rPr>
          <w:sz w:val="20"/>
          <w:szCs w:val="20"/>
          <w:color w:val="auto"/>
        </w:rPr>
      </w:pPr>
      <w:r>
        <w:rPr>
          <w:rFonts w:ascii="Times New Roman" w:cs="Times New Roman" w:eastAsia="Times New Roman" w:hAnsi="Times New Roman"/>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80" w:lineRule="exact"/>
        <w:rPr>
          <w:sz w:val="20"/>
          <w:szCs w:val="20"/>
          <w:color w:val="auto"/>
        </w:rPr>
      </w:pPr>
    </w:p>
    <w:p>
      <w:pPr>
        <w:ind w:left="200" w:firstLine="881"/>
        <w:spacing w:after="0" w:line="256" w:lineRule="auto"/>
        <w:rPr>
          <w:sz w:val="20"/>
          <w:szCs w:val="20"/>
          <w:color w:val="auto"/>
        </w:rPr>
      </w:pPr>
      <w:r>
        <w:rPr>
          <w:rFonts w:ascii="Times New Roman" w:cs="Times New Roman" w:eastAsia="Times New Roman" w:hAnsi="Times New Roman"/>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8" w:lineRule="exact"/>
        <w:rPr>
          <w:sz w:val="20"/>
          <w:szCs w:val="20"/>
          <w:color w:val="auto"/>
        </w:rPr>
      </w:pPr>
    </w:p>
    <w:p>
      <w:pPr>
        <w:ind w:left="200" w:right="220" w:firstLine="881"/>
        <w:spacing w:after="0" w:line="261" w:lineRule="auto"/>
        <w:rPr>
          <w:sz w:val="20"/>
          <w:szCs w:val="20"/>
          <w:color w:val="auto"/>
        </w:rPr>
      </w:pPr>
      <w:r>
        <w:rPr>
          <w:rFonts w:ascii="Times New Roman" w:cs="Times New Roman" w:eastAsia="Times New Roman" w:hAnsi="Times New Roman"/>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80" w:lineRule="exact"/>
        <w:rPr>
          <w:sz w:val="20"/>
          <w:szCs w:val="20"/>
          <w:color w:val="auto"/>
        </w:rPr>
      </w:pPr>
    </w:p>
    <w:p>
      <w:pPr>
        <w:ind w:left="200" w:right="80" w:firstLine="881"/>
        <w:spacing w:after="0" w:line="266"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121" w:lineRule="exact"/>
        <w:rPr>
          <w:sz w:val="20"/>
          <w:szCs w:val="20"/>
          <w:color w:val="auto"/>
        </w:rPr>
      </w:pPr>
    </w:p>
    <w:p>
      <w:pPr>
        <w:ind w:left="200" w:right="40" w:firstLine="881"/>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240" w:top="455" w:right="4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61"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Denomination, Interest, Registration and Transfer</w:t>
      </w:r>
    </w:p>
    <w:p>
      <w:pPr>
        <w:spacing w:after="0" w:line="121" w:lineRule="exact"/>
        <w:rPr>
          <w:sz w:val="20"/>
          <w:szCs w:val="20"/>
          <w:color w:val="auto"/>
        </w:rPr>
      </w:pPr>
    </w:p>
    <w:p>
      <w:pPr>
        <w:ind w:left="200" w:right="240" w:firstLine="881"/>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ind w:left="200" w:right="200" w:firstLine="881"/>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67" w:lineRule="exact"/>
        <w:rPr>
          <w:sz w:val="20"/>
          <w:szCs w:val="20"/>
          <w:color w:val="auto"/>
        </w:rPr>
      </w:pPr>
    </w:p>
    <w:p>
      <w:pPr>
        <w:ind w:left="1060" w:right="20" w:hanging="316"/>
        <w:spacing w:after="0" w:line="266"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1" w:lineRule="exact"/>
        <w:rPr>
          <w:rFonts w:ascii="Times New Roman" w:cs="Times New Roman" w:eastAsia="Times New Roman" w:hAnsi="Times New Roman"/>
          <w:sz w:val="18"/>
          <w:szCs w:val="18"/>
          <w:color w:val="auto"/>
        </w:rPr>
      </w:pPr>
    </w:p>
    <w:p>
      <w:pPr>
        <w:ind w:left="1060" w:right="280" w:hanging="316"/>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162" w:lineRule="exact"/>
        <w:rPr>
          <w:sz w:val="20"/>
          <w:szCs w:val="20"/>
          <w:color w:val="auto"/>
        </w:rPr>
      </w:pPr>
    </w:p>
    <w:p>
      <w:pPr>
        <w:ind w:left="200" w:firstLine="881"/>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131" w:lineRule="exact"/>
        <w:rPr>
          <w:sz w:val="20"/>
          <w:szCs w:val="20"/>
          <w:color w:val="auto"/>
        </w:rPr>
      </w:pPr>
    </w:p>
    <w:p>
      <w:pPr>
        <w:ind w:left="1060" w:right="140" w:hanging="316"/>
        <w:spacing w:after="0" w:line="26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1" w:lineRule="exact"/>
        <w:rPr>
          <w:rFonts w:ascii="Times New Roman" w:cs="Times New Roman" w:eastAsia="Times New Roman" w:hAnsi="Times New Roman"/>
          <w:sz w:val="18"/>
          <w:szCs w:val="18"/>
          <w:color w:val="auto"/>
        </w:rPr>
      </w:pPr>
    </w:p>
    <w:p>
      <w:pPr>
        <w:ind w:left="1060" w:right="780" w:hanging="316"/>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67" w:lineRule="exact"/>
        <w:rPr>
          <w:rFonts w:ascii="Times New Roman" w:cs="Times New Roman" w:eastAsia="Times New Roman" w:hAnsi="Times New Roman"/>
          <w:sz w:val="18"/>
          <w:szCs w:val="18"/>
          <w:color w:val="auto"/>
        </w:rPr>
      </w:pPr>
    </w:p>
    <w:p>
      <w:pPr>
        <w:ind w:left="1060" w:right="240" w:hanging="316"/>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200" w:firstLine="881"/>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67" w:lineRule="exact"/>
        <w:rPr>
          <w:sz w:val="20"/>
          <w:szCs w:val="20"/>
          <w:color w:val="auto"/>
        </w:rPr>
      </w:pPr>
    </w:p>
    <w:p>
      <w:pPr>
        <w:ind w:left="1060" w:right="420" w:hanging="316"/>
        <w:spacing w:after="0" w:line="266"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24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2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19" w:lineRule="exact"/>
        <w:rPr>
          <w:sz w:val="20"/>
          <w:szCs w:val="20"/>
          <w:color w:val="auto"/>
        </w:rPr>
      </w:pPr>
    </w:p>
    <w:p>
      <w:pPr>
        <w:ind w:left="200" w:right="1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Except as described under “—Merger, Consolidation or Sale of Assets,” the indentures require us to do or cause to be done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4" w:lineRule="exact"/>
        <w:rPr>
          <w:sz w:val="20"/>
          <w:szCs w:val="20"/>
          <w:color w:val="auto"/>
        </w:rPr>
      </w:pPr>
    </w:p>
    <w:p>
      <w:pPr>
        <w:ind w:left="20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Payment of taxes and other claims</w:t>
      </w:r>
      <w:r>
        <w:rPr>
          <w:rFonts w:ascii="Times New Roman" w:cs="Times New Roman" w:eastAsia="Times New Roman" w:hAnsi="Times New Roman"/>
          <w:sz w:val="18"/>
          <w:szCs w:val="18"/>
          <w:color w:val="auto"/>
        </w:rPr>
        <w:t>. The indentures require us to pay, discharge or cause to be paid or discharged, before they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delinquent (i) all taxes, assessments and governmental charges levied or imposed on us, and (ii) all lawful claims for labor, materials and supplies which, if unpaid, might by law become a lien upon our property. However, we will not be required to pay, discharge or cause to be paid or discharged any such tax, assessment, charge or claim whose amount, applicability or validity is being contested in good faith by appropriate proceedings.</w:t>
      </w:r>
    </w:p>
    <w:p>
      <w:pPr>
        <w:spacing w:after="0" w:line="180" w:lineRule="exact"/>
        <w:rPr>
          <w:sz w:val="20"/>
          <w:szCs w:val="20"/>
          <w:color w:val="auto"/>
        </w:rPr>
      </w:pPr>
    </w:p>
    <w:p>
      <w:pPr>
        <w:ind w:left="200" w:right="2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Provision of financial information</w:t>
      </w:r>
      <w:r>
        <w:rPr>
          <w:rFonts w:ascii="Times New Roman" w:cs="Times New Roman" w:eastAsia="Times New Roman" w:hAnsi="Times New Roman"/>
          <w:sz w:val="18"/>
          <w:szCs w:val="18"/>
          <w:color w:val="auto"/>
        </w:rPr>
        <w:t>. The indentures require us to (i) within 15 days of each of the respective dates by which we are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file our 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The applicable prospectus supplement will set forth any our additional covenants relating to any series of debt</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securities.</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Notice and Waiver</w:t>
      </w:r>
    </w:p>
    <w:p>
      <w:pPr>
        <w:spacing w:after="0" w:line="121" w:lineRule="exact"/>
        <w:rPr>
          <w:sz w:val="20"/>
          <w:szCs w:val="20"/>
          <w:color w:val="auto"/>
        </w:rPr>
      </w:pPr>
    </w:p>
    <w:p>
      <w:pPr>
        <w:ind w:left="200" w:right="60" w:firstLine="881"/>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1060" w:hanging="316"/>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30 days;</w:t>
      </w:r>
    </w:p>
    <w:p>
      <w:pPr>
        <w:spacing w:after="0" w:line="130" w:lineRule="exact"/>
        <w:rPr>
          <w:rFonts w:ascii="Times New Roman" w:cs="Times New Roman" w:eastAsia="Times New Roman" w:hAnsi="Times New Roman"/>
          <w:sz w:val="18"/>
          <w:szCs w:val="18"/>
          <w:color w:val="auto"/>
        </w:rPr>
      </w:pPr>
    </w:p>
    <w:p>
      <w:pPr>
        <w:ind w:left="1060" w:right="160" w:hanging="316"/>
        <w:spacing w:after="0" w:line="282"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for five business days at its stated maturity;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for five business days;</w:t>
      </w:r>
    </w:p>
    <w:p>
      <w:pPr>
        <w:spacing w:after="0" w:line="130" w:lineRule="exact"/>
        <w:rPr>
          <w:rFonts w:ascii="Times New Roman" w:cs="Times New Roman" w:eastAsia="Times New Roman" w:hAnsi="Times New Roman"/>
          <w:sz w:val="18"/>
          <w:szCs w:val="18"/>
          <w:color w:val="auto"/>
        </w:rPr>
      </w:pPr>
    </w:p>
    <w:p>
      <w:pPr>
        <w:ind w:left="1060" w:right="80" w:hanging="316"/>
        <w:spacing w:after="0" w:line="26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bond, debenture, note, mortgage, indenture or instrument:</w:t>
      </w:r>
    </w:p>
    <w:p>
      <w:pPr>
        <w:spacing w:after="0" w:line="130" w:lineRule="exact"/>
        <w:rPr>
          <w:rFonts w:ascii="Times New Roman" w:cs="Times New Roman" w:eastAsia="Times New Roman" w:hAnsi="Times New Roman"/>
          <w:sz w:val="18"/>
          <w:szCs w:val="18"/>
          <w:color w:val="auto"/>
        </w:rPr>
      </w:pPr>
    </w:p>
    <w:p>
      <w:pPr>
        <w:ind w:left="2500" w:hanging="540"/>
        <w:spacing w:after="0"/>
        <w:tabs>
          <w:tab w:leader="none" w:pos="2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principal amount of at least $30,000,000; or</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500" w:right="200" w:hanging="540"/>
        <w:spacing w:after="0" w:line="282" w:lineRule="auto"/>
        <w:tabs>
          <w:tab w:leader="none" w:pos="2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there may be issued, secured or evidenced any existing or later created indebtedness for money borrowed by us, if we are directly responsible or liable as obligor or guarantor,</w:t>
      </w:r>
    </w:p>
    <w:p>
      <w:pPr>
        <w:spacing w:after="0" w:line="162" w:lineRule="exact"/>
        <w:rPr>
          <w:sz w:val="20"/>
          <w:szCs w:val="20"/>
          <w:color w:val="auto"/>
        </w:rPr>
      </w:pPr>
    </w:p>
    <w:p>
      <w:pPr>
        <w:ind w:left="200" w:right="140"/>
        <w:spacing w:after="0" w:line="258" w:lineRule="auto"/>
        <w:rPr>
          <w:sz w:val="20"/>
          <w:szCs w:val="20"/>
          <w:color w:val="auto"/>
        </w:rPr>
      </w:pPr>
      <w:r>
        <w:rPr>
          <w:rFonts w:ascii="Times New Roman" w:cs="Times New Roman" w:eastAsia="Times New Roman" w:hAnsi="Times New Roman"/>
          <w:sz w:val="18"/>
          <w:szCs w:val="18"/>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89" w:lineRule="exact"/>
        <w:rPr>
          <w:sz w:val="20"/>
          <w:szCs w:val="20"/>
          <w:color w:val="auto"/>
        </w:rPr>
      </w:pPr>
    </w:p>
    <w:p>
      <w:pPr>
        <w:ind w:left="1060" w:hanging="316"/>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left="200" w:right="140" w:firstLine="881"/>
        <w:spacing w:after="0" w:line="255"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1" w:lineRule="exact"/>
        <w:rPr>
          <w:sz w:val="20"/>
          <w:szCs w:val="20"/>
          <w:color w:val="auto"/>
        </w:rPr>
      </w:pPr>
    </w:p>
    <w:p>
      <w:pPr>
        <w:jc w:val="both"/>
        <w:ind w:left="1060" w:right="220" w:hanging="316"/>
        <w:spacing w:after="0" w:line="266"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1"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or make-whole amount, have been cured or waived.</w:t>
      </w:r>
    </w:p>
    <w:p>
      <w:pPr>
        <w:spacing w:after="0" w:line="162" w:lineRule="exact"/>
        <w:rPr>
          <w:sz w:val="20"/>
          <w:szCs w:val="20"/>
          <w:color w:val="auto"/>
        </w:rPr>
      </w:pPr>
    </w:p>
    <w:p>
      <w:pPr>
        <w:ind w:left="200" w:firstLine="881"/>
        <w:spacing w:after="0" w:line="266" w:lineRule="auto"/>
        <w:rPr>
          <w:sz w:val="20"/>
          <w:szCs w:val="20"/>
          <w:color w:val="auto"/>
        </w:rPr>
      </w:pPr>
      <w:r>
        <w:rPr>
          <w:rFonts w:ascii="Times New Roman" w:cs="Times New Roman" w:eastAsia="Times New Roman" w:hAnsi="Times New Roman"/>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2" w:lineRule="exact"/>
        <w:rPr>
          <w:sz w:val="20"/>
          <w:szCs w:val="20"/>
          <w:color w:val="auto"/>
        </w:rPr>
      </w:pPr>
    </w:p>
    <w:p>
      <w:pPr>
        <w:ind w:left="1060" w:hanging="316"/>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any premium or make-whole amount, or interest;</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left="200" w:right="140" w:firstLine="881"/>
        <w:spacing w:after="0" w:line="261"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8" w:lineRule="exact"/>
        <w:rPr>
          <w:sz w:val="20"/>
          <w:szCs w:val="20"/>
          <w:color w:val="auto"/>
        </w:rPr>
      </w:pPr>
    </w:p>
    <w:p>
      <w:pPr>
        <w:ind w:left="200" w:right="40" w:firstLine="881"/>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93" w:lineRule="exact"/>
        <w:rPr>
          <w:sz w:val="20"/>
          <w:szCs w:val="20"/>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left="200" w:right="220" w:firstLine="881"/>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Indentures</w:t>
      </w:r>
    </w:p>
    <w:p>
      <w:pPr>
        <w:spacing w:after="0" w:line="121" w:lineRule="exact"/>
        <w:rPr>
          <w:sz w:val="20"/>
          <w:szCs w:val="20"/>
          <w:color w:val="auto"/>
        </w:rPr>
      </w:pPr>
    </w:p>
    <w:p>
      <w:pPr>
        <w:ind w:left="200" w:right="120" w:firstLine="881"/>
        <w:spacing w:after="0" w:line="266" w:lineRule="auto"/>
        <w:rPr>
          <w:sz w:val="20"/>
          <w:szCs w:val="20"/>
          <w:color w:val="auto"/>
        </w:rPr>
      </w:pPr>
      <w:r>
        <w:rPr>
          <w:rFonts w:ascii="Times New Roman" w:cs="Times New Roman" w:eastAsia="Times New Roman" w:hAnsi="Times New Roman"/>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82" w:lineRule="exact"/>
        <w:rPr>
          <w:sz w:val="20"/>
          <w:szCs w:val="20"/>
          <w:color w:val="auto"/>
        </w:rPr>
      </w:pPr>
    </w:p>
    <w:p>
      <w:pPr>
        <w:ind w:left="1060" w:right="22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w:t>
      </w:r>
    </w:p>
    <w:p>
      <w:pPr>
        <w:spacing w:after="0" w:line="67" w:lineRule="exact"/>
        <w:rPr>
          <w:rFonts w:ascii="Times New Roman" w:cs="Times New Roman" w:eastAsia="Times New Roman" w:hAnsi="Times New Roman"/>
          <w:sz w:val="18"/>
          <w:szCs w:val="18"/>
          <w:color w:val="auto"/>
        </w:rPr>
      </w:pPr>
    </w:p>
    <w:p>
      <w:pPr>
        <w:ind w:left="1060" w:right="32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rate or amount of interest on, or any premium or make-whole amount payable on redemption of, any such debt security;</w:t>
      </w:r>
    </w:p>
    <w:p>
      <w:pPr>
        <w:spacing w:after="0" w:line="67"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67"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of, or any premium or make-whole amount, or interest on, any such debt security;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such debt security;</w:t>
      </w:r>
    </w:p>
    <w:p>
      <w:pPr>
        <w:spacing w:after="0" w:line="130" w:lineRule="exact"/>
        <w:rPr>
          <w:rFonts w:ascii="Times New Roman" w:cs="Times New Roman" w:eastAsia="Times New Roman" w:hAnsi="Times New Roman"/>
          <w:sz w:val="18"/>
          <w:szCs w:val="18"/>
          <w:color w:val="auto"/>
        </w:rPr>
      </w:pPr>
    </w:p>
    <w:p>
      <w:pPr>
        <w:ind w:left="1060" w:right="80" w:hanging="316"/>
        <w:spacing w:after="0" w:line="266"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24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66"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76" w:lineRule="exact"/>
        <w:rPr>
          <w:sz w:val="20"/>
          <w:szCs w:val="20"/>
          <w:color w:val="auto"/>
        </w:rPr>
      </w:pPr>
    </w:p>
    <w:p>
      <w:pPr>
        <w:ind w:left="200" w:firstLine="881"/>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62" w:lineRule="exact"/>
        <w:rPr>
          <w:sz w:val="20"/>
          <w:szCs w:val="20"/>
          <w:color w:val="auto"/>
        </w:rPr>
      </w:pPr>
    </w:p>
    <w:p>
      <w:pPr>
        <w:ind w:left="200" w:right="60" w:firstLine="881"/>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1060" w:right="160" w:hanging="316"/>
        <w:spacing w:after="0" w:line="261"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85"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130" w:lineRule="exact"/>
        <w:rPr>
          <w:rFonts w:ascii="Times New Roman" w:cs="Times New Roman" w:eastAsia="Times New Roman" w:hAnsi="Times New Roman"/>
          <w:sz w:val="18"/>
          <w:szCs w:val="18"/>
          <w:color w:val="auto"/>
        </w:rPr>
      </w:pPr>
    </w:p>
    <w:p>
      <w:pPr>
        <w:ind w:left="1060" w:right="16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67" w:lineRule="exact"/>
        <w:rPr>
          <w:rFonts w:ascii="Times New Roman" w:cs="Times New Roman" w:eastAsia="Times New Roman" w:hAnsi="Times New Roman"/>
          <w:sz w:val="18"/>
          <w:szCs w:val="18"/>
          <w:color w:val="auto"/>
        </w:rPr>
      </w:pPr>
    </w:p>
    <w:p>
      <w:pPr>
        <w:jc w:val="both"/>
        <w:ind w:left="1060" w:right="120" w:hanging="316"/>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200" w:right="120" w:firstLine="881"/>
        <w:spacing w:after="0" w:line="266" w:lineRule="auto"/>
        <w:rPr>
          <w:sz w:val="20"/>
          <w:szCs w:val="20"/>
          <w:color w:val="auto"/>
        </w:rPr>
      </w:pPr>
      <w:r>
        <w:rPr>
          <w:rFonts w:ascii="Times New Roman" w:cs="Times New Roman" w:eastAsia="Times New Roman" w:hAnsi="Times New Roman"/>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2" w:lineRule="exact"/>
        <w:rPr>
          <w:sz w:val="20"/>
          <w:szCs w:val="20"/>
          <w:color w:val="auto"/>
        </w:rPr>
      </w:pPr>
    </w:p>
    <w:p>
      <w:pPr>
        <w:ind w:left="1060" w:right="20" w:hanging="316"/>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60" w:right="260" w:hanging="316"/>
        <w:spacing w:after="0" w:line="261"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316"/>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67" w:lineRule="exact"/>
        <w:rPr>
          <w:rFonts w:ascii="Times New Roman" w:cs="Times New Roman" w:eastAsia="Times New Roman" w:hAnsi="Times New Roman"/>
          <w:sz w:val="18"/>
          <w:szCs w:val="18"/>
          <w:color w:val="auto"/>
        </w:rPr>
      </w:pPr>
    </w:p>
    <w:p>
      <w:pPr>
        <w:ind w:left="1060" w:right="720" w:hanging="316"/>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owned by us or any other obligor upon the debt securities or by any affiliate of ours or of such other obligor shall be disregarded.</w:t>
      </w:r>
    </w:p>
    <w:p>
      <w:pPr>
        <w:spacing w:after="0" w:line="162" w:lineRule="exact"/>
        <w:rPr>
          <w:sz w:val="20"/>
          <w:szCs w:val="20"/>
          <w:color w:val="auto"/>
        </w:rPr>
      </w:pPr>
    </w:p>
    <w:p>
      <w:pPr>
        <w:ind w:left="200" w:right="240" w:firstLine="881"/>
        <w:spacing w:after="0" w:line="256" w:lineRule="auto"/>
        <w:rPr>
          <w:sz w:val="20"/>
          <w:szCs w:val="20"/>
          <w:color w:val="auto"/>
        </w:rPr>
      </w:pPr>
      <w:r>
        <w:rPr>
          <w:rFonts w:ascii="Times New Roman" w:cs="Times New Roman" w:eastAsia="Times New Roman" w:hAnsi="Times New Roman"/>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88" w:lineRule="exact"/>
        <w:rPr>
          <w:sz w:val="20"/>
          <w:szCs w:val="20"/>
          <w:color w:val="auto"/>
        </w:rPr>
      </w:pPr>
    </w:p>
    <w:p>
      <w:pPr>
        <w:ind w:left="200" w:right="60" w:firstLine="881"/>
        <w:spacing w:after="0" w:line="261" w:lineRule="auto"/>
        <w:rPr>
          <w:sz w:val="20"/>
          <w:szCs w:val="20"/>
          <w:color w:val="auto"/>
        </w:rPr>
      </w:pPr>
      <w:r>
        <w:rPr>
          <w:rFonts w:ascii="Times New Roman" w:cs="Times New Roman" w:eastAsia="Times New Roman" w:hAnsi="Times New Roman"/>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0" w:lineRule="exact"/>
        <w:rPr>
          <w:sz w:val="20"/>
          <w:szCs w:val="20"/>
          <w:color w:val="auto"/>
        </w:rPr>
      </w:pPr>
    </w:p>
    <w:p>
      <w:pPr>
        <w:ind w:left="200" w:right="20" w:firstLine="881"/>
        <w:spacing w:after="0" w:line="258" w:lineRule="auto"/>
        <w:rPr>
          <w:sz w:val="20"/>
          <w:szCs w:val="20"/>
          <w:color w:val="auto"/>
        </w:rPr>
      </w:pPr>
      <w:r>
        <w:rPr>
          <w:rFonts w:ascii="Times New Roman" w:cs="Times New Roman" w:eastAsia="Times New Roman" w:hAnsi="Times New Roman"/>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4" w:lineRule="exact"/>
        <w:rPr>
          <w:sz w:val="20"/>
          <w:szCs w:val="20"/>
          <w:color w:val="auto"/>
        </w:rPr>
      </w:pPr>
    </w:p>
    <w:p>
      <w:pPr>
        <w:ind w:left="200" w:firstLine="881"/>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86" w:lineRule="exact"/>
        <w:rPr>
          <w:sz w:val="20"/>
          <w:szCs w:val="20"/>
          <w:color w:val="auto"/>
        </w:rPr>
      </w:pPr>
    </w:p>
    <w:p>
      <w:pPr>
        <w:ind w:left="1060" w:hanging="316"/>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66"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121" w:lineRule="exact"/>
        <w:rPr>
          <w:sz w:val="20"/>
          <w:szCs w:val="20"/>
          <w:color w:val="auto"/>
        </w:rPr>
      </w:pPr>
    </w:p>
    <w:p>
      <w:pPr>
        <w:ind w:left="200" w:right="900" w:firstLine="881"/>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162" w:lineRule="exact"/>
        <w:rPr>
          <w:sz w:val="20"/>
          <w:szCs w:val="20"/>
          <w:color w:val="auto"/>
        </w:rPr>
      </w:pPr>
    </w:p>
    <w:p>
      <w:pPr>
        <w:ind w:left="200" w:right="80" w:firstLine="881"/>
        <w:spacing w:after="0" w:line="258"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84" w:lineRule="exact"/>
        <w:rPr>
          <w:sz w:val="20"/>
          <w:szCs w:val="20"/>
          <w:color w:val="auto"/>
        </w:rPr>
      </w:pPr>
    </w:p>
    <w:p>
      <w:pPr>
        <w:ind w:left="200" w:right="80" w:firstLine="881"/>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left="200" w:right="60" w:firstLine="881"/>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Discharge, Defeasance and Covenant Defeasance</w:t>
      </w:r>
    </w:p>
    <w:p>
      <w:pPr>
        <w:spacing w:after="0" w:line="121" w:lineRule="exact"/>
        <w:rPr>
          <w:sz w:val="20"/>
          <w:szCs w:val="20"/>
          <w:color w:val="auto"/>
        </w:rPr>
      </w:pPr>
    </w:p>
    <w:p>
      <w:pPr>
        <w:ind w:left="200" w:right="220" w:firstLine="881"/>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67" w:lineRule="exact"/>
        <w:rPr>
          <w:sz w:val="20"/>
          <w:szCs w:val="20"/>
          <w:color w:val="auto"/>
        </w:rPr>
      </w:pPr>
    </w:p>
    <w:p>
      <w:pPr>
        <w:ind w:left="1060" w:right="80" w:hanging="316"/>
        <w:spacing w:after="0" w:line="255"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130" w:lineRule="exact"/>
        <w:rPr>
          <w:rFonts w:ascii="Times New Roman" w:cs="Times New Roman" w:eastAsia="Times New Roman" w:hAnsi="Times New Roman"/>
          <w:sz w:val="18"/>
          <w:szCs w:val="18"/>
          <w:color w:val="auto"/>
        </w:rPr>
      </w:pPr>
    </w:p>
    <w:p>
      <w:pPr>
        <w:ind w:left="1060" w:right="580" w:hanging="316"/>
        <w:spacing w:after="0" w:line="282"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162" w:lineRule="exact"/>
        <w:rPr>
          <w:sz w:val="20"/>
          <w:szCs w:val="20"/>
          <w:color w:val="auto"/>
        </w:rPr>
      </w:pPr>
    </w:p>
    <w:p>
      <w:pPr>
        <w:ind w:left="200" w:firstLine="881"/>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3" w:lineRule="exact"/>
        <w:rPr>
          <w:sz w:val="20"/>
          <w:szCs w:val="20"/>
          <w:color w:val="auto"/>
        </w:rPr>
      </w:pPr>
    </w:p>
    <w:p>
      <w:pPr>
        <w:ind w:left="1060" w:hanging="316"/>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130" w:lineRule="exact"/>
        <w:rPr>
          <w:rFonts w:ascii="Times New Roman" w:cs="Times New Roman" w:eastAsia="Times New Roman" w:hAnsi="Times New Roman"/>
          <w:sz w:val="18"/>
          <w:szCs w:val="18"/>
          <w:color w:val="auto"/>
        </w:rPr>
      </w:pPr>
    </w:p>
    <w:p>
      <w:pPr>
        <w:ind w:left="1060" w:right="620" w:hanging="316"/>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its obligations with respect to such debt securities under the applicable indenture or, if provided in the applicable prospectus supplement, its obligations with respect to any other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covenant, and any omission to comply with such obligations shall not constitute an event of default with respect to such debt securities.</w:t>
      </w:r>
    </w:p>
    <w:p>
      <w:pPr>
        <w:spacing w:after="0" w:line="225" w:lineRule="exact"/>
        <w:rPr>
          <w:sz w:val="20"/>
          <w:szCs w:val="20"/>
          <w:color w:val="auto"/>
        </w:rPr>
      </w:pPr>
    </w:p>
    <w:p>
      <w:pPr>
        <w:ind w:left="200" w:right="80" w:firstLine="881"/>
        <w:spacing w:after="0" w:line="261" w:lineRule="auto"/>
        <w:rPr>
          <w:sz w:val="20"/>
          <w:szCs w:val="20"/>
          <w:color w:val="auto"/>
        </w:rPr>
      </w:pPr>
      <w:r>
        <w:rPr>
          <w:rFonts w:ascii="Times New Roman" w:cs="Times New Roman" w:eastAsia="Times New Roman" w:hAnsi="Times New Roman"/>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0" w:lineRule="exact"/>
        <w:rPr>
          <w:sz w:val="20"/>
          <w:szCs w:val="20"/>
          <w:color w:val="auto"/>
        </w:rPr>
      </w:pPr>
    </w:p>
    <w:p>
      <w:pPr>
        <w:ind w:left="200" w:right="40" w:firstLine="881"/>
        <w:spacing w:after="0" w:line="255" w:lineRule="auto"/>
        <w:rPr>
          <w:sz w:val="20"/>
          <w:szCs w:val="20"/>
          <w:color w:val="auto"/>
        </w:rPr>
      </w:pPr>
      <w:r>
        <w:rPr>
          <w:rFonts w:ascii="Times New Roman" w:cs="Times New Roman" w:eastAsia="Times New Roman" w:hAnsi="Times New Roman"/>
          <w:sz w:val="18"/>
          <w:szCs w:val="18"/>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131" w:lineRule="exact"/>
        <w:rPr>
          <w:sz w:val="20"/>
          <w:szCs w:val="20"/>
          <w:color w:val="auto"/>
        </w:rPr>
      </w:pPr>
    </w:p>
    <w:p>
      <w:pPr>
        <w:ind w:left="1060" w:right="220" w:hanging="316"/>
        <w:spacing w:after="0" w:line="282"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67" w:lineRule="exact"/>
        <w:rPr>
          <w:rFonts w:ascii="Times New Roman" w:cs="Times New Roman" w:eastAsia="Times New Roman" w:hAnsi="Times New Roman"/>
          <w:sz w:val="18"/>
          <w:szCs w:val="18"/>
          <w:color w:val="auto"/>
        </w:rPr>
      </w:pPr>
    </w:p>
    <w:p>
      <w:pPr>
        <w:ind w:left="1060" w:right="120" w:hanging="316"/>
        <w:spacing w:after="0" w:line="255"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5" w:lineRule="exact"/>
        <w:rPr>
          <w:sz w:val="20"/>
          <w:szCs w:val="20"/>
          <w:color w:val="auto"/>
        </w:rPr>
      </w:pPr>
    </w:p>
    <w:p>
      <w:pPr>
        <w:ind w:left="200" w:firstLine="881"/>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24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131" w:lineRule="exact"/>
        <w:rPr>
          <w:sz w:val="20"/>
          <w:szCs w:val="20"/>
          <w:color w:val="auto"/>
        </w:rPr>
      </w:pPr>
    </w:p>
    <w:p>
      <w:pPr>
        <w:ind w:left="1060" w:right="200" w:hanging="316"/>
        <w:spacing w:after="0" w:line="282"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67"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left="200" w:right="60" w:firstLine="881"/>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76" w:lineRule="exact"/>
        <w:rPr>
          <w:sz w:val="20"/>
          <w:szCs w:val="20"/>
          <w:color w:val="auto"/>
        </w:rPr>
      </w:pPr>
    </w:p>
    <w:p>
      <w:pPr>
        <w:ind w:left="200" w:firstLine="881"/>
        <w:spacing w:after="0" w:line="258" w:lineRule="auto"/>
        <w:rPr>
          <w:sz w:val="20"/>
          <w:szCs w:val="20"/>
          <w:color w:val="auto"/>
        </w:rPr>
      </w:pPr>
      <w:r>
        <w:rPr>
          <w:rFonts w:ascii="Times New Roman" w:cs="Times New Roman" w:eastAsia="Times New Roman" w:hAnsi="Times New Roman"/>
          <w:sz w:val="18"/>
          <w:szCs w:val="18"/>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84" w:lineRule="exact"/>
        <w:rPr>
          <w:sz w:val="20"/>
          <w:szCs w:val="20"/>
          <w:color w:val="auto"/>
        </w:rPr>
      </w:pPr>
    </w:p>
    <w:p>
      <w:pPr>
        <w:ind w:left="200" w:right="440" w:firstLine="881"/>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ind w:left="200" w:right="60" w:firstLine="881"/>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left="200" w:right="60" w:firstLine="881"/>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88" w:lineRule="exact"/>
        <w:rPr>
          <w:sz w:val="20"/>
          <w:szCs w:val="20"/>
          <w:color w:val="auto"/>
        </w:rPr>
      </w:pPr>
    </w:p>
    <w:p>
      <w:pPr>
        <w:ind w:left="200" w:right="80" w:firstLine="881"/>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24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1"/>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ind w:left="200" w:firstLine="881"/>
        <w:spacing w:after="0" w:line="252"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99" w:lineRule="exact"/>
        <w:rPr>
          <w:sz w:val="20"/>
          <w:szCs w:val="20"/>
          <w:color w:val="auto"/>
        </w:rPr>
      </w:pPr>
    </w:p>
    <w:p>
      <w:pPr>
        <w:ind w:left="200" w:right="40" w:firstLine="881"/>
        <w:spacing w:after="0" w:line="252"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97" w:lineRule="exact"/>
        <w:rPr>
          <w:sz w:val="20"/>
          <w:szCs w:val="20"/>
          <w:color w:val="auto"/>
        </w:rPr>
      </w:pPr>
    </w:p>
    <w:p>
      <w:pPr>
        <w:ind w:left="200" w:right="480" w:firstLine="881"/>
        <w:spacing w:after="0" w:line="282"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2" w:lineRule="auto"/>
        <w:rPr>
          <w:sz w:val="20"/>
          <w:szCs w:val="20"/>
          <w:color w:val="auto"/>
        </w:rPr>
      </w:pPr>
      <w:r>
        <w:rPr>
          <w:rFonts w:ascii="Times New Roman" w:cs="Times New Roman" w:eastAsia="Times New Roman" w:hAnsi="Times New Roman"/>
          <w:sz w:val="18"/>
          <w:szCs w:val="18"/>
          <w:color w:val="auto"/>
        </w:rPr>
        <w:t>on, and will be protected in relying on, instructions from the holder of a global security or the depository for all purposes. The rules applicable to DTC and its participants are on file with the SEC.</w:t>
      </w:r>
    </w:p>
    <w:p>
      <w:pPr>
        <w:spacing w:after="0" w:line="162" w:lineRule="exact"/>
        <w:rPr>
          <w:sz w:val="20"/>
          <w:szCs w:val="20"/>
          <w:color w:val="auto"/>
        </w:rPr>
      </w:pPr>
    </w:p>
    <w:p>
      <w:pPr>
        <w:ind w:left="200" w:firstLine="881"/>
        <w:spacing w:after="0" w:line="256"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88" w:lineRule="exact"/>
        <w:rPr>
          <w:sz w:val="20"/>
          <w:szCs w:val="20"/>
          <w:color w:val="auto"/>
        </w:rPr>
      </w:pPr>
    </w:p>
    <w:p>
      <w:pPr>
        <w:ind w:left="200" w:right="40" w:firstLine="881"/>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 Recourse</w:t>
      </w:r>
    </w:p>
    <w:p>
      <w:pPr>
        <w:spacing w:after="0" w:line="121" w:lineRule="exact"/>
        <w:rPr>
          <w:sz w:val="20"/>
          <w:szCs w:val="20"/>
          <w:color w:val="auto"/>
        </w:rPr>
      </w:pPr>
    </w:p>
    <w:p>
      <w:pPr>
        <w:ind w:left="200" w:right="180" w:firstLine="881"/>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ind w:left="200" w:right="120" w:firstLine="881"/>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right="380" w:firstLine="881"/>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200" w:firstLine="881"/>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24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282"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200" w:firstLine="881"/>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9" w:lineRule="exact"/>
        <w:rPr>
          <w:sz w:val="20"/>
          <w:szCs w:val="20"/>
          <w:color w:val="auto"/>
        </w:rPr>
      </w:pPr>
    </w:p>
    <w:p>
      <w:pPr>
        <w:ind w:left="200" w:right="80" w:firstLine="881"/>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6" w:lineRule="exact"/>
        <w:rPr>
          <w:sz w:val="20"/>
          <w:szCs w:val="20"/>
          <w:color w:val="auto"/>
        </w:rPr>
      </w:pPr>
    </w:p>
    <w:p>
      <w:pPr>
        <w:ind w:left="1060" w:right="300" w:hanging="316"/>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240" w:top="455" w:right="5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left="200" w:right="40" w:firstLine="881"/>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200" w:right="460" w:firstLine="881"/>
        <w:spacing w:after="0" w:line="313" w:lineRule="auto"/>
        <w:rPr>
          <w:sz w:val="20"/>
          <w:szCs w:val="20"/>
          <w:color w:val="auto"/>
        </w:rPr>
      </w:pPr>
      <w:r>
        <w:rPr>
          <w:rFonts w:ascii="Times New Roman" w:cs="Times New Roman" w:eastAsia="Times New Roman" w:hAnsi="Times New Roman"/>
          <w:sz w:val="17"/>
          <w:szCs w:val="17"/>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200" w:right="220" w:firstLine="881"/>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including modifying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jc w:val="both"/>
        <w:ind w:left="200" w:firstLine="881"/>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200" w:right="60" w:firstLine="881"/>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60" w:right="160" w:hanging="316"/>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240" w:top="455" w:right="5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82"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0" w:lineRule="exact"/>
        <w:rPr>
          <w:rFonts w:ascii="Times New Roman" w:cs="Times New Roman" w:eastAsia="Times New Roman" w:hAnsi="Times New Roman"/>
          <w:sz w:val="18"/>
          <w:szCs w:val="18"/>
          <w:color w:val="auto"/>
        </w:rPr>
      </w:pPr>
    </w:p>
    <w:p>
      <w:pPr>
        <w:ind w:left="1060" w:right="520" w:hanging="316"/>
        <w:spacing w:after="0" w:line="282"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60" w:right="280" w:hanging="316"/>
        <w:spacing w:after="0" w:line="313" w:lineRule="auto"/>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38" w:lineRule="exact"/>
        <w:rPr>
          <w:sz w:val="20"/>
          <w:szCs w:val="20"/>
          <w:color w:val="auto"/>
        </w:rPr>
      </w:pPr>
    </w:p>
    <w:p>
      <w:pPr>
        <w:ind w:left="200" w:right="120" w:firstLine="881"/>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Therefore, holders of units issued under unit agreements will not have the protections of the Trust Indenture Act with respect to their units.</w:t>
      </w:r>
    </w:p>
    <w:p>
      <w:pPr>
        <w:spacing w:after="0" w:line="31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200" w:firstLine="881"/>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0" w:lineRule="exact"/>
        <w:rPr>
          <w:sz w:val="20"/>
          <w:szCs w:val="20"/>
          <w:color w:val="auto"/>
        </w:rPr>
      </w:pPr>
    </w:p>
    <w:p>
      <w:pPr>
        <w:ind w:left="200" w:right="400" w:firstLine="881"/>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unit agreements and the units will be governed by Delaware law.</w:t>
      </w:r>
    </w:p>
    <w:p>
      <w:pPr>
        <w:spacing w:after="0" w:line="3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200" w:right="160" w:firstLine="881"/>
        <w:spacing w:after="0" w:line="258" w:lineRule="auto"/>
        <w:rPr>
          <w:sz w:val="20"/>
          <w:szCs w:val="20"/>
          <w:color w:val="auto"/>
        </w:rPr>
      </w:pPr>
      <w:r>
        <w:rPr>
          <w:rFonts w:ascii="Times New Roman" w:cs="Times New Roman" w:eastAsia="Times New Roman" w:hAnsi="Times New Roman"/>
          <w:sz w:val="18"/>
          <w:szCs w:val="18"/>
          <w:color w:val="auto"/>
        </w:rPr>
        <w:t>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Unless the accompanying prospectus supplement states otherwise, each unit and all securities comprising the unit will be issued in the same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form.</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200" w:right="60" w:firstLine="881"/>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89" w:lineRule="exact"/>
        <w:rPr>
          <w:sz w:val="20"/>
          <w:szCs w:val="20"/>
          <w:color w:val="auto"/>
        </w:rPr>
      </w:pPr>
    </w:p>
    <w:p>
      <w:pPr>
        <w:ind w:left="1060" w:right="320" w:hanging="316"/>
        <w:spacing w:after="0" w:line="282"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60" w:right="60" w:hanging="316"/>
        <w:spacing w:after="0" w:line="261"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60" w:hanging="316"/>
        <w:spacing w:after="0" w:line="256"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supplement.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60"/>
          </w:cols>
          <w:pgMar w:left="240" w:top="455"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60" w:hanging="316"/>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law.</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60" w:hanging="31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60" w:hanging="316"/>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24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76" w:lineRule="exact"/>
        <w:rPr>
          <w:sz w:val="20"/>
          <w:szCs w:val="20"/>
          <w:color w:val="auto"/>
        </w:rPr>
      </w:pPr>
    </w:p>
    <w:p>
      <w:pPr>
        <w:ind w:left="200" w:right="20" w:firstLine="441"/>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200" w:right="220" w:firstLine="441"/>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3" w:lineRule="exact"/>
        <w:rPr>
          <w:sz w:val="20"/>
          <w:szCs w:val="20"/>
          <w:color w:val="auto"/>
        </w:rPr>
      </w:pPr>
    </w:p>
    <w:p>
      <w:pPr>
        <w:ind w:left="1060" w:right="240" w:hanging="316"/>
        <w:spacing w:after="0" w:line="282" w:lineRule="auto"/>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4"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76"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24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2" w:lineRule="auto"/>
        <w:rPr>
          <w:sz w:val="20"/>
          <w:szCs w:val="20"/>
          <w:color w:val="auto"/>
        </w:rPr>
      </w:pPr>
      <w:r>
        <w:rPr>
          <w:rFonts w:ascii="Times New Roman" w:cs="Times New Roman" w:eastAsia="Times New Roman" w:hAnsi="Times New Roman"/>
          <w:sz w:val="18"/>
          <w:szCs w:val="18"/>
          <w:color w:val="auto"/>
        </w:rPr>
        <w:t>may stabilize or maintain the market price of the securities above independent market levels. Any such underwriters are not required to engage in these activities and may end any of these activities at any time.</w:t>
      </w:r>
    </w:p>
    <w:p>
      <w:pPr>
        <w:spacing w:after="0" w:line="162"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88"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62"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24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200" w:right="40" w:firstLine="881"/>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200" w:right="120" w:firstLine="881"/>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200" w:firstLine="881"/>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200" w:right="80" w:firstLine="881"/>
        <w:spacing w:after="0" w:line="255" w:lineRule="auto"/>
        <w:rPr>
          <w:sz w:val="20"/>
          <w:szCs w:val="20"/>
          <w:color w:val="auto"/>
        </w:rPr>
      </w:pPr>
      <w:r>
        <w:rPr>
          <w:rFonts w:ascii="Times New Roman" w:cs="Times New Roman" w:eastAsia="Times New Roman" w:hAnsi="Times New Roman"/>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Zafgen, Inc., 175 Portland Street, 4th Floor, Boston, MA 02114, Attention: Secretary, or by telephone request to (617) 622-4003. Our website is located at </w:t>
      </w:r>
      <w:r>
        <w:rPr>
          <w:rFonts w:ascii="Times New Roman" w:cs="Times New Roman" w:eastAsia="Times New Roman" w:hAnsi="Times New Roman"/>
          <w:sz w:val="18"/>
          <w:szCs w:val="18"/>
          <w:i w:val="1"/>
          <w:iCs w:val="1"/>
          <w:color w:val="auto"/>
        </w:rPr>
        <w:t>www.zafgen.com</w:t>
      </w:r>
      <w:r>
        <w:rPr>
          <w:rFonts w:ascii="Times New Roman" w:cs="Times New Roman" w:eastAsia="Times New Roman" w:hAnsi="Times New Roman"/>
          <w:sz w:val="18"/>
          <w:szCs w:val="18"/>
          <w:color w:val="auto"/>
        </w:rPr>
        <w:t>. Information contained on our website is not incorporated by reference into this prospectus and, therefore, is not part of this prospectus or any accompanying prospectus supplement.</w:t>
      </w:r>
    </w:p>
    <w:p>
      <w:pPr>
        <w:spacing w:after="0" w:line="2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200" w:right="20" w:firstLine="881"/>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95" w:lineRule="exact"/>
        <w:rPr>
          <w:sz w:val="20"/>
          <w:szCs w:val="20"/>
          <w:color w:val="auto"/>
        </w:rPr>
      </w:pPr>
    </w:p>
    <w:p>
      <w:pPr>
        <w:ind w:left="1060" w:hanging="316"/>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year ended December 31, 2016;</w:t>
      </w:r>
    </w:p>
    <w:p>
      <w:pPr>
        <w:spacing w:after="0" w:line="130" w:lineRule="exact"/>
        <w:rPr>
          <w:rFonts w:ascii="Times New Roman" w:cs="Times New Roman" w:eastAsia="Times New Roman" w:hAnsi="Times New Roman"/>
          <w:sz w:val="18"/>
          <w:szCs w:val="18"/>
          <w:color w:val="auto"/>
        </w:rPr>
      </w:pPr>
    </w:p>
    <w:p>
      <w:pPr>
        <w:ind w:left="1060" w:right="220" w:hanging="316"/>
        <w:spacing w:after="0" w:line="266" w:lineRule="auto"/>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our Annual Report on Form 10-K for the year ended December 31, 2016 from our definitive proxy statement on Schedule 14A (other than information furnished rather than filed), which was filed with the SEC on April 28, 2017;</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filed with the SEC for the quarters ended March 31, 2017 and June 30, 2017;</w:t>
      </w:r>
    </w:p>
    <w:p>
      <w:pPr>
        <w:spacing w:after="0" w:line="130" w:lineRule="exact"/>
        <w:rPr>
          <w:rFonts w:ascii="Times New Roman" w:cs="Times New Roman" w:eastAsia="Times New Roman" w:hAnsi="Times New Roman"/>
          <w:sz w:val="18"/>
          <w:szCs w:val="18"/>
          <w:color w:val="auto"/>
        </w:rPr>
      </w:pPr>
    </w:p>
    <w:p>
      <w:pPr>
        <w:jc w:val="center"/>
        <w:ind w:left="5620" w:right="400" w:hanging="4876"/>
        <w:spacing w:after="0" w:line="454" w:lineRule="auto"/>
        <w:tabs>
          <w:tab w:leader="none" w:pos="10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filed with the SEC on March 9, 2017, May 4, 2017, May 9, 2017, June 23, 2017 and August 8, 2017; and 34</w:t>
      </w:r>
    </w:p>
    <w:p>
      <w:pPr>
        <w:sectPr>
          <w:pgSz w:w="11900" w:h="16838" w:orient="portrait"/>
          <w:cols w:equalWidth="0" w:num="1">
            <w:col w:w="11220"/>
          </w:cols>
          <w:pgMar w:left="24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80" w:hanging="316"/>
        <w:spacing w:after="0" w:line="282" w:lineRule="auto"/>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which was filed with the SEC on June 18, 2014, including any amendment or report filed for the purpose of updating such description.</w:t>
      </w:r>
    </w:p>
    <w:p>
      <w:pPr>
        <w:spacing w:after="0" w:line="162" w:lineRule="exact"/>
        <w:rPr>
          <w:sz w:val="20"/>
          <w:szCs w:val="20"/>
          <w:color w:val="auto"/>
        </w:rPr>
      </w:pPr>
    </w:p>
    <w:p>
      <w:pPr>
        <w:ind w:left="200" w:firstLine="881"/>
        <w:spacing w:after="0" w:line="261"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Zafgen, Inc., 175 Portland Street, 4th Floor, Boston, MA 02114, Attention: Secretary, or by telephone request to (617) 622-4003.</w:t>
      </w:r>
    </w:p>
    <w:p>
      <w:pPr>
        <w:spacing w:after="0" w:line="225" w:lineRule="exact"/>
        <w:rPr>
          <w:sz w:val="20"/>
          <w:szCs w:val="20"/>
          <w:color w:val="auto"/>
        </w:rPr>
      </w:pPr>
    </w:p>
    <w:p>
      <w:pPr>
        <w:ind w:left="200" w:right="40" w:firstLine="881"/>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sz w:val="20"/>
          <w:szCs w:val="20"/>
          <w:color w:val="auto"/>
        </w:rPr>
      </w:pPr>
    </w:p>
    <w:p>
      <w:pPr>
        <w:ind w:left="200" w:right="140" w:firstLine="881"/>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24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242570</wp:posOffset>
            </wp:positionV>
            <wp:extent cx="699770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20"/>
        <w:spacing w:after="0"/>
        <w:rPr>
          <w:sz w:val="20"/>
          <w:szCs w:val="20"/>
          <w:color w:val="auto"/>
        </w:rPr>
      </w:pPr>
      <w:r>
        <w:rPr>
          <w:rFonts w:ascii="Arial" w:cs="Arial" w:eastAsia="Arial" w:hAnsi="Arial"/>
          <w:sz w:val="25"/>
          <w:szCs w:val="25"/>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680085</wp:posOffset>
            </wp:positionV>
            <wp:extent cx="1534795"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347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688340</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9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179705</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Arial" w:cs="Arial" w:eastAsia="Arial" w:hAnsi="Arial"/>
          <w:sz w:val="29"/>
          <w:szCs w:val="29"/>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November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1104900</wp:posOffset>
            </wp:positionV>
            <wp:extent cx="699770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lowerRoman"/>
      <w:start w:val="2"/>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lvl w:ilvl="1">
      <w:lvlJc w:val="left"/>
      <w:lvlText w:val="(%2)"/>
      <w:numFmt w:val="lowerRoman"/>
      <w:start w:val="1"/>
    </w:lvl>
  </w:abstractNum>
  <w:abstractNum w:abstractNumId="19">
    <w:nsid w:val="614FD4A1"/>
    <w:multiLevelType w:val="hybridMultilevel"/>
    <w:lvl w:ilvl="0">
      <w:lvlJc w:val="left"/>
      <w:lvlText w:val="(%1)"/>
      <w:numFmt w:val="lowerRoman"/>
      <w:start w:val="2"/>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2019-12-07T05:44:56Z</dcterms:created>
  <dcterms:modified xsi:type="dcterms:W3CDTF">2019-12-07T05:44:56Z</dcterms:modified>
</cp:coreProperties>
</file>