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9"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spacing w:after="0" w:line="11"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u w:val="single" w:color="auto"/>
          <w:color w:val="auto"/>
        </w:rPr>
        <w:t>WASHINGTON, D.C. 20549</w:t>
      </w:r>
    </w:p>
    <w:p>
      <w:pPr>
        <w:spacing w:after="0" w:line="13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29210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54"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59055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29"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Larimar Therapeutics, Inc.</w:t>
      </w:r>
    </w:p>
    <w:p>
      <w:pPr>
        <w:spacing w:after="0" w:line="7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25" w:lineRule="exact"/>
        <w:rPr>
          <w:sz w:val="24"/>
          <w:szCs w:val="24"/>
          <w:color w:val="auto"/>
        </w:rPr>
      </w:pPr>
    </w:p>
    <w:tbl>
      <w:tblPr>
        <w:tblLayout w:type="fixed"/>
        <w:tblInd w:w="1385" w:type="dxa"/>
        <w:tblCellMar>
          <w:top w:w="0" w:type="dxa"/>
          <w:left w:w="0" w:type="dxa"/>
          <w:bottom w:w="0" w:type="dxa"/>
          <w:right w:w="0" w:type="dxa"/>
        </w:tblCellMar>
      </w:tblPr>
      <w:tr>
        <w:trPr>
          <w:trHeight w:val="166"/>
        </w:trPr>
        <w:tc>
          <w:tcPr>
            <w:tcW w:w="3120" w:type="dxa"/>
            <w:vAlign w:val="bottom"/>
          </w:tcPr>
          <w:p>
            <w:pPr>
              <w:jc w:val="center"/>
              <w:ind w:right="1051"/>
              <w:spacing w:after="0" w:line="167" w:lineRule="exact"/>
              <w:rPr>
                <w:sz w:val="20"/>
                <w:szCs w:val="20"/>
                <w:color w:val="auto"/>
              </w:rPr>
            </w:pPr>
            <w:r>
              <w:rPr>
                <w:rFonts w:ascii="Arial" w:cs="Arial" w:eastAsia="Arial" w:hAnsi="Arial"/>
                <w:sz w:val="16"/>
                <w:szCs w:val="16"/>
                <w:b w:val="1"/>
                <w:bCs w:val="1"/>
                <w:color w:val="auto"/>
                <w:w w:val="91"/>
              </w:rPr>
              <w:t>Delaware</w:t>
            </w:r>
          </w:p>
        </w:tc>
        <w:tc>
          <w:tcPr>
            <w:tcW w:w="2240" w:type="dxa"/>
            <w:vAlign w:val="bottom"/>
            <w:tcBorders>
              <w:top w:val="single" w:sz="8" w:color="auto"/>
            </w:tcBorders>
          </w:tcPr>
          <w:p>
            <w:pPr>
              <w:jc w:val="right"/>
              <w:ind w:right="571"/>
              <w:spacing w:after="0" w:line="167" w:lineRule="exact"/>
              <w:rPr>
                <w:sz w:val="20"/>
                <w:szCs w:val="20"/>
                <w:color w:val="auto"/>
              </w:rPr>
            </w:pPr>
            <w:r>
              <w:rPr>
                <w:rFonts w:ascii="Arial" w:cs="Arial" w:eastAsia="Arial" w:hAnsi="Arial"/>
                <w:sz w:val="16"/>
                <w:szCs w:val="16"/>
                <w:b w:val="1"/>
                <w:bCs w:val="1"/>
                <w:color w:val="auto"/>
              </w:rPr>
              <w:t>001-36510</w:t>
            </w:r>
          </w:p>
        </w:tc>
        <w:tc>
          <w:tcPr>
            <w:tcW w:w="2720" w:type="dxa"/>
            <w:vAlign w:val="bottom"/>
          </w:tcPr>
          <w:p>
            <w:pPr>
              <w:jc w:val="right"/>
              <w:ind w:right="13"/>
              <w:spacing w:after="0" w:line="167" w:lineRule="exact"/>
              <w:rPr>
                <w:sz w:val="20"/>
                <w:szCs w:val="20"/>
                <w:color w:val="auto"/>
              </w:rPr>
            </w:pPr>
            <w:r>
              <w:rPr>
                <w:rFonts w:ascii="Arial" w:cs="Arial" w:eastAsia="Arial" w:hAnsi="Arial"/>
                <w:sz w:val="16"/>
                <w:szCs w:val="16"/>
                <w:b w:val="1"/>
                <w:bCs w:val="1"/>
                <w:color w:val="auto"/>
              </w:rPr>
              <w:t>20-3857670</w:t>
            </w:r>
          </w:p>
        </w:tc>
      </w:tr>
      <w:tr>
        <w:trPr>
          <w:trHeight w:val="130"/>
        </w:trPr>
        <w:tc>
          <w:tcPr>
            <w:tcW w:w="3120" w:type="dxa"/>
            <w:vAlign w:val="bottom"/>
          </w:tcPr>
          <w:p>
            <w:pPr>
              <w:jc w:val="center"/>
              <w:ind w:right="1051"/>
              <w:spacing w:after="0" w:line="130" w:lineRule="exact"/>
              <w:rPr>
                <w:sz w:val="20"/>
                <w:szCs w:val="20"/>
                <w:color w:val="auto"/>
              </w:rPr>
            </w:pPr>
            <w:r>
              <w:rPr>
                <w:rFonts w:ascii="Arial" w:cs="Arial" w:eastAsia="Arial" w:hAnsi="Arial"/>
                <w:sz w:val="12"/>
                <w:szCs w:val="12"/>
                <w:b w:val="1"/>
                <w:bCs w:val="1"/>
                <w:color w:val="auto"/>
                <w:w w:val="90"/>
              </w:rPr>
              <w:t>(State or Other Jurisdiction</w:t>
            </w:r>
          </w:p>
        </w:tc>
        <w:tc>
          <w:tcPr>
            <w:tcW w:w="2240" w:type="dxa"/>
            <w:vAlign w:val="bottom"/>
          </w:tcPr>
          <w:p>
            <w:pPr>
              <w:jc w:val="center"/>
              <w:ind w:left="231"/>
              <w:spacing w:after="0" w:line="130" w:lineRule="exact"/>
              <w:rPr>
                <w:sz w:val="20"/>
                <w:szCs w:val="20"/>
                <w:color w:val="auto"/>
              </w:rPr>
            </w:pPr>
            <w:r>
              <w:rPr>
                <w:rFonts w:ascii="Arial" w:cs="Arial" w:eastAsia="Arial" w:hAnsi="Arial"/>
                <w:sz w:val="12"/>
                <w:szCs w:val="12"/>
                <w:b w:val="1"/>
                <w:bCs w:val="1"/>
                <w:color w:val="auto"/>
                <w:w w:val="90"/>
              </w:rPr>
              <w:t>(Commission File Number)</w:t>
            </w:r>
          </w:p>
        </w:tc>
        <w:tc>
          <w:tcPr>
            <w:tcW w:w="2720" w:type="dxa"/>
            <w:vAlign w:val="bottom"/>
          </w:tcPr>
          <w:p>
            <w:pPr>
              <w:jc w:val="center"/>
              <w:ind w:left="1733"/>
              <w:spacing w:after="0" w:line="130"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3120" w:type="dxa"/>
            <w:vAlign w:val="bottom"/>
          </w:tcPr>
          <w:p>
            <w:pPr>
              <w:jc w:val="center"/>
              <w:ind w:right="1051"/>
              <w:spacing w:after="0"/>
              <w:rPr>
                <w:sz w:val="20"/>
                <w:szCs w:val="20"/>
                <w:color w:val="auto"/>
              </w:rPr>
            </w:pPr>
            <w:r>
              <w:rPr>
                <w:rFonts w:ascii="Arial" w:cs="Arial" w:eastAsia="Arial" w:hAnsi="Arial"/>
                <w:sz w:val="12"/>
                <w:szCs w:val="12"/>
                <w:b w:val="1"/>
                <w:bCs w:val="1"/>
                <w:color w:val="auto"/>
                <w:w w:val="91"/>
              </w:rPr>
              <w:t>of Incorporation)</w:t>
            </w:r>
          </w:p>
        </w:tc>
        <w:tc>
          <w:tcPr>
            <w:tcW w:w="2240" w:type="dxa"/>
            <w:vAlign w:val="bottom"/>
          </w:tcPr>
          <w:p>
            <w:pPr>
              <w:spacing w:after="0"/>
              <w:rPr>
                <w:sz w:val="13"/>
                <w:szCs w:val="13"/>
                <w:color w:val="auto"/>
              </w:rPr>
            </w:pPr>
          </w:p>
        </w:tc>
        <w:tc>
          <w:tcPr>
            <w:tcW w:w="2720" w:type="dxa"/>
            <w:vAlign w:val="bottom"/>
          </w:tcPr>
          <w:p>
            <w:pPr>
              <w:jc w:val="center"/>
              <w:ind w:left="1733"/>
              <w:spacing w:after="0"/>
              <w:rPr>
                <w:sz w:val="20"/>
                <w:szCs w:val="20"/>
                <w:color w:val="auto"/>
              </w:rPr>
            </w:pPr>
            <w:r>
              <w:rPr>
                <w:rFonts w:ascii="Arial" w:cs="Arial" w:eastAsia="Arial" w:hAnsi="Arial"/>
                <w:sz w:val="12"/>
                <w:szCs w:val="12"/>
                <w:b w:val="1"/>
                <w:bCs w:val="1"/>
                <w:color w:val="auto"/>
                <w:w w:val="90"/>
              </w:rPr>
              <w:t>Identification No.)</w:t>
            </w:r>
          </w:p>
        </w:tc>
      </w:tr>
      <w:tr>
        <w:trPr>
          <w:trHeight w:val="328"/>
        </w:trPr>
        <w:tc>
          <w:tcPr>
            <w:tcW w:w="3120" w:type="dxa"/>
            <w:vAlign w:val="bottom"/>
          </w:tcPr>
          <w:p>
            <w:pPr>
              <w:jc w:val="center"/>
              <w:ind w:right="1051"/>
              <w:spacing w:after="0"/>
              <w:rPr>
                <w:sz w:val="20"/>
                <w:szCs w:val="20"/>
                <w:color w:val="auto"/>
              </w:rPr>
            </w:pPr>
            <w:r>
              <w:rPr>
                <w:rFonts w:ascii="Arial" w:cs="Arial" w:eastAsia="Arial" w:hAnsi="Arial"/>
                <w:sz w:val="16"/>
                <w:szCs w:val="16"/>
                <w:b w:val="1"/>
                <w:bCs w:val="1"/>
                <w:color w:val="auto"/>
                <w:w w:val="89"/>
              </w:rPr>
              <w:t>Three Bala Plaza East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83"/>
        </w:trPr>
        <w:tc>
          <w:tcPr>
            <w:tcW w:w="3120" w:type="dxa"/>
            <w:vAlign w:val="bottom"/>
          </w:tcPr>
          <w:p>
            <w:pPr>
              <w:jc w:val="center"/>
              <w:ind w:right="1051"/>
              <w:spacing w:after="0"/>
              <w:rPr>
                <w:sz w:val="20"/>
                <w:szCs w:val="20"/>
                <w:color w:val="auto"/>
              </w:rPr>
            </w:pPr>
            <w:r>
              <w:rPr>
                <w:rFonts w:ascii="Arial" w:cs="Arial" w:eastAsia="Arial" w:hAnsi="Arial"/>
                <w:sz w:val="16"/>
                <w:szCs w:val="16"/>
                <w:b w:val="1"/>
                <w:bCs w:val="1"/>
                <w:color w:val="auto"/>
                <w:w w:val="89"/>
              </w:rPr>
              <w:t>Bala Cynwyd, Pennsylvania</w:t>
            </w:r>
          </w:p>
        </w:tc>
        <w:tc>
          <w:tcPr>
            <w:tcW w:w="2240" w:type="dxa"/>
            <w:vAlign w:val="bottom"/>
          </w:tcPr>
          <w:p>
            <w:pPr>
              <w:spacing w:after="0"/>
              <w:rPr>
                <w:sz w:val="15"/>
                <w:szCs w:val="15"/>
                <w:color w:val="auto"/>
              </w:rPr>
            </w:pPr>
          </w:p>
        </w:tc>
        <w:tc>
          <w:tcPr>
            <w:tcW w:w="2720" w:type="dxa"/>
            <w:vAlign w:val="bottom"/>
          </w:tcPr>
          <w:p>
            <w:pPr>
              <w:jc w:val="right"/>
              <w:ind w:right="193"/>
              <w:spacing w:after="0"/>
              <w:rPr>
                <w:sz w:val="20"/>
                <w:szCs w:val="20"/>
                <w:color w:val="auto"/>
              </w:rPr>
            </w:pPr>
            <w:r>
              <w:rPr>
                <w:rFonts w:ascii="Arial" w:cs="Arial" w:eastAsia="Arial" w:hAnsi="Arial"/>
                <w:sz w:val="16"/>
                <w:szCs w:val="16"/>
                <w:b w:val="1"/>
                <w:bCs w:val="1"/>
                <w:color w:val="auto"/>
              </w:rPr>
              <w:t>19004</w:t>
            </w:r>
          </w:p>
        </w:tc>
      </w:tr>
      <w:tr>
        <w:trPr>
          <w:trHeight w:val="151"/>
        </w:trPr>
        <w:tc>
          <w:tcPr>
            <w:tcW w:w="3120" w:type="dxa"/>
            <w:vAlign w:val="bottom"/>
          </w:tcPr>
          <w:p>
            <w:pPr>
              <w:jc w:val="center"/>
              <w:ind w:right="103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2240" w:type="dxa"/>
            <w:vAlign w:val="bottom"/>
          </w:tcPr>
          <w:p>
            <w:pPr>
              <w:spacing w:after="0"/>
              <w:rPr>
                <w:sz w:val="13"/>
                <w:szCs w:val="13"/>
                <w:color w:val="auto"/>
              </w:rPr>
            </w:pPr>
          </w:p>
        </w:tc>
        <w:tc>
          <w:tcPr>
            <w:tcW w:w="2720" w:type="dxa"/>
            <w:vAlign w:val="bottom"/>
          </w:tcPr>
          <w:p>
            <w:pPr>
              <w:jc w:val="center"/>
              <w:ind w:left="1753"/>
              <w:spacing w:after="0"/>
              <w:rPr>
                <w:sz w:val="20"/>
                <w:szCs w:val="20"/>
                <w:color w:val="auto"/>
              </w:rPr>
            </w:pPr>
            <w:r>
              <w:rPr>
                <w:rFonts w:ascii="Arial" w:cs="Arial" w:eastAsia="Arial" w:hAnsi="Arial"/>
                <w:sz w:val="12"/>
                <w:szCs w:val="12"/>
                <w:b w:val="1"/>
                <w:bCs w:val="1"/>
                <w:color w:val="auto"/>
                <w:w w:val="90"/>
              </w:rPr>
              <w:t>(Zip Code)</w:t>
            </w:r>
          </w:p>
        </w:tc>
      </w:tr>
    </w:tbl>
    <w:p>
      <w:pPr>
        <w:spacing w:after="0" w:line="174"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Registrant’s Telephone Number, Including Area Code: (844) 511-9056</w:t>
      </w:r>
    </w:p>
    <w:p>
      <w:pPr>
        <w:spacing w:after="0" w:line="330"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99695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78"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3" w:lineRule="exact"/>
        <w:rPr>
          <w:sz w:val="24"/>
          <w:szCs w:val="24"/>
          <w:color w:val="auto"/>
        </w:rPr>
      </w:pPr>
    </w:p>
    <w:tbl>
      <w:tblPr>
        <w:tblLayout w:type="fixed"/>
        <w:tblInd w:w="5"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7660" w:type="dxa"/>
            <w:vAlign w:val="bottom"/>
            <w:gridSpan w:val="5"/>
          </w:tcPr>
          <w:p>
            <w:pPr>
              <w:ind w:left="10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69"/>
        </w:trPr>
        <w:tc>
          <w:tcPr>
            <w:tcW w:w="3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20" w:type="dxa"/>
            <w:vAlign w:val="bottom"/>
          </w:tcPr>
          <w:p>
            <w:pPr>
              <w:spacing w:after="0"/>
              <w:rPr>
                <w:sz w:val="23"/>
                <w:szCs w:val="23"/>
                <w:color w:val="auto"/>
              </w:rPr>
            </w:pPr>
          </w:p>
        </w:tc>
        <w:tc>
          <w:tcPr>
            <w:tcW w:w="5060" w:type="dxa"/>
            <w:vAlign w:val="bottom"/>
          </w:tcPr>
          <w:p>
            <w:pPr>
              <w:spacing w:after="0"/>
              <w:rPr>
                <w:sz w:val="23"/>
                <w:szCs w:val="23"/>
                <w:color w:val="auto"/>
              </w:rPr>
            </w:pPr>
          </w:p>
        </w:tc>
      </w:tr>
      <w:tr>
        <w:trPr>
          <w:trHeight w:val="204"/>
        </w:trPr>
        <w:tc>
          <w:tcPr>
            <w:tcW w:w="360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b w:val="1"/>
                <w:bCs w:val="1"/>
                <w:color w:val="auto"/>
                <w:w w:val="85"/>
              </w:rPr>
              <w:t>Title of each class</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120" w:type="dxa"/>
            <w:vAlign w:val="bottom"/>
          </w:tcPr>
          <w:p>
            <w:pPr>
              <w:spacing w:after="0"/>
              <w:rPr>
                <w:sz w:val="17"/>
                <w:szCs w:val="17"/>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194"/>
        </w:trPr>
        <w:tc>
          <w:tcPr>
            <w:tcW w:w="3600" w:type="dxa"/>
            <w:vAlign w:val="bottom"/>
          </w:tcPr>
          <w:p>
            <w:pPr>
              <w:jc w:val="center"/>
              <w:ind w:left="581"/>
              <w:spacing w:after="0"/>
              <w:rPr>
                <w:sz w:val="20"/>
                <w:szCs w:val="20"/>
                <w:color w:val="auto"/>
              </w:rPr>
            </w:pPr>
            <w:r>
              <w:rPr>
                <w:rFonts w:ascii="Arial" w:cs="Arial" w:eastAsia="Arial" w:hAnsi="Arial"/>
                <w:sz w:val="16"/>
                <w:szCs w:val="16"/>
                <w:color w:val="auto"/>
                <w:w w:val="88"/>
              </w:rPr>
              <w:t>Common Stock, par value $0.001 per share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lrmr</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4"/>
              </w:rPr>
              <w:t>NASDAQ Global Market</w:t>
            </w:r>
          </w:p>
        </w:tc>
      </w:tr>
    </w:tbl>
    <w:p>
      <w:pPr>
        <w:spacing w:after="0" w:line="154" w:lineRule="exact"/>
        <w:rPr>
          <w:sz w:val="24"/>
          <w:szCs w:val="24"/>
          <w:color w:val="auto"/>
        </w:rPr>
      </w:pPr>
    </w:p>
    <w:p>
      <w:pPr>
        <w:ind w:left="5" w:right="220"/>
        <w:spacing w:after="0" w:line="25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left="5" w:right="320"/>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172085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2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9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On August 11, 2022, Larimar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announced its financial results and operational highlights for the second quarter ended June 30, 2022. A copy of the press release is being furnished as Exhibit 99.1 to this Current Report on Form 8-K and is incorporated herein by reference.</w:t>
      </w:r>
    </w:p>
    <w:p>
      <w:pPr>
        <w:spacing w:after="0" w:line="133" w:lineRule="exact"/>
        <w:rPr>
          <w:sz w:val="20"/>
          <w:szCs w:val="20"/>
          <w:color w:val="auto"/>
        </w:rPr>
      </w:pPr>
    </w:p>
    <w:p>
      <w:pPr>
        <w:ind w:right="160"/>
        <w:spacing w:after="0" w:line="302" w:lineRule="auto"/>
        <w:rPr>
          <w:sz w:val="20"/>
          <w:szCs w:val="20"/>
          <w:color w:val="auto"/>
        </w:rPr>
      </w:pPr>
      <w:r>
        <w:rPr>
          <w:rFonts w:ascii="Arial" w:cs="Arial" w:eastAsia="Arial" w:hAnsi="Arial"/>
          <w:sz w:val="14"/>
          <w:szCs w:val="14"/>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04" w:lineRule="exact"/>
        <w:rPr>
          <w:sz w:val="20"/>
          <w:szCs w:val="20"/>
          <w:color w:val="auto"/>
        </w:rPr>
      </w:pPr>
    </w:p>
    <w:p>
      <w:pPr>
        <w:ind w:right="140"/>
        <w:spacing w:after="0" w:line="323" w:lineRule="auto"/>
        <w:rPr>
          <w:sz w:val="20"/>
          <w:szCs w:val="20"/>
          <w:color w:val="auto"/>
        </w:rPr>
      </w:pPr>
      <w:r>
        <w:rPr>
          <w:rFonts w:ascii="Arial" w:cs="Arial" w:eastAsia="Arial" w:hAnsi="Arial"/>
          <w:sz w:val="14"/>
          <w:szCs w:val="14"/>
          <w:color w:val="auto"/>
        </w:rPr>
        <w:t>On August 11, 2022,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Below is a list of exhibits included with this Current Report on Form 8-K.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52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Document</w:t>
            </w:r>
          </w:p>
        </w:tc>
      </w:tr>
      <w:tr>
        <w:trPr>
          <w:trHeight w:val="154"/>
        </w:trPr>
        <w:tc>
          <w:tcPr>
            <w:tcW w:w="1120" w:type="dxa"/>
            <w:vAlign w:val="bottom"/>
          </w:tcPr>
          <w:p>
            <w:pPr>
              <w:spacing w:after="0" w:line="154" w:lineRule="exact"/>
              <w:rPr>
                <w:sz w:val="20"/>
                <w:szCs w:val="20"/>
                <w:color w:val="auto"/>
              </w:rPr>
            </w:pPr>
            <w:r>
              <w:rPr>
                <w:rFonts w:ascii="Arial" w:cs="Arial" w:eastAsia="Arial" w:hAnsi="Arial"/>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
          </w:tcPr>
          <w:p>
            <w:pPr>
              <w:spacing w:after="0" w:line="154" w:lineRule="exact"/>
              <w:rPr>
                <w:sz w:val="20"/>
                <w:szCs w:val="20"/>
                <w:color w:val="auto"/>
              </w:rPr>
            </w:pPr>
            <w:r>
              <w:rPr>
                <w:rFonts w:ascii="Arial" w:cs="Arial" w:eastAsia="Arial" w:hAnsi="Arial"/>
                <w:sz w:val="16"/>
                <w:szCs w:val="16"/>
                <w:color w:val="0000FF"/>
              </w:rPr>
              <w:t>Press Release issued by Larimar Therapeutics, Inc. on August 11, 2022*</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Arial" w:cs="Arial" w:eastAsia="Arial" w:hAnsi="Arial"/>
                <w:sz w:val="16"/>
                <w:szCs w:val="16"/>
                <w:color w:val="auto"/>
              </w:rPr>
              <w:t>99.2</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gridSpan w:val="3"/>
          </w:tcPr>
          <w:p>
            <w:pPr>
              <w:spacing w:after="0" w:line="169" w:lineRule="exact"/>
              <w:rPr>
                <w:sz w:val="20"/>
                <w:szCs w:val="20"/>
                <w:color w:val="auto"/>
              </w:rPr>
            </w:pPr>
            <w:r>
              <w:rPr>
                <w:rFonts w:ascii="Arial" w:cs="Arial" w:eastAsia="Arial" w:hAnsi="Arial"/>
                <w:sz w:val="16"/>
                <w:szCs w:val="16"/>
                <w:color w:val="0000FF"/>
              </w:rPr>
              <w:t>Larimar Therapeutics, Inc. Corporate Presentation, dated August 11, 2022</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11" w:lineRule="exact"/>
        <w:rPr>
          <w:sz w:val="20"/>
          <w:szCs w:val="20"/>
          <w:color w:val="auto"/>
        </w:rPr>
      </w:pPr>
    </w:p>
    <w:p>
      <w:pPr>
        <w:ind w:left="1480" w:hanging="1474"/>
        <w:spacing w:after="0"/>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1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07" w:right="31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Larimar Therapeutics, Inc.</w:t>
      </w:r>
    </w:p>
    <w:p>
      <w:pPr>
        <w:spacing w:after="0" w:line="301"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11,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Carole S. Ben-Maimon, M.D.</w:t>
      </w:r>
    </w:p>
    <w:p>
      <w:pPr>
        <w:spacing w:after="0" w:line="13"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Name: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-113030</wp:posOffset>
            </wp:positionV>
            <wp:extent cx="32816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252730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123" w:right="819" w:bottom="1440" w:gutter="0" w:footer="0" w:header="0"/>
        </w:sectPr>
      </w:pPr>
    </w:p>
    <w:bookmarkStart w:id="3" w:name="page4"/>
    <w:bookmarkEnd w:id="3"/>
    <w:p>
      <w:pPr>
        <w:ind w:left="918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97790</wp:posOffset>
            </wp:positionV>
            <wp:extent cx="120904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line="282" w:lineRule="auto"/>
        <w:rPr>
          <w:sz w:val="20"/>
          <w:szCs w:val="20"/>
          <w:color w:val="auto"/>
        </w:rPr>
      </w:pPr>
      <w:r>
        <w:rPr>
          <w:rFonts w:ascii="Arial" w:cs="Arial" w:eastAsia="Arial" w:hAnsi="Arial"/>
          <w:sz w:val="19"/>
          <w:szCs w:val="19"/>
          <w:b w:val="1"/>
          <w:bCs w:val="1"/>
          <w:color w:val="auto"/>
        </w:rPr>
        <w:t>Larimar Therapeutics Provides Updates on CTI-1601 Clinical Program Following a Type C Meeting with the U.S. Food and Drug Administration and Reports Second Quarter 2022 Operating and Financial Results</w:t>
      </w:r>
    </w:p>
    <w:p>
      <w:pPr>
        <w:spacing w:after="0" w:line="110" w:lineRule="exact"/>
        <w:rPr>
          <w:sz w:val="20"/>
          <w:szCs w:val="20"/>
          <w:color w:val="auto"/>
        </w:rPr>
      </w:pPr>
    </w:p>
    <w:p>
      <w:pPr>
        <w:ind w:left="1120" w:hanging="375"/>
        <w:spacing w:after="0"/>
        <w:tabs>
          <w:tab w:leader="none" w:pos="11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Larimar plans to submit a complete response to CTI-1601’s clinical hold in the third quarter of 2022</w:t>
      </w:r>
    </w:p>
    <w:p>
      <w:pPr>
        <w:spacing w:after="0" w:line="182" w:lineRule="exact"/>
        <w:rPr>
          <w:rFonts w:ascii="Arial" w:cs="Arial" w:eastAsia="Arial" w:hAnsi="Arial"/>
          <w:sz w:val="17"/>
          <w:szCs w:val="17"/>
          <w:i w:val="1"/>
          <w:iCs w:val="1"/>
          <w:color w:val="auto"/>
        </w:rPr>
      </w:pPr>
    </w:p>
    <w:p>
      <w:pPr>
        <w:ind w:left="1120" w:right="120" w:hanging="375"/>
        <w:spacing w:after="0" w:line="285" w:lineRule="auto"/>
        <w:tabs>
          <w:tab w:leader="none" w:pos="11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In conjunction with the complete response, Larimar is proposing a Phase 2, four-week dose exploration study in Friedreich’s ataxia (FA) patients as CTI-1601’s next clinical trial</w:t>
      </w:r>
    </w:p>
    <w:p>
      <w:pPr>
        <w:spacing w:after="0" w:line="115" w:lineRule="exact"/>
        <w:rPr>
          <w:rFonts w:ascii="Arial" w:cs="Arial" w:eastAsia="Arial" w:hAnsi="Arial"/>
          <w:sz w:val="17"/>
          <w:szCs w:val="17"/>
          <w:i w:val="1"/>
          <w:iCs w:val="1"/>
          <w:color w:val="auto"/>
        </w:rPr>
      </w:pPr>
    </w:p>
    <w:p>
      <w:pPr>
        <w:ind w:left="1120" w:right="160" w:hanging="375"/>
        <w:spacing w:after="0" w:line="285" w:lineRule="auto"/>
        <w:tabs>
          <w:tab w:leader="none" w:pos="11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Cash and marketable debt securities at June 30, 2022 of $54.9 million provides projected cash runway through the third quarter of 2023</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Bala Cynwyd, PA, </w:t>
      </w:r>
      <w:r>
        <w:rPr>
          <w:rFonts w:ascii="Arial" w:cs="Arial" w:eastAsia="Arial" w:hAnsi="Arial"/>
          <w:sz w:val="17"/>
          <w:szCs w:val="17"/>
          <w:color w:val="auto"/>
        </w:rPr>
        <w:t>August 11, 2022 – Larimar Therapeutics, Inc. (“Larimar”) (Nasdaq: LRMR), a clinical-stage biotechnology company focused on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treatments for complex rare diseases, today announced that it has received meeting minutes from the U.S. Food and Drug Administration (FDA) following a recent Type C Meeting with the Agency and reported its second quarter 2022 operating and financial results.</w:t>
      </w:r>
    </w:p>
    <w:p>
      <w:pPr>
        <w:spacing w:after="0" w:line="148" w:lineRule="exact"/>
        <w:rPr>
          <w:sz w:val="20"/>
          <w:szCs w:val="20"/>
          <w:color w:val="auto"/>
        </w:rPr>
      </w:pPr>
    </w:p>
    <w:p>
      <w:pPr>
        <w:jc w:val="both"/>
        <w:ind w:right="180"/>
        <w:spacing w:after="0" w:line="255" w:lineRule="auto"/>
        <w:rPr>
          <w:sz w:val="20"/>
          <w:szCs w:val="20"/>
          <w:color w:val="auto"/>
        </w:rPr>
      </w:pPr>
      <w:r>
        <w:rPr>
          <w:rFonts w:ascii="Arial" w:cs="Arial" w:eastAsia="Arial" w:hAnsi="Arial"/>
          <w:sz w:val="17"/>
          <w:szCs w:val="17"/>
          <w:color w:val="auto"/>
        </w:rPr>
        <w:t>The purpose of the Type C Meeting was to obtain FDA feedback on the information needed to resolve CTI-1601's current clinical hold in full or in part, as well as to discuss a proposed change in CTI-1601’s clinical development plan to introduce a Phase 2 dose exploration study to precede initiation of an open label extension study.</w:t>
      </w:r>
    </w:p>
    <w:p>
      <w:pPr>
        <w:spacing w:after="0" w:line="157"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Company plans to submit a complete response to the CTI-1601 clinical hold in the third quarter of 2022. In conjunction with the complete response, Larimar is proposing as CTI-1601’s next clinical trial a Phase 2, four-week dose exploration study in FA patients starting at the lower dose levels tested in the Company’s Phase 1 multiple-ascending dose clinical trial. This study will provide data on extended dosing of lower doses of CTI-1601, including additional data on safety and tolerability as well as whether lower doses for longer periods of time can increase frataxin levels while maintaining acceptable exposures.</w:t>
      </w:r>
    </w:p>
    <w:p>
      <w:pPr>
        <w:spacing w:after="0" w:line="177"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Carole Ben-Maimon, MD, President and Chief Executive Officer of Larimar, commented, “We would like to thank the FDA for a productive Type C Meeting, which informed the preparation and planned submission of a complete response that we believe will enable CTI-1601’s return to the clinic. We look forward to receiving FDA feedback on the complete response and our proposed Phase 2 dose exploration study. The proposed study has been designed to provide additional information on CTI-1601’s safety profile as well as pharmacokinetic and pharmacodynamic profiles, which we believe will allow us to select appropriate doses for future long-term dosing. It will also enable us to build on our prior Phase 1 results, which provided clinical proof-of-concept for CTI-1601 by demonstrating its ability to increase frataxin levels in peripheral tissues. Given FA’s root cause is the inability of patients to produce sufficient amounts of frataxin, we believe these data highlight CTI-1601’s potential to address the urgent need for disease-modifying treatments that go beyond just symptom management.”</w:t>
      </w:r>
    </w:p>
    <w:p>
      <w:pPr>
        <w:spacing w:after="0" w:line="16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CTI-1601 program was placed on clinical hold by the FDA in May 2021 following the Company’s notification to the Agency of mortalities which occurred at the highest dose levels in a 26-week non-human primate (NHP) toxicology study that was designed to support extended dosing of patients with CTI-1601. At the time of the notice, Larimar had no interventional clinical trials with patients enrolled or enrolling.</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Data from Phase 1 single- and multiple-ascending dose (MAD) clinical trials indicated that repeated subcutaneous injections of CTI-1601 were generally well tolerated at doses up to 100 mg administered daily for up to 13 days. No serious adverse events, important medical events, or treatment-related severe adverse events were reported in the trials and the number and severity of adverse events did not increase with increasing exposure to CTI-1601. The most common adverse events were mild and moderate injection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jc w:val="both"/>
        <w:ind w:right="260"/>
        <w:spacing w:after="0" w:line="252" w:lineRule="auto"/>
        <w:rPr>
          <w:sz w:val="20"/>
          <w:szCs w:val="20"/>
          <w:color w:val="auto"/>
        </w:rPr>
      </w:pPr>
      <w:r>
        <w:rPr>
          <w:rFonts w:ascii="Arial" w:cs="Arial" w:eastAsia="Arial" w:hAnsi="Arial"/>
          <w:sz w:val="17"/>
          <w:szCs w:val="17"/>
          <w:color w:val="auto"/>
        </w:rPr>
        <w:t>reactions. Data from cohorts 2 and 3 of the MAD trial also showed that subcutaneous injections of 50 or 100 mg of CTI-1601, administered daily for at least seven days, resulted in frataxin levels in peripheral tissues (buccal cells) that were at or in excess of those that would be expected in phenotypically normal heterozygous carriers. Cohort 1 of the MAD trial, which evaluated a 25 mg dose, explored a daily dosing regimen for only four days.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Quarter 2022 Financial Results</w:t>
      </w:r>
    </w:p>
    <w:p>
      <w:pPr>
        <w:spacing w:after="0" w:line="205"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As of June 30, 2022, the Company had cash and marketable debt securities totaling $54.9 million which provides projected cash runway through the third quarter of 2023.</w:t>
      </w:r>
    </w:p>
    <w:p>
      <w:pPr>
        <w:spacing w:after="0" w:line="68" w:lineRule="exact"/>
        <w:rPr>
          <w:sz w:val="20"/>
          <w:szCs w:val="20"/>
          <w:color w:val="auto"/>
        </w:rPr>
      </w:pPr>
    </w:p>
    <w:p>
      <w:pPr>
        <w:ind w:right="380"/>
        <w:spacing w:after="0" w:line="248" w:lineRule="auto"/>
        <w:rPr>
          <w:sz w:val="20"/>
          <w:szCs w:val="20"/>
          <w:color w:val="auto"/>
        </w:rPr>
      </w:pPr>
      <w:r>
        <w:rPr>
          <w:rFonts w:ascii="Arial" w:cs="Arial" w:eastAsia="Arial" w:hAnsi="Arial"/>
          <w:sz w:val="17"/>
          <w:szCs w:val="17"/>
          <w:color w:val="auto"/>
        </w:rPr>
        <w:t>The Company reported a net loss for the second quarter of 2022 of $8.7 million, or $0.47 per share, compared to a net loss of $12.6 million, or $0.79 per share, for the second quarter of 2021.</w:t>
      </w:r>
    </w:p>
    <w:p>
      <w:pPr>
        <w:spacing w:after="0" w:line="8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Research and development expenses for the second quarter of 2022 were $ 5.6 million compared to $9.1 million for the second quarter of 2021. The decrease in research and development expenses compared to the prior year period was primarily driven by a decrease in nonclinical costs of $2.5 million and a decrease of $1.1 million in clinical trial costs partially offset by an increase of $0.2 million in stock-based compensation expense associated with stock option grants made in 2021 and 2022.</w:t>
      </w:r>
    </w:p>
    <w:p>
      <w:pPr>
        <w:spacing w:after="0" w:line="78" w:lineRule="exact"/>
        <w:rPr>
          <w:sz w:val="20"/>
          <w:szCs w:val="20"/>
          <w:color w:val="auto"/>
        </w:rPr>
      </w:pPr>
    </w:p>
    <w:p>
      <w:pPr>
        <w:jc w:val="both"/>
        <w:ind w:right="240"/>
        <w:spacing w:after="0" w:line="247" w:lineRule="auto"/>
        <w:rPr>
          <w:sz w:val="20"/>
          <w:szCs w:val="20"/>
          <w:color w:val="auto"/>
        </w:rPr>
      </w:pPr>
      <w:r>
        <w:rPr>
          <w:rFonts w:ascii="Arial" w:cs="Arial" w:eastAsia="Arial" w:hAnsi="Arial"/>
          <w:sz w:val="17"/>
          <w:szCs w:val="17"/>
          <w:color w:val="auto"/>
        </w:rPr>
        <w:t>General and administrative expenses for the second quarter of 2022 were $3.0 million compared to $3.4 million for the second quarter of 2021. The decrease in general and administrative expenses compared to the prior year period was primarily driven by a decrease in professional fees associated with legal and accounting services of $0.5 million partially offset by an increase of $0.1 million in stock-based compensation expense associated with stock option grants made in 2021 and 2022.</w:t>
      </w:r>
    </w:p>
    <w:p>
      <w:pPr>
        <w:spacing w:after="0" w:line="8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Company reported a net loss for the first half of 2022 of $17.6 million, or $0.96 per share, compared to a net loss of $24.7 million, or $1.54 per share, for the first half of 2021.</w:t>
      </w:r>
    </w:p>
    <w:p>
      <w:pPr>
        <w:spacing w:after="0" w:line="6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Research and development expenses for the first half of 2022 were $11.5 million compared to $18.1 million for the first half of 2021. The decrease in research and development expenses compared to the prior year period was primarily driven by a decrease of $3.0 million in clinical trial costs, a decrease in clinical supply manufacturing costs of $2.3 million, and a decrease in nonclinical costs of $2.3 million partially offset by an increase of $0.4 million in personnel related costs due to annual compensation increases and an increase of $0.4 million in stock-based compensation expense associated with stock option grants made in 2021 and 2022.</w:t>
      </w:r>
    </w:p>
    <w:p>
      <w:pPr>
        <w:spacing w:after="0" w:line="8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General and administrative expenses for the first half of 2022 were $6.1 million compared to $6.6 million for the first half of 2021. The decrease in general and administrative expenses compared to the prior year period was primarily driven by a decrease in professional fees associated with legal and accounting services of $0.6 million, a decrease in operational expenses of $0.3 million and partially offset by an increase of $0.4 million in stock-based compensation expense associated with stock option grants made in 2021 and 2022.</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CTI-1601</w:t>
      </w:r>
    </w:p>
    <w:p>
      <w:pPr>
        <w:spacing w:after="0" w:line="2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CTI-1601 is a recombinant fusion protein intended to deliver human frataxin to the mitochondria of patients with Friedreich’s ataxia who are unable to produce enough of this essential protein. CTI-1601 has been granted Rare Pediatric Disease designation, Fast Track designation and Orphan Drug designation by the U.S. Food and Drug Administration (FDA), Orphan Drug Designation by the European Commission, and a PRIME designation by the European Medicines Agency.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Larimar Therapeutics</w:t>
      </w:r>
    </w:p>
    <w:p>
      <w:pPr>
        <w:spacing w:after="0" w:line="2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8"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This press release contains forward-looking statements that are based on Larimar’s management’s beliefs and assumptions and on information currently available to management. All statements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32385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5" w:name="page6"/>
    <w:bookmarkEnd w:id="5"/>
    <w:p>
      <w:pPr>
        <w:ind w:right="160"/>
        <w:spacing w:after="0" w:line="247" w:lineRule="auto"/>
        <w:rPr>
          <w:sz w:val="20"/>
          <w:szCs w:val="20"/>
          <w:color w:val="auto"/>
        </w:rPr>
      </w:pPr>
      <w:r>
        <w:rPr>
          <w:rFonts w:ascii="Arial" w:cs="Arial" w:eastAsia="Arial" w:hAnsi="Arial"/>
          <w:sz w:val="17"/>
          <w:szCs w:val="17"/>
          <w:color w:val="auto"/>
        </w:rPr>
        <w:t>other than statements of historical fact are forward-looking statements, including but not limited to Larimar’s expectations regarding its ability to resolve the clinical hold imposed by the FDA related to CTI-1601, Larimar’s ability to develop and commercialize CTI-1601 and other planned product candidates, Larimar’s planned research and development efforts, including the timing of its CTI-1601 clinical development plan and other matters regarding Larimar’s business strategies, use of capital, results of operations and financial position, and plans and objectives for future operations.</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CTI-1601, FDA’s acceptance of our proposed four-week dose exploration study and any modifications thereto, and any requests for additional toxicology studies, the timing and outcome of Larimar’s planned interactions with the FDA concerning the clinical hold on CTI-1601, the success, cost and timing of Larimar’s product development activities, nonclinical studies and clinical trials, including CTI-1601 clinical milestones; that preliminary clinical trial results may differ from final clinical trial results, that earlier non-clinical and clinical data and testing of CTI-1601 may not be predictive of the results or success of later clinical trials, and assessments; the ongoing impact of the COVID-19 pandemic on Larimar’s future clinical trials, manufacturing, regulatory, nonclinical study timelines and operations, and the potential impact of the Russian invasion of Ukraine on Larimar’s ability to raise additional capital and general economic conditions; Larimar’s ability and the ability of third-party manufacturers Larimar engages, to optimize and scale CTI-1601’s manufacturing process; Larimar’s ability to obtain regulatory approvals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80" w:type="dxa"/>
            <w:vAlign w:val="bottom"/>
          </w:tcPr>
          <w:p>
            <w:pPr>
              <w:spacing w:after="0"/>
              <w:rPr>
                <w:sz w:val="20"/>
                <w:szCs w:val="20"/>
                <w:color w:val="auto"/>
              </w:rPr>
            </w:pPr>
            <w:r>
              <w:rPr>
                <w:rFonts w:ascii="Arial" w:cs="Arial" w:eastAsia="Arial" w:hAnsi="Arial"/>
                <w:sz w:val="17"/>
                <w:szCs w:val="17"/>
                <w:b w:val="1"/>
                <w:bCs w:val="1"/>
                <w:color w:val="auto"/>
              </w:rPr>
              <w:t>Investor Contact:</w:t>
            </w:r>
          </w:p>
        </w:tc>
        <w:tc>
          <w:tcPr>
            <w:tcW w:w="8280" w:type="dxa"/>
            <w:vAlign w:val="bottom"/>
          </w:tcPr>
          <w:p>
            <w:pPr>
              <w:ind w:left="860"/>
              <w:spacing w:after="0"/>
              <w:rPr>
                <w:sz w:val="20"/>
                <w:szCs w:val="20"/>
                <w:color w:val="auto"/>
              </w:rPr>
            </w:pPr>
            <w:r>
              <w:rPr>
                <w:rFonts w:ascii="Arial" w:cs="Arial" w:eastAsia="Arial" w:hAnsi="Arial"/>
                <w:sz w:val="17"/>
                <w:szCs w:val="17"/>
                <w:b w:val="1"/>
                <w:bCs w:val="1"/>
                <w:color w:val="auto"/>
              </w:rPr>
              <w:t>Company Contact:</w:t>
            </w:r>
          </w:p>
        </w:tc>
      </w:tr>
      <w:tr>
        <w:trPr>
          <w:trHeight w:val="201"/>
        </w:trPr>
        <w:tc>
          <w:tcPr>
            <w:tcW w:w="2980" w:type="dxa"/>
            <w:vAlign w:val="bottom"/>
          </w:tcPr>
          <w:p>
            <w:pPr>
              <w:spacing w:after="0"/>
              <w:rPr>
                <w:sz w:val="20"/>
                <w:szCs w:val="20"/>
                <w:color w:val="auto"/>
              </w:rPr>
            </w:pPr>
            <w:r>
              <w:rPr>
                <w:rFonts w:ascii="Arial" w:cs="Arial" w:eastAsia="Arial" w:hAnsi="Arial"/>
                <w:sz w:val="17"/>
                <w:szCs w:val="17"/>
                <w:color w:val="auto"/>
              </w:rPr>
              <w:t>Joyce Allaire</w:t>
            </w:r>
          </w:p>
        </w:tc>
        <w:tc>
          <w:tcPr>
            <w:tcW w:w="8280" w:type="dxa"/>
            <w:vAlign w:val="bottom"/>
          </w:tcPr>
          <w:p>
            <w:pPr>
              <w:ind w:left="860"/>
              <w:spacing w:after="0"/>
              <w:rPr>
                <w:sz w:val="20"/>
                <w:szCs w:val="20"/>
                <w:color w:val="auto"/>
              </w:rPr>
            </w:pPr>
            <w:r>
              <w:rPr>
                <w:rFonts w:ascii="Arial" w:cs="Arial" w:eastAsia="Arial" w:hAnsi="Arial"/>
                <w:sz w:val="17"/>
                <w:szCs w:val="17"/>
                <w:color w:val="auto"/>
              </w:rPr>
              <w:t>Michael Celano</w:t>
            </w: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7"/>
                <w:szCs w:val="17"/>
                <w:color w:val="auto"/>
              </w:rPr>
              <w:t>LifeSci Advisors</w:t>
            </w:r>
          </w:p>
        </w:tc>
        <w:tc>
          <w:tcPr>
            <w:tcW w:w="8280" w:type="dxa"/>
            <w:vAlign w:val="bottom"/>
          </w:tcPr>
          <w:p>
            <w:pPr>
              <w:ind w:left="860"/>
              <w:spacing w:after="0" w:line="189" w:lineRule="exact"/>
              <w:rPr>
                <w:sz w:val="20"/>
                <w:szCs w:val="20"/>
                <w:color w:val="auto"/>
              </w:rPr>
            </w:pPr>
            <w:r>
              <w:rPr>
                <w:rFonts w:ascii="Arial" w:cs="Arial" w:eastAsia="Arial" w:hAnsi="Arial"/>
                <w:sz w:val="17"/>
                <w:szCs w:val="17"/>
                <w:color w:val="auto"/>
              </w:rPr>
              <w:t>Chief Financial Officer</w:t>
            </w:r>
          </w:p>
        </w:tc>
      </w:tr>
      <w:tr>
        <w:trPr>
          <w:trHeight w:val="201"/>
        </w:trPr>
        <w:tc>
          <w:tcPr>
            <w:tcW w:w="2980" w:type="dxa"/>
            <w:vAlign w:val="bottom"/>
          </w:tcPr>
          <w:p>
            <w:pPr>
              <w:spacing w:after="0"/>
              <w:rPr>
                <w:sz w:val="20"/>
                <w:szCs w:val="20"/>
                <w:color w:val="auto"/>
              </w:rPr>
            </w:pPr>
            <w:r>
              <w:rPr>
                <w:rFonts w:ascii="Arial" w:cs="Arial" w:eastAsia="Arial" w:hAnsi="Arial"/>
                <w:sz w:val="17"/>
                <w:szCs w:val="17"/>
                <w:color w:val="auto"/>
              </w:rPr>
              <w:t>jallaire@lifesciadvisors.com</w:t>
            </w:r>
          </w:p>
        </w:tc>
        <w:tc>
          <w:tcPr>
            <w:tcW w:w="8280" w:type="dxa"/>
            <w:vAlign w:val="bottom"/>
          </w:tcPr>
          <w:p>
            <w:pPr>
              <w:ind w:left="1260"/>
              <w:spacing w:after="0"/>
              <w:rPr>
                <w:sz w:val="20"/>
                <w:szCs w:val="20"/>
                <w:color w:val="auto"/>
              </w:rPr>
            </w:pPr>
            <w:r>
              <w:rPr>
                <w:rFonts w:ascii="Arial" w:cs="Arial" w:eastAsia="Arial" w:hAnsi="Arial"/>
                <w:sz w:val="17"/>
                <w:szCs w:val="17"/>
                <w:color w:val="auto"/>
              </w:rPr>
              <w:t>mcelano@larimartx.com</w:t>
            </w:r>
          </w:p>
        </w:tc>
      </w:tr>
      <w:tr>
        <w:trPr>
          <w:trHeight w:val="209"/>
        </w:trPr>
        <w:tc>
          <w:tcPr>
            <w:tcW w:w="2980" w:type="dxa"/>
            <w:vAlign w:val="bottom"/>
          </w:tcPr>
          <w:p>
            <w:pPr>
              <w:spacing w:after="0"/>
              <w:rPr>
                <w:sz w:val="20"/>
                <w:szCs w:val="20"/>
                <w:color w:val="auto"/>
              </w:rPr>
            </w:pPr>
            <w:r>
              <w:rPr>
                <w:rFonts w:ascii="Arial" w:cs="Arial" w:eastAsia="Arial" w:hAnsi="Arial"/>
                <w:sz w:val="17"/>
                <w:szCs w:val="17"/>
                <w:color w:val="auto"/>
              </w:rPr>
              <w:t>(212) 915-2569</w:t>
            </w:r>
          </w:p>
        </w:tc>
        <w:tc>
          <w:tcPr>
            <w:tcW w:w="8280" w:type="dxa"/>
            <w:vAlign w:val="bottom"/>
          </w:tcPr>
          <w:p>
            <w:pPr>
              <w:ind w:left="860"/>
              <w:spacing w:after="0"/>
              <w:rPr>
                <w:sz w:val="20"/>
                <w:szCs w:val="20"/>
                <w:color w:val="auto"/>
              </w:rPr>
            </w:pPr>
            <w:r>
              <w:rPr>
                <w:rFonts w:ascii="Arial" w:cs="Arial" w:eastAsia="Arial" w:hAnsi="Arial"/>
                <w:sz w:val="17"/>
                <w:szCs w:val="17"/>
                <w:color w:val="auto"/>
              </w:rPr>
              <w:t>(484) 414-2715</w:t>
            </w:r>
          </w:p>
        </w:tc>
      </w:tr>
      <w:tr>
        <w:trPr>
          <w:trHeight w:val="460"/>
        </w:trPr>
        <w:tc>
          <w:tcPr>
            <w:tcW w:w="298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5" w:right="319" w:bottom="1440" w:gutter="0" w:footer="0" w:header="0"/>
        </w:sectPr>
      </w:pPr>
    </w:p>
    <w:bookmarkStart w:id="6" w:name="page7"/>
    <w:bookmarkEnd w:id="6"/>
    <w:p>
      <w:pPr>
        <w:jc w:val="center"/>
        <w:ind w:right="580"/>
        <w:spacing w:after="0"/>
        <w:rPr>
          <w:sz w:val="20"/>
          <w:szCs w:val="20"/>
          <w:color w:val="auto"/>
        </w:rPr>
      </w:pPr>
      <w:r>
        <w:rPr>
          <w:rFonts w:ascii="Arial" w:cs="Arial" w:eastAsia="Arial" w:hAnsi="Arial"/>
          <w:sz w:val="19"/>
          <w:szCs w:val="19"/>
          <w:b w:val="1"/>
          <w:bCs w:val="1"/>
          <w:color w:val="auto"/>
        </w:rPr>
        <w:t>Larimar Therapeutics, Inc.</w:t>
      </w:r>
    </w:p>
    <w:p>
      <w:pPr>
        <w:spacing w:after="0" w:line="31"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Condensed Consolidated Balance Sheet</w:t>
      </w:r>
    </w:p>
    <w:p>
      <w:pPr>
        <w:spacing w:after="0" w:line="1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jc w:val="right"/>
              <w:ind w:right="622"/>
              <w:spacing w:after="0"/>
              <w:rPr>
                <w:sz w:val="20"/>
                <w:szCs w:val="20"/>
                <w:color w:val="auto"/>
              </w:rPr>
            </w:pPr>
            <w:r>
              <w:rPr>
                <w:rFonts w:ascii="Arial" w:cs="Arial" w:eastAsia="Arial" w:hAnsi="Arial"/>
                <w:sz w:val="13"/>
                <w:szCs w:val="13"/>
                <w:b w:val="1"/>
                <w:bCs w:val="1"/>
                <w:color w:val="auto"/>
                <w:w w:val="84"/>
              </w:rPr>
              <w:t>June 30,</w:t>
            </w:r>
          </w:p>
        </w:tc>
        <w:tc>
          <w:tcPr>
            <w:tcW w:w="220" w:type="dxa"/>
            <w:vAlign w:val="bottom"/>
          </w:tcPr>
          <w:p>
            <w:pPr>
              <w:spacing w:after="0"/>
              <w:rPr>
                <w:sz w:val="14"/>
                <w:szCs w:val="14"/>
                <w:color w:val="auto"/>
              </w:rPr>
            </w:pPr>
          </w:p>
        </w:tc>
        <w:tc>
          <w:tcPr>
            <w:tcW w:w="1860" w:type="dxa"/>
            <w:vAlign w:val="bottom"/>
            <w:gridSpan w:val="2"/>
          </w:tcPr>
          <w:p>
            <w:pPr>
              <w:jc w:val="right"/>
              <w:ind w:right="482"/>
              <w:spacing w:after="0"/>
              <w:rPr>
                <w:sz w:val="20"/>
                <w:szCs w:val="20"/>
                <w:color w:val="auto"/>
              </w:rPr>
            </w:pPr>
            <w:r>
              <w:rPr>
                <w:rFonts w:ascii="Arial" w:cs="Arial" w:eastAsia="Arial" w:hAnsi="Arial"/>
                <w:sz w:val="13"/>
                <w:szCs w:val="13"/>
                <w:b w:val="1"/>
                <w:bCs w:val="1"/>
                <w:color w:val="auto"/>
              </w:rPr>
              <w:t>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22"/>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22"/>
              <w:spacing w:after="0"/>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740" w:type="dxa"/>
            <w:vAlign w:val="bottom"/>
            <w:shd w:val="clear" w:color="auto" w:fill="CFF0FC"/>
          </w:tcPr>
          <w:p>
            <w:pPr>
              <w:ind w:left="80"/>
              <w:spacing w:after="0"/>
              <w:rPr>
                <w:sz w:val="20"/>
                <w:szCs w:val="20"/>
                <w:color w:val="auto"/>
              </w:rPr>
            </w:pPr>
            <w:r>
              <w:rPr>
                <w:rFonts w:ascii="Arial" w:cs="Arial" w:eastAsia="Arial" w:hAnsi="Arial"/>
                <w:sz w:val="16"/>
                <w:szCs w:val="16"/>
                <w:b w:val="1"/>
                <w:bCs w:val="1"/>
                <w:color w:val="auto"/>
              </w:rPr>
              <w:t>Assets</w:t>
            </w:r>
          </w:p>
        </w:tc>
        <w:tc>
          <w:tcPr>
            <w:tcW w:w="7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40" w:type="dxa"/>
            <w:vAlign w:val="bottom"/>
          </w:tcPr>
          <w:p>
            <w:pPr>
              <w:ind w:left="80"/>
              <w:spacing w:after="0"/>
              <w:rPr>
                <w:sz w:val="20"/>
                <w:szCs w:val="20"/>
                <w:color w:val="auto"/>
              </w:rPr>
            </w:pPr>
            <w:r>
              <w:rPr>
                <w:rFonts w:ascii="Arial" w:cs="Arial" w:eastAsia="Arial" w:hAnsi="Arial"/>
                <w:sz w:val="16"/>
                <w:szCs w:val="16"/>
                <w:color w:val="auto"/>
              </w:rPr>
              <w:t>Current assets:</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Cash and cash equivalents</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19,736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70,097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tcPr>
          <w:p>
            <w:pPr>
              <w:ind w:left="400"/>
              <w:spacing w:after="0"/>
              <w:rPr>
                <w:sz w:val="20"/>
                <w:szCs w:val="20"/>
                <w:color w:val="auto"/>
              </w:rPr>
            </w:pPr>
            <w:r>
              <w:rPr>
                <w:rFonts w:ascii="Arial" w:cs="Arial" w:eastAsia="Arial" w:hAnsi="Arial"/>
                <w:sz w:val="16"/>
                <w:szCs w:val="16"/>
                <w:color w:val="auto"/>
              </w:rPr>
              <w:t>Marketable debt securities</w:t>
            </w:r>
          </w:p>
        </w:tc>
        <w:tc>
          <w:tcPr>
            <w:tcW w:w="70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35,188</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6"/>
                <w:szCs w:val="16"/>
                <w:color w:val="auto"/>
              </w:rPr>
              <w:t>Prepaid expenses and other current assets</w:t>
            </w:r>
          </w:p>
        </w:tc>
        <w:tc>
          <w:tcPr>
            <w:tcW w:w="7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1,820</w:t>
            </w:r>
          </w:p>
        </w:tc>
        <w:tc>
          <w:tcPr>
            <w:tcW w:w="2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2,107</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7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56,744</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72,204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Property and equipment, net</w:t>
            </w:r>
          </w:p>
        </w:tc>
        <w:tc>
          <w:tcPr>
            <w:tcW w:w="7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986</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1,049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tcPr>
          <w:p>
            <w:pPr>
              <w:ind w:left="80"/>
              <w:spacing w:after="0"/>
              <w:rPr>
                <w:sz w:val="20"/>
                <w:szCs w:val="20"/>
                <w:color w:val="auto"/>
              </w:rPr>
            </w:pPr>
            <w:r>
              <w:rPr>
                <w:rFonts w:ascii="Arial" w:cs="Arial" w:eastAsia="Arial" w:hAnsi="Arial"/>
                <w:sz w:val="16"/>
                <w:szCs w:val="16"/>
                <w:color w:val="auto"/>
              </w:rPr>
              <w:t>Operating lease right-of-use assets</w:t>
            </w:r>
          </w:p>
        </w:tc>
        <w:tc>
          <w:tcPr>
            <w:tcW w:w="70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3,134</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3,406</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Restricted cash</w:t>
            </w:r>
          </w:p>
        </w:tc>
        <w:tc>
          <w:tcPr>
            <w:tcW w:w="7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1,339</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1,339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tcBorders>
              <w:bottom w:val="single" w:sz="8" w:color="CFF0FC"/>
            </w:tcBorders>
          </w:tcPr>
          <w:p>
            <w:pPr>
              <w:ind w:left="80"/>
              <w:spacing w:after="0"/>
              <w:rPr>
                <w:sz w:val="20"/>
                <w:szCs w:val="20"/>
                <w:color w:val="auto"/>
              </w:rPr>
            </w:pPr>
            <w:r>
              <w:rPr>
                <w:rFonts w:ascii="Arial" w:cs="Arial" w:eastAsia="Arial" w:hAnsi="Arial"/>
                <w:sz w:val="16"/>
                <w:szCs w:val="16"/>
                <w:color w:val="auto"/>
              </w:rPr>
              <w:t>Other assets</w:t>
            </w: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649</w:t>
            </w:r>
          </w:p>
        </w:tc>
        <w:tc>
          <w:tcPr>
            <w:tcW w:w="2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669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FF0FC"/>
            </w:tcBorders>
            <w:shd w:val="clear" w:color="auto" w:fill="CFF0FC"/>
          </w:tcPr>
          <w:p>
            <w:pPr>
              <w:ind w:left="400"/>
              <w:spacing w:after="0" w:line="181" w:lineRule="exact"/>
              <w:rPr>
                <w:sz w:val="20"/>
                <w:szCs w:val="20"/>
                <w:color w:val="auto"/>
              </w:rPr>
            </w:pPr>
            <w:r>
              <w:rPr>
                <w:rFonts w:ascii="Arial" w:cs="Arial" w:eastAsia="Arial" w:hAnsi="Arial"/>
                <w:sz w:val="16"/>
                <w:szCs w:val="16"/>
                <w:color w:val="auto"/>
              </w:rPr>
              <w:t>Total assets</w:t>
            </w:r>
          </w:p>
        </w:tc>
        <w:tc>
          <w:tcPr>
            <w:tcW w:w="7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42"/>
              <w:spacing w:after="0" w:line="181" w:lineRule="exact"/>
              <w:rPr>
                <w:sz w:val="20"/>
                <w:szCs w:val="20"/>
                <w:color w:val="auto"/>
              </w:rPr>
            </w:pPr>
            <w:r>
              <w:rPr>
                <w:rFonts w:ascii="Arial" w:cs="Arial" w:eastAsia="Arial" w:hAnsi="Arial"/>
                <w:sz w:val="16"/>
                <w:szCs w:val="16"/>
                <w:color w:val="auto"/>
              </w:rPr>
              <w:t>62,852</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42"/>
              <w:spacing w:after="0" w:line="181" w:lineRule="exact"/>
              <w:rPr>
                <w:sz w:val="20"/>
                <w:szCs w:val="20"/>
                <w:color w:val="auto"/>
              </w:rPr>
            </w:pPr>
            <w:r>
              <w:rPr>
                <w:rFonts w:ascii="Arial" w:cs="Arial" w:eastAsia="Arial" w:hAnsi="Arial"/>
                <w:sz w:val="16"/>
                <w:szCs w:val="16"/>
                <w:color w:val="auto"/>
              </w:rPr>
              <w:t>78,667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740" w:type="dxa"/>
            <w:vAlign w:val="bottom"/>
          </w:tcPr>
          <w:p>
            <w:pPr>
              <w:ind w:left="80"/>
              <w:spacing w:after="0"/>
              <w:rPr>
                <w:sz w:val="20"/>
                <w:szCs w:val="20"/>
                <w:color w:val="auto"/>
              </w:rPr>
            </w:pPr>
            <w:r>
              <w:rPr>
                <w:rFonts w:ascii="Arial" w:cs="Arial" w:eastAsia="Arial" w:hAnsi="Arial"/>
                <w:sz w:val="16"/>
                <w:szCs w:val="16"/>
                <w:b w:val="1"/>
                <w:bCs w:val="1"/>
                <w:color w:val="auto"/>
              </w:rPr>
              <w:t>Liabilities and Stockholders’ Equity</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 liabilities:</w:t>
            </w:r>
          </w:p>
        </w:tc>
        <w:tc>
          <w:tcPr>
            <w:tcW w:w="7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tcPr>
          <w:p>
            <w:pPr>
              <w:ind w:left="400"/>
              <w:spacing w:after="0"/>
              <w:rPr>
                <w:sz w:val="20"/>
                <w:szCs w:val="20"/>
                <w:color w:val="auto"/>
              </w:rPr>
            </w:pPr>
            <w:r>
              <w:rPr>
                <w:rFonts w:ascii="Arial" w:cs="Arial" w:eastAsia="Arial" w:hAnsi="Arial"/>
                <w:sz w:val="16"/>
                <w:szCs w:val="16"/>
                <w:color w:val="auto"/>
              </w:rPr>
              <w:t>Accounts payable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425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1,660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Accrued expenses</w:t>
            </w:r>
          </w:p>
        </w:tc>
        <w:tc>
          <w:tcPr>
            <w:tcW w:w="7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6,656</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6,592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400"/>
              <w:spacing w:after="0"/>
              <w:rPr>
                <w:sz w:val="20"/>
                <w:szCs w:val="20"/>
                <w:color w:val="auto"/>
              </w:rPr>
            </w:pPr>
            <w:r>
              <w:rPr>
                <w:rFonts w:ascii="Arial" w:cs="Arial" w:eastAsia="Arial" w:hAnsi="Arial"/>
                <w:sz w:val="16"/>
                <w:szCs w:val="16"/>
                <w:color w:val="auto"/>
              </w:rPr>
              <w:t>Operating lease liabilities, current</w:t>
            </w:r>
          </w:p>
        </w:tc>
        <w:tc>
          <w:tcPr>
            <w:tcW w:w="7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638</w:t>
            </w:r>
          </w:p>
        </w:tc>
        <w:tc>
          <w:tcPr>
            <w:tcW w:w="2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594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7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Total current liabilities</w:t>
            </w:r>
          </w:p>
        </w:tc>
        <w:tc>
          <w:tcPr>
            <w:tcW w:w="7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7,719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8,846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40" w:type="dxa"/>
            <w:vAlign w:val="bottom"/>
            <w:tcBorders>
              <w:bottom w:val="single" w:sz="8" w:color="CFF0FC"/>
            </w:tcBorders>
          </w:tcPr>
          <w:p>
            <w:pPr>
              <w:ind w:left="400"/>
              <w:spacing w:after="0"/>
              <w:rPr>
                <w:sz w:val="20"/>
                <w:szCs w:val="20"/>
                <w:color w:val="auto"/>
              </w:rPr>
            </w:pPr>
            <w:r>
              <w:rPr>
                <w:rFonts w:ascii="Arial" w:cs="Arial" w:eastAsia="Arial" w:hAnsi="Arial"/>
                <w:sz w:val="16"/>
                <w:szCs w:val="16"/>
                <w:color w:val="auto"/>
              </w:rPr>
              <w:t>Operating lease liabilities</w:t>
            </w: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5,077</w:t>
            </w:r>
          </w:p>
        </w:tc>
        <w:tc>
          <w:tcPr>
            <w:tcW w:w="2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5,408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40" w:type="dxa"/>
            <w:vAlign w:val="bottom"/>
            <w:tcBorders>
              <w:bottom w:val="single" w:sz="8" w:color="CFF0FC"/>
            </w:tcBorders>
            <w:shd w:val="clear" w:color="auto" w:fill="CFF0FC"/>
          </w:tcPr>
          <w:p>
            <w:pPr>
              <w:ind w:left="720"/>
              <w:spacing w:after="0" w:line="181" w:lineRule="exact"/>
              <w:rPr>
                <w:sz w:val="20"/>
                <w:szCs w:val="20"/>
                <w:color w:val="auto"/>
              </w:rPr>
            </w:pPr>
            <w:r>
              <w:rPr>
                <w:rFonts w:ascii="Arial" w:cs="Arial" w:eastAsia="Arial" w:hAnsi="Arial"/>
                <w:sz w:val="16"/>
                <w:szCs w:val="16"/>
                <w:color w:val="auto"/>
              </w:rPr>
              <w:t>Total liabilities</w:t>
            </w:r>
          </w:p>
        </w:tc>
        <w:tc>
          <w:tcPr>
            <w:tcW w:w="7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2"/>
              <w:spacing w:after="0" w:line="181" w:lineRule="exact"/>
              <w:rPr>
                <w:sz w:val="20"/>
                <w:szCs w:val="20"/>
                <w:color w:val="auto"/>
              </w:rPr>
            </w:pPr>
            <w:r>
              <w:rPr>
                <w:rFonts w:ascii="Arial" w:cs="Arial" w:eastAsia="Arial" w:hAnsi="Arial"/>
                <w:sz w:val="16"/>
                <w:szCs w:val="16"/>
                <w:color w:val="auto"/>
              </w:rPr>
              <w:t>12,796</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2"/>
              <w:spacing w:after="0" w:line="181" w:lineRule="exact"/>
              <w:rPr>
                <w:sz w:val="20"/>
                <w:szCs w:val="20"/>
                <w:color w:val="auto"/>
              </w:rPr>
            </w:pPr>
            <w:r>
              <w:rPr>
                <w:rFonts w:ascii="Arial" w:cs="Arial" w:eastAsia="Arial" w:hAnsi="Arial"/>
                <w:sz w:val="16"/>
                <w:szCs w:val="16"/>
                <w:color w:val="auto"/>
              </w:rPr>
              <w:t>14,254</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80"/>
              <w:spacing w:after="0"/>
              <w:rPr>
                <w:sz w:val="20"/>
                <w:szCs w:val="20"/>
                <w:color w:val="auto"/>
              </w:rPr>
            </w:pPr>
            <w:r>
              <w:rPr>
                <w:rFonts w:ascii="Arial" w:cs="Arial" w:eastAsia="Arial" w:hAnsi="Arial"/>
                <w:sz w:val="16"/>
                <w:szCs w:val="16"/>
                <w:color w:val="auto"/>
              </w:rPr>
              <w:t>Commitments and contingencies (See Note 8)</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Stockholders’ equity:</w:t>
            </w:r>
          </w:p>
        </w:tc>
        <w:tc>
          <w:tcPr>
            <w:tcW w:w="7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740" w:type="dxa"/>
            <w:vAlign w:val="bottom"/>
          </w:tcPr>
          <w:p>
            <w:pPr>
              <w:ind w:left="640"/>
              <w:spacing w:after="0" w:line="153" w:lineRule="exact"/>
              <w:rPr>
                <w:sz w:val="20"/>
                <w:szCs w:val="20"/>
                <w:color w:val="auto"/>
              </w:rPr>
            </w:pPr>
            <w:r>
              <w:rPr>
                <w:rFonts w:ascii="Arial" w:cs="Arial" w:eastAsia="Arial" w:hAnsi="Arial"/>
                <w:sz w:val="16"/>
                <w:szCs w:val="16"/>
                <w:color w:val="auto"/>
                <w:w w:val="97"/>
              </w:rPr>
              <w:t>Preferred stock; $0.001 par value per share; 5,000,000 shares authorized as of June 30,</w:t>
            </w: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740" w:type="dxa"/>
            <w:vAlign w:val="bottom"/>
          </w:tcPr>
          <w:p>
            <w:pPr>
              <w:ind w:left="640"/>
              <w:spacing w:after="0" w:line="165" w:lineRule="exact"/>
              <w:rPr>
                <w:sz w:val="20"/>
                <w:szCs w:val="20"/>
                <w:color w:val="auto"/>
              </w:rPr>
            </w:pPr>
            <w:r>
              <w:rPr>
                <w:rFonts w:ascii="Arial" w:cs="Arial" w:eastAsia="Arial" w:hAnsi="Arial"/>
                <w:sz w:val="16"/>
                <w:szCs w:val="16"/>
                <w:color w:val="auto"/>
                <w:w w:val="95"/>
              </w:rPr>
              <w:t>2022 and December 31, 2021; no shares issued and outstanding as of June 30, 2022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740" w:type="dxa"/>
            <w:vAlign w:val="bottom"/>
          </w:tcPr>
          <w:p>
            <w:pPr>
              <w:ind w:left="640"/>
              <w:spacing w:after="0"/>
              <w:rPr>
                <w:sz w:val="20"/>
                <w:szCs w:val="20"/>
                <w:color w:val="auto"/>
              </w:rPr>
            </w:pPr>
            <w:r>
              <w:rPr>
                <w:rFonts w:ascii="Arial" w:cs="Arial" w:eastAsia="Arial" w:hAnsi="Arial"/>
                <w:sz w:val="16"/>
                <w:szCs w:val="16"/>
                <w:color w:val="auto"/>
              </w:rPr>
              <w:t>December 31, 2021</w:t>
            </w:r>
          </w:p>
        </w:tc>
        <w:tc>
          <w:tcPr>
            <w:tcW w:w="700" w:type="dxa"/>
            <w:vAlign w:val="bottom"/>
          </w:tcPr>
          <w:p>
            <w:pPr>
              <w:spacing w:after="0"/>
              <w:rPr>
                <w:sz w:val="17"/>
                <w:szCs w:val="17"/>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6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6740" w:type="dxa"/>
            <w:vAlign w:val="bottom"/>
            <w:shd w:val="clear" w:color="auto" w:fill="CFF0FC"/>
          </w:tcPr>
          <w:p>
            <w:pPr>
              <w:ind w:left="640"/>
              <w:spacing w:after="0" w:line="154" w:lineRule="exact"/>
              <w:rPr>
                <w:sz w:val="20"/>
                <w:szCs w:val="20"/>
                <w:color w:val="auto"/>
              </w:rPr>
            </w:pPr>
            <w:r>
              <w:rPr>
                <w:rFonts w:ascii="Arial" w:cs="Arial" w:eastAsia="Arial" w:hAnsi="Arial"/>
                <w:sz w:val="16"/>
                <w:szCs w:val="16"/>
                <w:color w:val="auto"/>
              </w:rPr>
              <w:t>Common stock, $0.001 par value per share; 115,000,000 shares</w:t>
            </w:r>
          </w:p>
        </w:tc>
        <w:tc>
          <w:tcPr>
            <w:tcW w:w="7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740" w:type="dxa"/>
            <w:vAlign w:val="bottom"/>
            <w:shd w:val="clear" w:color="auto" w:fill="CFF0FC"/>
          </w:tcPr>
          <w:p>
            <w:pPr>
              <w:ind w:left="640"/>
              <w:spacing w:after="0" w:line="165" w:lineRule="exact"/>
              <w:rPr>
                <w:sz w:val="20"/>
                <w:szCs w:val="20"/>
                <w:color w:val="auto"/>
              </w:rPr>
            </w:pPr>
            <w:r>
              <w:rPr>
                <w:rFonts w:ascii="Arial" w:cs="Arial" w:eastAsia="Arial" w:hAnsi="Arial"/>
                <w:sz w:val="16"/>
                <w:szCs w:val="16"/>
                <w:color w:val="auto"/>
                <w:w w:val="98"/>
              </w:rPr>
              <w:t>authorized as of June 30, 2022 and December 31, 2021; 17,710,450 shares issued and</w:t>
            </w:r>
          </w:p>
        </w:tc>
        <w:tc>
          <w:tcPr>
            <w:tcW w:w="7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740" w:type="dxa"/>
            <w:vAlign w:val="bottom"/>
            <w:shd w:val="clear" w:color="auto" w:fill="CFF0FC"/>
          </w:tcPr>
          <w:p>
            <w:pPr>
              <w:ind w:left="640"/>
              <w:spacing w:after="0"/>
              <w:rPr>
                <w:sz w:val="20"/>
                <w:szCs w:val="20"/>
                <w:color w:val="auto"/>
              </w:rPr>
            </w:pPr>
            <w:r>
              <w:rPr>
                <w:rFonts w:ascii="Arial" w:cs="Arial" w:eastAsia="Arial" w:hAnsi="Arial"/>
                <w:sz w:val="16"/>
                <w:szCs w:val="16"/>
                <w:color w:val="auto"/>
              </w:rPr>
              <w:t>outstanding as of June 30, 2022 and December 31, 2021</w:t>
            </w:r>
          </w:p>
        </w:tc>
        <w:tc>
          <w:tcPr>
            <w:tcW w:w="7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674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740" w:type="dxa"/>
            <w:vAlign w:val="bottom"/>
          </w:tcPr>
          <w:p>
            <w:pPr>
              <w:ind w:left="80"/>
              <w:spacing w:after="0"/>
              <w:rPr>
                <w:sz w:val="20"/>
                <w:szCs w:val="20"/>
                <w:color w:val="auto"/>
              </w:rPr>
            </w:pPr>
            <w:r>
              <w:rPr>
                <w:rFonts w:ascii="Arial" w:cs="Arial" w:eastAsia="Arial" w:hAnsi="Arial"/>
                <w:sz w:val="16"/>
                <w:szCs w:val="16"/>
                <w:color w:val="auto"/>
              </w:rPr>
              <w:t>Additional paid-in capital</w:t>
            </w:r>
          </w:p>
        </w:tc>
        <w:tc>
          <w:tcPr>
            <w:tcW w:w="70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183,955</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180,645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Accumulated deficit</w:t>
            </w:r>
          </w:p>
        </w:tc>
        <w:tc>
          <w:tcPr>
            <w:tcW w:w="7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(133,860)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(116,250)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80"/>
              <w:spacing w:after="0"/>
              <w:rPr>
                <w:sz w:val="20"/>
                <w:szCs w:val="20"/>
                <w:color w:val="auto"/>
              </w:rPr>
            </w:pPr>
            <w:r>
              <w:rPr>
                <w:rFonts w:ascii="Arial" w:cs="Arial" w:eastAsia="Arial" w:hAnsi="Arial"/>
                <w:sz w:val="16"/>
                <w:szCs w:val="16"/>
                <w:color w:val="auto"/>
              </w:rPr>
              <w:t>Accumulated other comprehensive loss</w:t>
            </w:r>
          </w:p>
        </w:tc>
        <w:tc>
          <w:tcPr>
            <w:tcW w:w="7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stockholders’ equity</w:t>
            </w:r>
          </w:p>
        </w:tc>
        <w:tc>
          <w:tcPr>
            <w:tcW w:w="7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50,056</w:t>
            </w:r>
          </w:p>
        </w:tc>
        <w:tc>
          <w:tcPr>
            <w:tcW w:w="220" w:type="dxa"/>
            <w:vAlign w:val="bottom"/>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64,413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740" w:type="dxa"/>
            <w:vAlign w:val="bottom"/>
          </w:tcPr>
          <w:p>
            <w:pPr>
              <w:ind w:left="240"/>
              <w:spacing w:after="0" w:line="181" w:lineRule="exact"/>
              <w:rPr>
                <w:sz w:val="20"/>
                <w:szCs w:val="20"/>
                <w:color w:val="auto"/>
              </w:rPr>
            </w:pPr>
            <w:r>
              <w:rPr>
                <w:rFonts w:ascii="Arial" w:cs="Arial" w:eastAsia="Arial" w:hAnsi="Arial"/>
                <w:sz w:val="16"/>
                <w:szCs w:val="16"/>
                <w:color w:val="auto"/>
              </w:rPr>
              <w:t>Total liabilities and stockholders’ equity</w:t>
            </w:r>
          </w:p>
        </w:tc>
        <w:tc>
          <w:tcPr>
            <w:tcW w:w="7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62,852</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78,667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-3949700</wp:posOffset>
            </wp:positionV>
            <wp:extent cx="1428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-3176270</wp:posOffset>
            </wp:positionV>
            <wp:extent cx="14287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-3161030</wp:posOffset>
            </wp:positionV>
            <wp:extent cx="14287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-3303905</wp:posOffset>
            </wp:positionV>
            <wp:extent cx="14287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-2265045</wp:posOffset>
            </wp:positionV>
            <wp:extent cx="168275" cy="160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8275" cy="160655"/>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594360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ind w:right="240"/>
        <w:spacing w:after="0"/>
        <w:rPr>
          <w:sz w:val="20"/>
          <w:szCs w:val="20"/>
          <w:color w:val="auto"/>
        </w:rPr>
      </w:pPr>
      <w:r>
        <w:rPr>
          <w:rFonts w:ascii="Arial" w:cs="Arial" w:eastAsia="Arial" w:hAnsi="Arial"/>
          <w:sz w:val="19"/>
          <w:szCs w:val="19"/>
          <w:b w:val="1"/>
          <w:bCs w:val="1"/>
          <w:color w:val="auto"/>
        </w:rPr>
        <w:t>Larimar Therapeutics, Inc.</w:t>
      </w:r>
    </w:p>
    <w:p>
      <w:pPr>
        <w:spacing w:after="0" w:line="3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Condensed Consolidated Statements of Operations</w:t>
      </w:r>
    </w:p>
    <w:p>
      <w:pPr>
        <w:spacing w:after="0" w:line="1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(In thousands, except share and per share data)</w:t>
      </w:r>
    </w:p>
    <w:p>
      <w:pPr>
        <w:spacing w:after="0" w:line="1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3"/>
                <w:szCs w:val="13"/>
                <w:b w:val="1"/>
                <w:bCs w:val="1"/>
                <w:color w:val="auto"/>
              </w:rPr>
              <w:t>Three Months Ended June 30,</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3"/>
                <w:szCs w:val="13"/>
                <w:b w:val="1"/>
                <w:bCs w:val="1"/>
                <w:color w:val="auto"/>
              </w:rPr>
              <w:t>Six Months Ended June 30,</w:t>
            </w:r>
          </w:p>
        </w:tc>
        <w:tc>
          <w:tcPr>
            <w:tcW w:w="240" w:type="dxa"/>
            <w:vAlign w:val="bottom"/>
          </w:tcPr>
          <w:p>
            <w:pPr>
              <w:spacing w:after="0"/>
              <w:rPr>
                <w:sz w:val="14"/>
                <w:szCs w:val="14"/>
                <w:color w:val="auto"/>
              </w:rPr>
            </w:pPr>
          </w:p>
        </w:tc>
      </w:tr>
      <w:tr>
        <w:trPr>
          <w:trHeight w:val="169"/>
        </w:trPr>
        <w:tc>
          <w:tcPr>
            <w:tcW w:w="45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r>
      <w:tr>
        <w:trPr>
          <w:trHeight w:val="193"/>
        </w:trPr>
        <w:tc>
          <w:tcPr>
            <w:tcW w:w="4560" w:type="dxa"/>
            <w:vAlign w:val="bottom"/>
            <w:shd w:val="clear" w:color="auto" w:fill="CFF0FC"/>
          </w:tcPr>
          <w:p>
            <w:pPr>
              <w:ind w:left="80"/>
              <w:spacing w:after="0"/>
              <w:rPr>
                <w:sz w:val="20"/>
                <w:szCs w:val="20"/>
                <w:color w:val="auto"/>
              </w:rPr>
            </w:pPr>
            <w:r>
              <w:rPr>
                <w:rFonts w:ascii="Arial" w:cs="Arial" w:eastAsia="Arial" w:hAnsi="Arial"/>
                <w:sz w:val="16"/>
                <w:szCs w:val="16"/>
                <w:color w:val="auto"/>
              </w:rPr>
              <w:t>Operating expenses:</w:t>
            </w:r>
          </w:p>
        </w:tc>
        <w:tc>
          <w:tcPr>
            <w:tcW w:w="4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tcPr>
          <w:p>
            <w:pPr>
              <w:spacing w:after="0"/>
              <w:rPr>
                <w:sz w:val="16"/>
                <w:szCs w:val="16"/>
                <w:color w:val="auto"/>
              </w:rPr>
            </w:pPr>
          </w:p>
        </w:tc>
      </w:tr>
      <w:tr>
        <w:trPr>
          <w:trHeight w:val="201"/>
        </w:trPr>
        <w:tc>
          <w:tcPr>
            <w:tcW w:w="4560" w:type="dxa"/>
            <w:vAlign w:val="bottom"/>
          </w:tcPr>
          <w:p>
            <w:pPr>
              <w:ind w:left="400"/>
              <w:spacing w:after="0"/>
              <w:rPr>
                <w:sz w:val="20"/>
                <w:szCs w:val="20"/>
                <w:color w:val="auto"/>
              </w:rPr>
            </w:pPr>
            <w:r>
              <w:rPr>
                <w:rFonts w:ascii="Arial" w:cs="Arial" w:eastAsia="Arial" w:hAnsi="Arial"/>
                <w:sz w:val="16"/>
                <w:szCs w:val="16"/>
                <w:color w:val="auto"/>
              </w:rPr>
              <w:t>Research and development</w:t>
            </w:r>
          </w:p>
        </w:tc>
        <w:tc>
          <w:tcPr>
            <w:tcW w:w="4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5,644</w:t>
            </w:r>
          </w:p>
        </w:tc>
        <w:tc>
          <w:tcPr>
            <w:tcW w:w="66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9,102</w:t>
            </w:r>
          </w:p>
        </w:tc>
        <w:tc>
          <w:tcPr>
            <w:tcW w:w="66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11,450</w:t>
            </w:r>
          </w:p>
        </w:tc>
        <w:tc>
          <w:tcPr>
            <w:tcW w:w="660" w:type="dxa"/>
            <w:vAlign w:val="bottom"/>
            <w:gridSpan w:val="2"/>
          </w:tcPr>
          <w:p>
            <w:pPr>
              <w:jc w:val="right"/>
              <w:ind w:right="1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18,076</w:t>
            </w:r>
          </w:p>
        </w:tc>
        <w:tc>
          <w:tcPr>
            <w:tcW w:w="240" w:type="dxa"/>
            <w:vAlign w:val="bottom"/>
          </w:tcPr>
          <w:p>
            <w:pPr>
              <w:spacing w:after="0"/>
              <w:rPr>
                <w:sz w:val="17"/>
                <w:szCs w:val="17"/>
                <w:color w:val="auto"/>
              </w:rPr>
            </w:pPr>
          </w:p>
        </w:tc>
      </w:tr>
      <w:tr>
        <w:trPr>
          <w:trHeight w:val="190"/>
        </w:trPr>
        <w:tc>
          <w:tcPr>
            <w:tcW w:w="45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6"/>
                <w:szCs w:val="16"/>
                <w:color w:val="auto"/>
              </w:rPr>
              <w:t>General and administrative</w:t>
            </w:r>
          </w:p>
        </w:tc>
        <w:tc>
          <w:tcPr>
            <w:tcW w:w="4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3,043</w:t>
            </w:r>
          </w:p>
        </w:tc>
        <w:tc>
          <w:tcPr>
            <w:tcW w:w="2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3,441</w:t>
            </w:r>
          </w:p>
        </w:tc>
        <w:tc>
          <w:tcPr>
            <w:tcW w:w="2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6,124</w:t>
            </w:r>
          </w:p>
        </w:tc>
        <w:tc>
          <w:tcPr>
            <w:tcW w:w="2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6,573</w:t>
            </w:r>
          </w:p>
        </w:tc>
        <w:tc>
          <w:tcPr>
            <w:tcW w:w="240" w:type="dxa"/>
            <w:vAlign w:val="bottom"/>
          </w:tcPr>
          <w:p>
            <w:pPr>
              <w:spacing w:after="0"/>
              <w:rPr>
                <w:sz w:val="16"/>
                <w:szCs w:val="16"/>
                <w:color w:val="auto"/>
              </w:rPr>
            </w:pPr>
          </w:p>
        </w:tc>
      </w:tr>
      <w:tr>
        <w:trPr>
          <w:trHeight w:val="181"/>
        </w:trPr>
        <w:tc>
          <w:tcPr>
            <w:tcW w:w="4560" w:type="dxa"/>
            <w:vAlign w:val="bottom"/>
          </w:tcPr>
          <w:p>
            <w:pPr>
              <w:ind w:left="720"/>
              <w:spacing w:after="0" w:line="181" w:lineRule="exact"/>
              <w:rPr>
                <w:sz w:val="20"/>
                <w:szCs w:val="20"/>
                <w:color w:val="auto"/>
              </w:rPr>
            </w:pPr>
            <w:r>
              <w:rPr>
                <w:rFonts w:ascii="Arial" w:cs="Arial" w:eastAsia="Arial" w:hAnsi="Arial"/>
                <w:sz w:val="16"/>
                <w:szCs w:val="16"/>
                <w:color w:val="auto"/>
              </w:rPr>
              <w:t>Total operating expenses</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
              <w:spacing w:after="0" w:line="181" w:lineRule="exact"/>
              <w:rPr>
                <w:sz w:val="20"/>
                <w:szCs w:val="20"/>
                <w:color w:val="auto"/>
              </w:rPr>
            </w:pPr>
            <w:r>
              <w:rPr>
                <w:rFonts w:ascii="Arial" w:cs="Arial" w:eastAsia="Arial" w:hAnsi="Arial"/>
                <w:sz w:val="16"/>
                <w:szCs w:val="16"/>
                <w:color w:val="auto"/>
              </w:rPr>
              <w:t>8,687</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12,543</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
              <w:spacing w:after="0" w:line="181" w:lineRule="exact"/>
              <w:rPr>
                <w:sz w:val="20"/>
                <w:szCs w:val="20"/>
                <w:color w:val="auto"/>
              </w:rPr>
            </w:pPr>
            <w:r>
              <w:rPr>
                <w:rFonts w:ascii="Arial" w:cs="Arial" w:eastAsia="Arial" w:hAnsi="Arial"/>
                <w:sz w:val="16"/>
                <w:szCs w:val="16"/>
                <w:color w:val="auto"/>
              </w:rPr>
              <w:t>17,574</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24,649</w:t>
            </w:r>
          </w:p>
        </w:tc>
        <w:tc>
          <w:tcPr>
            <w:tcW w:w="240" w:type="dxa"/>
            <w:vAlign w:val="bottom"/>
          </w:tcPr>
          <w:p>
            <w:pPr>
              <w:spacing w:after="0"/>
              <w:rPr>
                <w:sz w:val="15"/>
                <w:szCs w:val="15"/>
                <w:color w:val="auto"/>
              </w:rPr>
            </w:pPr>
          </w:p>
        </w:tc>
      </w:tr>
      <w:tr>
        <w:trPr>
          <w:trHeight w:val="193"/>
        </w:trPr>
        <w:tc>
          <w:tcPr>
            <w:tcW w:w="4560" w:type="dxa"/>
            <w:vAlign w:val="bottom"/>
            <w:shd w:val="clear" w:color="auto" w:fill="CFF0FC"/>
          </w:tcPr>
          <w:p>
            <w:pPr>
              <w:ind w:left="80"/>
              <w:spacing w:after="0"/>
              <w:rPr>
                <w:sz w:val="20"/>
                <w:szCs w:val="20"/>
                <w:color w:val="auto"/>
              </w:rPr>
            </w:pPr>
            <w:r>
              <w:rPr>
                <w:rFonts w:ascii="Arial" w:cs="Arial" w:eastAsia="Arial" w:hAnsi="Arial"/>
                <w:sz w:val="16"/>
                <w:szCs w:val="16"/>
                <w:color w:val="auto"/>
              </w:rPr>
              <w:t>Loss from operations</w:t>
            </w:r>
          </w:p>
        </w:tc>
        <w:tc>
          <w:tcPr>
            <w:tcW w:w="4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(8,687)</w:t>
            </w: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(12,543)</w:t>
            </w: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(17,574)</w:t>
            </w: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(24,649)</w:t>
            </w:r>
          </w:p>
        </w:tc>
        <w:tc>
          <w:tcPr>
            <w:tcW w:w="240" w:type="dxa"/>
            <w:vAlign w:val="bottom"/>
          </w:tcPr>
          <w:p>
            <w:pPr>
              <w:spacing w:after="0"/>
              <w:rPr>
                <w:sz w:val="16"/>
                <w:szCs w:val="16"/>
                <w:color w:val="auto"/>
              </w:rPr>
            </w:pPr>
          </w:p>
        </w:tc>
      </w:tr>
      <w:tr>
        <w:trPr>
          <w:trHeight w:val="189"/>
        </w:trPr>
        <w:tc>
          <w:tcPr>
            <w:tcW w:w="4560" w:type="dxa"/>
            <w:vAlign w:val="bottom"/>
          </w:tcPr>
          <w:p>
            <w:pPr>
              <w:ind w:left="400"/>
              <w:spacing w:after="0"/>
              <w:rPr>
                <w:sz w:val="20"/>
                <w:szCs w:val="20"/>
                <w:color w:val="auto"/>
              </w:rPr>
            </w:pPr>
            <w:r>
              <w:rPr>
                <w:rFonts w:ascii="Arial" w:cs="Arial" w:eastAsia="Arial" w:hAnsi="Arial"/>
                <w:sz w:val="16"/>
                <w:szCs w:val="16"/>
                <w:color w:val="auto"/>
              </w:rPr>
              <w:t>Other income (expense), net</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6"/>
                <w:szCs w:val="16"/>
                <w:color w:val="auto"/>
              </w:rPr>
            </w:pPr>
          </w:p>
        </w:tc>
      </w:tr>
      <w:tr>
        <w:trPr>
          <w:trHeight w:val="221"/>
        </w:trPr>
        <w:tc>
          <w:tcPr>
            <w:tcW w:w="4560" w:type="dxa"/>
            <w:vAlign w:val="bottom"/>
            <w:tcBorders>
              <w:bottom w:val="single" w:sz="8" w:color="CFF0FC"/>
            </w:tcBorders>
            <w:shd w:val="clear" w:color="auto" w:fill="CFF0FC"/>
          </w:tcPr>
          <w:p>
            <w:pPr>
              <w:ind w:left="80"/>
              <w:spacing w:after="0" w:line="181" w:lineRule="exact"/>
              <w:rPr>
                <w:sz w:val="20"/>
                <w:szCs w:val="20"/>
                <w:color w:val="auto"/>
              </w:rPr>
            </w:pPr>
            <w:r>
              <w:rPr>
                <w:rFonts w:ascii="Arial" w:cs="Arial" w:eastAsia="Arial" w:hAnsi="Arial"/>
                <w:sz w:val="16"/>
                <w:szCs w:val="16"/>
                <w:color w:val="auto"/>
              </w:rPr>
              <w:t>Net loss and Total comprehensive loss</w:t>
            </w:r>
          </w:p>
        </w:tc>
        <w:tc>
          <w:tcPr>
            <w:tcW w:w="48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
              <w:spacing w:after="0" w:line="181" w:lineRule="exact"/>
              <w:rPr>
                <w:sz w:val="20"/>
                <w:szCs w:val="20"/>
                <w:color w:val="auto"/>
              </w:rPr>
            </w:pPr>
            <w:r>
              <w:rPr>
                <w:rFonts w:ascii="Arial" w:cs="Arial" w:eastAsia="Arial" w:hAnsi="Arial"/>
                <w:sz w:val="16"/>
                <w:szCs w:val="16"/>
                <w:color w:val="auto"/>
              </w:rPr>
              <w:t>(8,667)</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2"/>
              <w:spacing w:after="0" w:line="181" w:lineRule="exact"/>
              <w:rPr>
                <w:sz w:val="20"/>
                <w:szCs w:val="20"/>
                <w:color w:val="auto"/>
              </w:rPr>
            </w:pPr>
            <w:r>
              <w:rPr>
                <w:rFonts w:ascii="Arial" w:cs="Arial" w:eastAsia="Arial" w:hAnsi="Arial"/>
                <w:sz w:val="16"/>
                <w:szCs w:val="16"/>
                <w:color w:val="auto"/>
              </w:rPr>
              <w:t>(12,609)</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
              <w:spacing w:after="0" w:line="181" w:lineRule="exact"/>
              <w:rPr>
                <w:sz w:val="20"/>
                <w:szCs w:val="20"/>
                <w:color w:val="auto"/>
              </w:rPr>
            </w:pPr>
            <w:r>
              <w:rPr>
                <w:rFonts w:ascii="Arial" w:cs="Arial" w:eastAsia="Arial" w:hAnsi="Arial"/>
                <w:sz w:val="16"/>
                <w:szCs w:val="16"/>
                <w:color w:val="auto"/>
              </w:rPr>
              <w:t>(17,610)</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2"/>
              <w:spacing w:after="0" w:line="181" w:lineRule="exact"/>
              <w:rPr>
                <w:sz w:val="20"/>
                <w:szCs w:val="20"/>
                <w:color w:val="auto"/>
              </w:rPr>
            </w:pPr>
            <w:r>
              <w:rPr>
                <w:rFonts w:ascii="Arial" w:cs="Arial" w:eastAsia="Arial" w:hAnsi="Arial"/>
                <w:sz w:val="16"/>
                <w:szCs w:val="16"/>
                <w:color w:val="auto"/>
              </w:rPr>
              <w:t>(24,697)</w:t>
            </w:r>
          </w:p>
        </w:tc>
        <w:tc>
          <w:tcPr>
            <w:tcW w:w="240" w:type="dxa"/>
            <w:vAlign w:val="bottom"/>
          </w:tcPr>
          <w:p>
            <w:pPr>
              <w:spacing w:after="0"/>
              <w:rPr>
                <w:sz w:val="19"/>
                <w:szCs w:val="19"/>
                <w:color w:val="auto"/>
              </w:rPr>
            </w:pPr>
          </w:p>
        </w:tc>
      </w:tr>
      <w:tr>
        <w:trPr>
          <w:trHeight w:val="165"/>
        </w:trPr>
        <w:tc>
          <w:tcPr>
            <w:tcW w:w="4560" w:type="dxa"/>
            <w:vAlign w:val="bottom"/>
          </w:tcPr>
          <w:p>
            <w:pPr>
              <w:ind w:left="80"/>
              <w:spacing w:after="0" w:line="165" w:lineRule="exact"/>
              <w:rPr>
                <w:sz w:val="20"/>
                <w:szCs w:val="20"/>
                <w:color w:val="auto"/>
              </w:rPr>
            </w:pPr>
            <w:r>
              <w:rPr>
                <w:rFonts w:ascii="Arial" w:cs="Arial" w:eastAsia="Arial" w:hAnsi="Arial"/>
                <w:sz w:val="16"/>
                <w:szCs w:val="16"/>
                <w:color w:val="auto"/>
              </w:rPr>
              <w:t>Net loss per share, basic and diluted</w:t>
            </w:r>
          </w:p>
        </w:tc>
        <w:tc>
          <w:tcPr>
            <w:tcW w:w="480" w:type="dxa"/>
            <w:vAlign w:val="bottom"/>
          </w:tcPr>
          <w:p>
            <w:pPr>
              <w:jc w:val="right"/>
              <w:ind w:right="61"/>
              <w:spacing w:after="0" w:line="165"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3"/>
              <w:spacing w:after="0" w:line="165" w:lineRule="exact"/>
              <w:rPr>
                <w:sz w:val="20"/>
                <w:szCs w:val="20"/>
                <w:color w:val="auto"/>
              </w:rPr>
            </w:pPr>
            <w:r>
              <w:rPr>
                <w:rFonts w:ascii="Arial" w:cs="Arial" w:eastAsia="Arial" w:hAnsi="Arial"/>
                <w:sz w:val="16"/>
                <w:szCs w:val="16"/>
                <w:color w:val="auto"/>
              </w:rPr>
              <w:t>(0.47)</w:t>
            </w:r>
          </w:p>
        </w:tc>
        <w:tc>
          <w:tcPr>
            <w:tcW w:w="660" w:type="dxa"/>
            <w:vAlign w:val="bottom"/>
            <w:gridSpan w:val="2"/>
          </w:tcPr>
          <w:p>
            <w:pPr>
              <w:jc w:val="right"/>
              <w:ind w:right="61"/>
              <w:spacing w:after="0" w:line="165"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line="165" w:lineRule="exact"/>
              <w:rPr>
                <w:sz w:val="20"/>
                <w:szCs w:val="20"/>
                <w:color w:val="auto"/>
              </w:rPr>
            </w:pPr>
            <w:r>
              <w:rPr>
                <w:rFonts w:ascii="Arial" w:cs="Arial" w:eastAsia="Arial" w:hAnsi="Arial"/>
                <w:sz w:val="16"/>
                <w:szCs w:val="16"/>
                <w:color w:val="auto"/>
              </w:rPr>
              <w:t>(0.79)</w:t>
            </w:r>
          </w:p>
        </w:tc>
        <w:tc>
          <w:tcPr>
            <w:tcW w:w="660" w:type="dxa"/>
            <w:vAlign w:val="bottom"/>
            <w:gridSpan w:val="2"/>
          </w:tcPr>
          <w:p>
            <w:pPr>
              <w:jc w:val="right"/>
              <w:ind w:right="61"/>
              <w:spacing w:after="0" w:line="165"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3"/>
              <w:spacing w:after="0" w:line="165" w:lineRule="exact"/>
              <w:rPr>
                <w:sz w:val="20"/>
                <w:szCs w:val="20"/>
                <w:color w:val="auto"/>
              </w:rPr>
            </w:pPr>
            <w:r>
              <w:rPr>
                <w:rFonts w:ascii="Arial" w:cs="Arial" w:eastAsia="Arial" w:hAnsi="Arial"/>
                <w:sz w:val="16"/>
                <w:szCs w:val="16"/>
                <w:color w:val="auto"/>
              </w:rPr>
              <w:t>(0.96)</w:t>
            </w:r>
          </w:p>
        </w:tc>
        <w:tc>
          <w:tcPr>
            <w:tcW w:w="660" w:type="dxa"/>
            <w:vAlign w:val="bottom"/>
            <w:gridSpan w:val="2"/>
          </w:tcPr>
          <w:p>
            <w:pPr>
              <w:jc w:val="right"/>
              <w:ind w:right="61"/>
              <w:spacing w:after="0" w:line="165"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line="165" w:lineRule="exact"/>
              <w:rPr>
                <w:sz w:val="20"/>
                <w:szCs w:val="20"/>
                <w:color w:val="auto"/>
              </w:rPr>
            </w:pPr>
            <w:r>
              <w:rPr>
                <w:rFonts w:ascii="Arial" w:cs="Arial" w:eastAsia="Arial" w:hAnsi="Arial"/>
                <w:sz w:val="16"/>
                <w:szCs w:val="16"/>
                <w:color w:val="auto"/>
              </w:rPr>
              <w:t>(1.54)</w:t>
            </w:r>
          </w:p>
        </w:tc>
        <w:tc>
          <w:tcPr>
            <w:tcW w:w="240" w:type="dxa"/>
            <w:vAlign w:val="bottom"/>
          </w:tcPr>
          <w:p>
            <w:pPr>
              <w:spacing w:after="0"/>
              <w:rPr>
                <w:sz w:val="14"/>
                <w:szCs w:val="14"/>
                <w:color w:val="auto"/>
              </w:rPr>
            </w:pPr>
          </w:p>
        </w:tc>
      </w:tr>
      <w:tr>
        <w:trPr>
          <w:trHeight w:val="20"/>
        </w:trPr>
        <w:tc>
          <w:tcPr>
            <w:tcW w:w="4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5"/>
        </w:trPr>
        <w:tc>
          <w:tcPr>
            <w:tcW w:w="4560" w:type="dxa"/>
            <w:vAlign w:val="bottom"/>
            <w:tcBorders>
              <w:bottom w:val="single" w:sz="8" w:color="CFF0FC"/>
            </w:tcBorders>
            <w:shd w:val="clear" w:color="auto" w:fill="CFF0FC"/>
          </w:tcPr>
          <w:p>
            <w:pPr>
              <w:ind w:left="80"/>
              <w:spacing w:after="0" w:line="165" w:lineRule="exact"/>
              <w:rPr>
                <w:sz w:val="20"/>
                <w:szCs w:val="20"/>
                <w:color w:val="auto"/>
              </w:rPr>
            </w:pPr>
            <w:r>
              <w:rPr>
                <w:rFonts w:ascii="Arial" w:cs="Arial" w:eastAsia="Arial" w:hAnsi="Arial"/>
                <w:sz w:val="16"/>
                <w:szCs w:val="16"/>
                <w:color w:val="auto"/>
                <w:w w:val="96"/>
              </w:rPr>
              <w:t>Weighted average common shares outstanding, basic and diluted</w:t>
            </w:r>
          </w:p>
        </w:tc>
        <w:tc>
          <w:tcPr>
            <w:tcW w:w="4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3"/>
              <w:spacing w:after="0" w:line="165" w:lineRule="exact"/>
              <w:rPr>
                <w:sz w:val="20"/>
                <w:szCs w:val="20"/>
                <w:color w:val="auto"/>
              </w:rPr>
            </w:pPr>
            <w:r>
              <w:rPr>
                <w:rFonts w:ascii="Arial" w:cs="Arial" w:eastAsia="Arial" w:hAnsi="Arial"/>
                <w:sz w:val="16"/>
                <w:szCs w:val="16"/>
                <w:color w:val="auto"/>
              </w:rPr>
              <w:t>18,338,853</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line="165" w:lineRule="exact"/>
              <w:rPr>
                <w:sz w:val="20"/>
                <w:szCs w:val="20"/>
                <w:color w:val="auto"/>
              </w:rPr>
            </w:pPr>
            <w:r>
              <w:rPr>
                <w:rFonts w:ascii="Arial" w:cs="Arial" w:eastAsia="Arial" w:hAnsi="Arial"/>
                <w:sz w:val="16"/>
                <w:szCs w:val="16"/>
                <w:color w:val="auto"/>
              </w:rPr>
              <w:t>15,996,133</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3"/>
              <w:spacing w:after="0" w:line="165" w:lineRule="exact"/>
              <w:rPr>
                <w:sz w:val="20"/>
                <w:szCs w:val="20"/>
                <w:color w:val="auto"/>
              </w:rPr>
            </w:pPr>
            <w:r>
              <w:rPr>
                <w:rFonts w:ascii="Arial" w:cs="Arial" w:eastAsia="Arial" w:hAnsi="Arial"/>
                <w:sz w:val="16"/>
                <w:szCs w:val="16"/>
                <w:color w:val="auto"/>
              </w:rPr>
              <w:t>18,338,853</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line="165" w:lineRule="exact"/>
              <w:rPr>
                <w:sz w:val="20"/>
                <w:szCs w:val="20"/>
                <w:color w:val="auto"/>
              </w:rPr>
            </w:pPr>
            <w:r>
              <w:rPr>
                <w:rFonts w:ascii="Arial" w:cs="Arial" w:eastAsia="Arial" w:hAnsi="Arial"/>
                <w:sz w:val="16"/>
                <w:szCs w:val="16"/>
                <w:color w:val="auto"/>
              </w:rPr>
              <w:t>15,996,133</w:t>
            </w:r>
          </w:p>
        </w:tc>
        <w:tc>
          <w:tcPr>
            <w:tcW w:w="240" w:type="dxa"/>
            <w:vAlign w:val="bottom"/>
          </w:tcPr>
          <w:p>
            <w:pPr>
              <w:spacing w:after="0"/>
              <w:rPr>
                <w:sz w:val="17"/>
                <w:szCs w:val="17"/>
                <w:color w:val="auto"/>
              </w:rPr>
            </w:pPr>
          </w:p>
        </w:tc>
      </w:tr>
      <w:tr>
        <w:trPr>
          <w:trHeight w:val="182"/>
        </w:trPr>
        <w:tc>
          <w:tcPr>
            <w:tcW w:w="4560" w:type="dxa"/>
            <w:vAlign w:val="bottom"/>
          </w:tcPr>
          <w:p>
            <w:pPr>
              <w:ind w:left="80"/>
              <w:spacing w:after="0" w:line="182" w:lineRule="exact"/>
              <w:rPr>
                <w:sz w:val="20"/>
                <w:szCs w:val="20"/>
                <w:color w:val="auto"/>
              </w:rPr>
            </w:pPr>
            <w:r>
              <w:rPr>
                <w:rFonts w:ascii="Arial" w:cs="Arial" w:eastAsia="Arial" w:hAnsi="Arial"/>
                <w:sz w:val="16"/>
                <w:szCs w:val="16"/>
                <w:color w:val="auto"/>
              </w:rPr>
              <w:t>Comprehensive loss:</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7"/>
        </w:trPr>
        <w:tc>
          <w:tcPr>
            <w:tcW w:w="456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loss and Total comprehensive loss</w:t>
            </w:r>
          </w:p>
        </w:tc>
        <w:tc>
          <w:tcPr>
            <w:tcW w:w="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(8,667)</w:t>
            </w:r>
          </w:p>
        </w:tc>
        <w:tc>
          <w:tcPr>
            <w:tcW w:w="66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(12,609)</w:t>
            </w:r>
          </w:p>
        </w:tc>
        <w:tc>
          <w:tcPr>
            <w:tcW w:w="66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(17,610)</w:t>
            </w:r>
          </w:p>
        </w:tc>
        <w:tc>
          <w:tcPr>
            <w:tcW w:w="66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(24,697)</w:t>
            </w:r>
          </w:p>
        </w:tc>
        <w:tc>
          <w:tcPr>
            <w:tcW w:w="240" w:type="dxa"/>
            <w:vAlign w:val="bottom"/>
          </w:tcPr>
          <w:p>
            <w:pPr>
              <w:spacing w:after="0"/>
              <w:rPr>
                <w:sz w:val="18"/>
                <w:szCs w:val="18"/>
                <w:color w:val="auto"/>
              </w:rPr>
            </w:pPr>
          </w:p>
        </w:tc>
      </w:tr>
      <w:tr>
        <w:trPr>
          <w:trHeight w:val="201"/>
        </w:trPr>
        <w:tc>
          <w:tcPr>
            <w:tcW w:w="4560" w:type="dxa"/>
            <w:vAlign w:val="bottom"/>
          </w:tcPr>
          <w:p>
            <w:pPr>
              <w:ind w:left="80"/>
              <w:spacing w:after="0"/>
              <w:rPr>
                <w:sz w:val="20"/>
                <w:szCs w:val="20"/>
                <w:color w:val="auto"/>
              </w:rPr>
            </w:pPr>
            <w:r>
              <w:rPr>
                <w:rFonts w:ascii="Arial" w:cs="Arial" w:eastAsia="Arial" w:hAnsi="Arial"/>
                <w:sz w:val="16"/>
                <w:szCs w:val="16"/>
                <w:color w:val="auto"/>
              </w:rPr>
              <w:t>Other comprehensive loss: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1"/>
        </w:trPr>
        <w:tc>
          <w:tcPr>
            <w:tcW w:w="45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Unrealized gain (loss) on marketable debt securities</w:t>
            </w:r>
          </w:p>
        </w:tc>
        <w:tc>
          <w:tcPr>
            <w:tcW w:w="4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r>
      <w:tr>
        <w:trPr>
          <w:trHeight w:val="181"/>
        </w:trPr>
        <w:tc>
          <w:tcPr>
            <w:tcW w:w="4560" w:type="dxa"/>
            <w:vAlign w:val="bottom"/>
          </w:tcPr>
          <w:p>
            <w:pPr>
              <w:ind w:left="720"/>
              <w:spacing w:after="0" w:line="181" w:lineRule="exact"/>
              <w:rPr>
                <w:sz w:val="20"/>
                <w:szCs w:val="20"/>
                <w:color w:val="auto"/>
              </w:rPr>
            </w:pPr>
            <w:r>
              <w:rPr>
                <w:rFonts w:ascii="Arial" w:cs="Arial" w:eastAsia="Arial" w:hAnsi="Arial"/>
                <w:sz w:val="16"/>
                <w:szCs w:val="16"/>
                <w:color w:val="auto"/>
              </w:rPr>
              <w:t>Total other comprehensive loss</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
              <w:spacing w:after="0" w:line="181" w:lineRule="exact"/>
              <w:rPr>
                <w:sz w:val="20"/>
                <w:szCs w:val="20"/>
                <w:color w:val="auto"/>
              </w:rPr>
            </w:pPr>
            <w:r>
              <w:rPr>
                <w:rFonts w:ascii="Arial" w:cs="Arial" w:eastAsia="Arial" w:hAnsi="Arial"/>
                <w:sz w:val="16"/>
                <w:szCs w:val="16"/>
                <w:color w:val="auto"/>
              </w:rPr>
              <w:t>(57)</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
              <w:spacing w:after="0" w:line="181" w:lineRule="exact"/>
              <w:rPr>
                <w:sz w:val="20"/>
                <w:szCs w:val="20"/>
                <w:color w:val="auto"/>
              </w:rPr>
            </w:pPr>
            <w:r>
              <w:rPr>
                <w:rFonts w:ascii="Arial" w:cs="Arial" w:eastAsia="Arial" w:hAnsi="Arial"/>
                <w:sz w:val="16"/>
                <w:szCs w:val="16"/>
                <w:color w:val="auto"/>
              </w:rPr>
              <w:t>(57)</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r>
      <w:tr>
        <w:trPr>
          <w:trHeight w:val="221"/>
        </w:trPr>
        <w:tc>
          <w:tcPr>
            <w:tcW w:w="4560" w:type="dxa"/>
            <w:vAlign w:val="bottom"/>
            <w:tcBorders>
              <w:bottom w:val="single" w:sz="8" w:color="CFF0FC"/>
            </w:tcBorders>
            <w:shd w:val="clear" w:color="auto" w:fill="CFF0FC"/>
          </w:tcPr>
          <w:p>
            <w:pPr>
              <w:ind w:left="80"/>
              <w:spacing w:after="0" w:line="181" w:lineRule="exact"/>
              <w:rPr>
                <w:sz w:val="20"/>
                <w:szCs w:val="20"/>
                <w:color w:val="auto"/>
              </w:rPr>
            </w:pPr>
            <w:r>
              <w:rPr>
                <w:rFonts w:ascii="Arial" w:cs="Arial" w:eastAsia="Arial" w:hAnsi="Arial"/>
                <w:sz w:val="16"/>
                <w:szCs w:val="16"/>
                <w:color w:val="auto"/>
              </w:rPr>
              <w:t>Total comprehensive loss</w:t>
            </w:r>
          </w:p>
        </w:tc>
        <w:tc>
          <w:tcPr>
            <w:tcW w:w="48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
              <w:spacing w:after="0" w:line="181" w:lineRule="exact"/>
              <w:rPr>
                <w:sz w:val="20"/>
                <w:szCs w:val="20"/>
                <w:color w:val="auto"/>
              </w:rPr>
            </w:pPr>
            <w:r>
              <w:rPr>
                <w:rFonts w:ascii="Arial" w:cs="Arial" w:eastAsia="Arial" w:hAnsi="Arial"/>
                <w:sz w:val="16"/>
                <w:szCs w:val="16"/>
                <w:color w:val="auto"/>
              </w:rPr>
              <w:t>(8,724)</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2"/>
              <w:spacing w:after="0" w:line="181" w:lineRule="exact"/>
              <w:rPr>
                <w:sz w:val="20"/>
                <w:szCs w:val="20"/>
                <w:color w:val="auto"/>
              </w:rPr>
            </w:pPr>
            <w:r>
              <w:rPr>
                <w:rFonts w:ascii="Arial" w:cs="Arial" w:eastAsia="Arial" w:hAnsi="Arial"/>
                <w:sz w:val="16"/>
                <w:szCs w:val="16"/>
                <w:color w:val="auto"/>
              </w:rPr>
              <w:t>(12,609)</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
              <w:spacing w:after="0" w:line="181" w:lineRule="exact"/>
              <w:rPr>
                <w:sz w:val="20"/>
                <w:szCs w:val="20"/>
                <w:color w:val="auto"/>
              </w:rPr>
            </w:pPr>
            <w:r>
              <w:rPr>
                <w:rFonts w:ascii="Arial" w:cs="Arial" w:eastAsia="Arial" w:hAnsi="Arial"/>
                <w:sz w:val="16"/>
                <w:szCs w:val="16"/>
                <w:color w:val="auto"/>
              </w:rPr>
              <w:t>(17,667)</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2"/>
              <w:spacing w:after="0" w:line="181" w:lineRule="exact"/>
              <w:rPr>
                <w:sz w:val="20"/>
                <w:szCs w:val="20"/>
                <w:color w:val="auto"/>
              </w:rPr>
            </w:pPr>
            <w:r>
              <w:rPr>
                <w:rFonts w:ascii="Arial" w:cs="Arial" w:eastAsia="Arial" w:hAnsi="Arial"/>
                <w:sz w:val="16"/>
                <w:szCs w:val="16"/>
                <w:color w:val="auto"/>
              </w:rPr>
              <w:t>(24,697)</w:t>
            </w:r>
          </w:p>
        </w:tc>
        <w:tc>
          <w:tcPr>
            <w:tcW w:w="240" w:type="dxa"/>
            <w:vAlign w:val="bottom"/>
          </w:tcPr>
          <w:p>
            <w:pPr>
              <w:spacing w:after="0"/>
              <w:rPr>
                <w:sz w:val="19"/>
                <w:szCs w:val="19"/>
                <w:color w:val="auto"/>
              </w:rPr>
            </w:pPr>
          </w:p>
        </w:tc>
      </w:tr>
      <w:tr>
        <w:trPr>
          <w:trHeight w:val="251"/>
        </w:trPr>
        <w:tc>
          <w:tcPr>
            <w:tcW w:w="4560" w:type="dxa"/>
            <w:vAlign w:val="bottom"/>
            <w:tcBorders>
              <w:bottom w:val="single" w:sz="8" w:color="9A9A9A"/>
            </w:tcBorders>
          </w:tcPr>
          <w:p>
            <w:pPr>
              <w:spacing w:after="0"/>
              <w:rPr>
                <w:sz w:val="21"/>
                <w:szCs w:val="21"/>
                <w:color w:val="auto"/>
              </w:rPr>
            </w:pPr>
          </w:p>
        </w:tc>
        <w:tc>
          <w:tcPr>
            <w:tcW w:w="48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-1801495</wp:posOffset>
            </wp:positionV>
            <wp:extent cx="1276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-1801495</wp:posOffset>
            </wp:positionV>
            <wp:extent cx="12001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-1801495</wp:posOffset>
            </wp:positionV>
            <wp:extent cx="1200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-1290955</wp:posOffset>
            </wp:positionV>
            <wp:extent cx="1276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-1275715</wp:posOffset>
            </wp:positionV>
            <wp:extent cx="12763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-1290955</wp:posOffset>
            </wp:positionV>
            <wp:extent cx="12001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-1275715</wp:posOffset>
            </wp:positionV>
            <wp:extent cx="12001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-1290955</wp:posOffset>
            </wp:positionV>
            <wp:extent cx="1200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-1275715</wp:posOffset>
            </wp:positionV>
            <wp:extent cx="12001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-1005840</wp:posOffset>
            </wp:positionV>
            <wp:extent cx="1276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-990600</wp:posOffset>
            </wp:positionV>
            <wp:extent cx="1276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-1005840</wp:posOffset>
            </wp:positionV>
            <wp:extent cx="12001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-990600</wp:posOffset>
            </wp:positionV>
            <wp:extent cx="12001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-1005840</wp:posOffset>
            </wp:positionV>
            <wp:extent cx="12001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-990600</wp:posOffset>
            </wp:positionV>
            <wp:extent cx="1200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-477520</wp:posOffset>
            </wp:positionV>
            <wp:extent cx="153035" cy="160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035" cy="160655"/>
                    </a:xfrm>
                    <a:prstGeom prst="rect">
                      <a:avLst/>
                    </a:prstGeom>
                    <a:noFill/>
                  </pic:spPr>
                </pic:pic>
              </a:graphicData>
            </a:graphic>
          </wp:anchor>
        </w:drawing>
        <w:drawing>
          <wp:anchor simplePos="0" relativeHeight="251657728" behindDoc="1" locked="0" layoutInCell="0" allowOverlap="1">
            <wp:simplePos x="0" y="0"/>
            <wp:positionH relativeFrom="column">
              <wp:posOffset>4879975</wp:posOffset>
            </wp:positionH>
            <wp:positionV relativeFrom="paragraph">
              <wp:posOffset>-477520</wp:posOffset>
            </wp:positionV>
            <wp:extent cx="145415" cy="160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415" cy="160655"/>
                    </a:xfrm>
                    <a:prstGeom prst="rect">
                      <a:avLst/>
                    </a:prstGeom>
                    <a:noFill/>
                  </pic:spPr>
                </pic:pic>
              </a:graphicData>
            </a:graphic>
          </wp:anchor>
        </w:drawing>
        <w:drawing>
          <wp:anchor simplePos="0" relativeHeight="251657728" behindDoc="1" locked="0" layoutInCell="0" allowOverlap="1">
            <wp:simplePos x="0" y="0"/>
            <wp:positionH relativeFrom="column">
              <wp:posOffset>5931535</wp:posOffset>
            </wp:positionH>
            <wp:positionV relativeFrom="paragraph">
              <wp:posOffset>-477520</wp:posOffset>
            </wp:positionV>
            <wp:extent cx="145415" cy="160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415" cy="16065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-209550</wp:posOffset>
            </wp:positionV>
            <wp:extent cx="1276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-194310</wp:posOffset>
            </wp:positionV>
            <wp:extent cx="12763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-209550</wp:posOffset>
            </wp:positionV>
            <wp:extent cx="12001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4892675</wp:posOffset>
            </wp:positionH>
            <wp:positionV relativeFrom="paragraph">
              <wp:posOffset>-194310</wp:posOffset>
            </wp:positionV>
            <wp:extent cx="12001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-209550</wp:posOffset>
            </wp:positionV>
            <wp:extent cx="12001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-194310</wp:posOffset>
            </wp:positionV>
            <wp:extent cx="12001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8"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2022-08-11T15:51:18Z</dcterms:created>
  <dcterms:modified xsi:type="dcterms:W3CDTF">2022-08-11T15:51:18Z</dcterms:modified>
</cp:coreProperties>
</file>