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McDonough Cameron Geoffrey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7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200"/>
              <w:spacing w:after="0"/>
              <w:rPr>
                <w:sz w:val="20"/>
                <w:szCs w:val="20"/>
                <w:color w:val="auto"/>
              </w:rPr>
            </w:pPr>
            <w:r>
              <w:rPr>
                <w:rFonts w:ascii="Arial" w:cs="Arial" w:eastAsia="Arial" w:hAnsi="Arial"/>
                <w:sz w:val="14"/>
                <w:szCs w:val="14"/>
                <w:color w:val="auto"/>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rPr>
              <w:t>C/O ZAFGEN, INC.</w:t>
            </w:r>
          </w:p>
        </w:tc>
        <w:tc>
          <w:tcPr>
            <w:tcW w:w="11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w w:val="97"/>
              </w:rPr>
              <w:t>175 PORTLAND STREET</w:t>
            </w:r>
          </w:p>
        </w:tc>
        <w:tc>
          <w:tcPr>
            <w:tcW w:w="11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BOSTON</w:t>
            </w:r>
          </w:p>
        </w:tc>
        <w:tc>
          <w:tcPr>
            <w:tcW w:w="1160" w:type="dxa"/>
            <w:vAlign w:val="bottom"/>
          </w:tcPr>
          <w:p>
            <w:pPr>
              <w:ind w:left="200"/>
              <w:spacing w:after="0"/>
              <w:rPr>
                <w:sz w:val="20"/>
                <w:szCs w:val="20"/>
                <w:color w:val="auto"/>
              </w:rPr>
            </w:pPr>
            <w:r>
              <w:rPr>
                <w:rFonts w:ascii="Arial" w:cs="Arial" w:eastAsia="Arial" w:hAnsi="Arial"/>
                <w:sz w:val="18"/>
                <w:szCs w:val="18"/>
                <w:color w:val="0000FF"/>
              </w:rPr>
              <w:t>MA</w:t>
            </w:r>
          </w:p>
        </w:tc>
        <w:tc>
          <w:tcPr>
            <w:tcW w:w="1160" w:type="dxa"/>
            <w:vAlign w:val="bottom"/>
          </w:tcPr>
          <w:p>
            <w:pPr>
              <w:ind w:left="120"/>
              <w:spacing w:after="0"/>
              <w:rPr>
                <w:sz w:val="20"/>
                <w:szCs w:val="20"/>
                <w:color w:val="auto"/>
              </w:rPr>
            </w:pPr>
            <w:r>
              <w:rPr>
                <w:rFonts w:ascii="Arial" w:cs="Arial" w:eastAsia="Arial" w:hAnsi="Arial"/>
                <w:sz w:val="18"/>
                <w:szCs w:val="18"/>
                <w:color w:val="0000FF"/>
              </w:rPr>
              <w:t>02114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3"/>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0"/>
              </w:rPr>
              <w:t>/s/ Laurie Burlingame, by</w:t>
            </w:r>
          </w:p>
        </w:tc>
        <w:tc>
          <w:tcPr>
            <w:tcW w:w="22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09/28/2015</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80" w:type="dxa"/>
            <w:vAlign w:val="bottom"/>
            <w:gridSpan w:val="2"/>
            <w:vMerge w:val="restart"/>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60" w:type="dxa"/>
            <w:vAlign w:val="bottom"/>
            <w:tcBorders>
              <w:bottom w:val="single" w:sz="8" w:color="auto"/>
            </w:tcBorders>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2099" w:firstLine="632"/>
        <w:spacing w:after="0" w:line="279" w:lineRule="auto"/>
        <w:rPr>
          <w:sz w:val="20"/>
          <w:szCs w:val="20"/>
          <w:color w:val="auto"/>
        </w:rPr>
      </w:pPr>
      <w:r>
        <w:rPr>
          <w:rFonts w:ascii="Courier New" w:cs="Courier New" w:eastAsia="Courier New" w:hAnsi="Courier New"/>
          <w:sz w:val="16"/>
          <w:szCs w:val="16"/>
          <w:color w:val="auto"/>
        </w:rPr>
        <w:t>The undersigned hereby constitutes and appoints each of Patricia L. Allen, Laurie Burlingame, and Thomas E. Hughes, signing singly, and with full power of substitution, the undersigned's true and lawful attorney-in-fact to:</w:t>
      </w:r>
    </w:p>
    <w:p>
      <w:pPr>
        <w:spacing w:after="0" w:line="178" w:lineRule="exact"/>
        <w:rPr>
          <w:sz w:val="20"/>
          <w:szCs w:val="20"/>
          <w:color w:val="auto"/>
        </w:rPr>
      </w:pPr>
    </w:p>
    <w:p>
      <w:pPr>
        <w:ind w:right="1779" w:firstLine="640"/>
        <w:spacing w:after="0" w:line="270" w:lineRule="auto"/>
        <w:tabs>
          <w:tab w:leader="none" w:pos="1369"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184"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13D and (vi) amendments of each thereof, in accordance with the</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 as amended, and the rules thereunder, including any attached documents;</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369"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369"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632"/>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39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September 26, 2015.</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 Cameron Geoffrey McDonough</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Cameron Geoffrey McDonough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lvl w:ilvl="1">
      <w:lvlJc w:val="left"/>
      <w:lvlText w:val="(%2)"/>
      <w:numFmt w:val="decimal"/>
      <w:start w:val="1"/>
    </w:lvl>
  </w:abstractNum>
  <w:abstractNum w:abstractNumId="5">
    <w:nsid w:val="507ED7AB"/>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79130" TargetMode="External"/><Relationship Id="rId12"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2019-12-08T17:05:29Z</dcterms:created>
  <dcterms:modified xsi:type="dcterms:W3CDTF">2019-12-08T17:05:29Z</dcterms:modified>
</cp:coreProperties>
</file>