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7745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77456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Shankar Gopi</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180"/>
        <w:spacing w:after="0" w:line="372" w:lineRule="auto"/>
        <w:rPr>
          <w:sz w:val="20"/>
          <w:szCs w:val="20"/>
          <w:color w:val="auto"/>
        </w:rPr>
      </w:pPr>
      <w:r>
        <w:rPr>
          <w:rFonts w:ascii="Times New Roman" w:cs="Times New Roman" w:eastAsia="Times New Roman" w:hAnsi="Times New Roman"/>
          <w:sz w:val="16"/>
          <w:szCs w:val="16"/>
          <w:color w:val="0000FF"/>
        </w:rPr>
        <w:t>C/O LARIMAR THERAPEUTICS, INC. THREE BALA PLAZA EAST, SUITE 506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jc w:val="center"/>
        <w:ind w:right="175"/>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Larimar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LRMR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01/26/2026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Development Officer</w:t>
      </w:r>
    </w:p>
    <w:p>
      <w:pPr>
        <w:spacing w:after="0" w:line="520"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shd w:val="clear" w:color="auto" w:fill="9A9A9A"/>
          </w:tcPr>
          <w:p>
            <w:pPr>
              <w:spacing w:after="0"/>
              <w:rPr>
                <w:sz w:val="4"/>
                <w:szCs w:val="4"/>
                <w:color w:val="auto"/>
              </w:rPr>
            </w:pPr>
          </w:p>
        </w:tc>
        <w:tc>
          <w:tcPr>
            <w:tcW w:w="620" w:type="dxa"/>
            <w:vAlign w:val="bottom"/>
            <w:shd w:val="clear" w:color="auto" w:fill="9A9A9A"/>
          </w:tcPr>
          <w:p>
            <w:pPr>
              <w:spacing w:after="0"/>
              <w:rPr>
                <w:sz w:val="4"/>
                <w:szCs w:val="4"/>
                <w:color w:val="auto"/>
              </w:rPr>
            </w:pPr>
          </w:p>
        </w:tc>
        <w:tc>
          <w:tcPr>
            <w:tcW w:w="140" w:type="dxa"/>
            <w:vAlign w:val="bottom"/>
            <w:shd w:val="clear" w:color="auto" w:fill="9A9A9A"/>
          </w:tcPr>
          <w:p>
            <w:pPr>
              <w:spacing w:after="0"/>
              <w:rPr>
                <w:sz w:val="4"/>
                <w:szCs w:val="4"/>
                <w:color w:val="auto"/>
              </w:rPr>
            </w:pPr>
          </w:p>
        </w:tc>
        <w:tc>
          <w:tcPr>
            <w:tcW w:w="1060" w:type="dxa"/>
            <w:vAlign w:val="bottom"/>
            <w:shd w:val="clear" w:color="auto" w:fill="9A9A9A"/>
          </w:tcPr>
          <w:p>
            <w:pPr>
              <w:spacing w:after="0"/>
              <w:rPr>
                <w:sz w:val="4"/>
                <w:szCs w:val="4"/>
                <w:color w:val="auto"/>
              </w:rPr>
            </w:pPr>
          </w:p>
        </w:tc>
        <w:tc>
          <w:tcPr>
            <w:tcW w:w="1080" w:type="dxa"/>
            <w:vAlign w:val="bottom"/>
            <w:shd w:val="clear" w:color="auto" w:fill="9A9A9A"/>
          </w:tcPr>
          <w:p>
            <w:pPr>
              <w:spacing w:after="0"/>
              <w:rPr>
                <w:sz w:val="4"/>
                <w:szCs w:val="4"/>
                <w:color w:val="auto"/>
              </w:rPr>
            </w:pPr>
          </w:p>
        </w:tc>
        <w:tc>
          <w:tcPr>
            <w:tcW w:w="160" w:type="dxa"/>
            <w:vAlign w:val="bottom"/>
            <w:shd w:val="clear" w:color="auto" w:fill="9A9A9A"/>
          </w:tcPr>
          <w:p>
            <w:pPr>
              <w:spacing w:after="0"/>
              <w:rPr>
                <w:sz w:val="4"/>
                <w:szCs w:val="4"/>
                <w:color w:val="auto"/>
              </w:rPr>
            </w:pPr>
          </w:p>
        </w:tc>
        <w:tc>
          <w:tcPr>
            <w:tcW w:w="3640" w:type="dxa"/>
            <w:vAlign w:val="bottom"/>
            <w:gridSpan w:val="8"/>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40" w:type="dxa"/>
            <w:vAlign w:val="bottom"/>
            <w:gridSpan w:val="8"/>
            <w:vMerge w:val="continue"/>
          </w:tcPr>
          <w:p>
            <w:pPr>
              <w:spacing w:after="0"/>
              <w:rPr>
                <w:sz w:val="8"/>
                <w:szCs w:val="8"/>
                <w:color w:val="auto"/>
              </w:rPr>
            </w:pPr>
          </w:p>
        </w:tc>
        <w:tc>
          <w:tcPr>
            <w:tcW w:w="368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BALA</w:t>
            </w:r>
          </w:p>
        </w:tc>
        <w:tc>
          <w:tcPr>
            <w:tcW w:w="620" w:type="dxa"/>
            <w:vAlign w:val="bottom"/>
          </w:tcPr>
          <w:p>
            <w:pPr>
              <w:spacing w:after="0"/>
              <w:rPr>
                <w:sz w:val="17"/>
                <w:szCs w:val="17"/>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PA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19004</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line="191" w:lineRule="exact"/>
              <w:rPr>
                <w:sz w:val="20"/>
                <w:szCs w:val="20"/>
                <w:color w:val="auto"/>
              </w:rPr>
            </w:pPr>
            <w:r>
              <w:rPr>
                <w:rFonts w:ascii="Times New Roman" w:cs="Times New Roman" w:eastAsia="Times New Roman" w:hAnsi="Times New Roman"/>
                <w:sz w:val="17"/>
                <w:szCs w:val="17"/>
                <w:color w:val="0000FF"/>
              </w:rPr>
              <w:t>CYNWYD</w:t>
            </w:r>
          </w:p>
        </w:tc>
        <w:tc>
          <w:tcPr>
            <w:tcW w:w="120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60" w:type="dxa"/>
            <w:vAlign w:val="bottom"/>
            <w:gridSpan w:val="6"/>
          </w:tcPr>
          <w:p>
            <w:pPr>
              <w:ind w:left="8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01/26/2026</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4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w w:val="88"/>
              </w:rPr>
              <w:t>25,637</w:t>
            </w:r>
            <w:r>
              <w:rPr>
                <w:rFonts w:ascii="Times New Roman" w:cs="Times New Roman" w:eastAsia="Times New Roman" w:hAnsi="Times New Roman"/>
                <w:sz w:val="21"/>
                <w:szCs w:val="21"/>
                <w:color w:val="008000"/>
                <w:w w:val="88"/>
                <w:vertAlign w:val="superscript"/>
              </w:rPr>
              <w:t>(1)</w:t>
            </w:r>
          </w:p>
        </w:tc>
        <w:tc>
          <w:tcPr>
            <w:tcW w:w="5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76,443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3.6</w:t>
            </w:r>
          </w:p>
        </w:tc>
        <w:tc>
          <w:tcPr>
            <w:tcW w:w="1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01/26/2026</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153,822</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01/26/2036</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153,822</w:t>
            </w:r>
          </w:p>
        </w:tc>
        <w:tc>
          <w:tcPr>
            <w:tcW w:w="40" w:type="dxa"/>
            <w:vAlign w:val="bottom"/>
          </w:tcPr>
          <w:p>
            <w:pPr>
              <w:spacing w:after="0"/>
              <w:rPr>
                <w:sz w:val="17"/>
                <w:szCs w:val="17"/>
                <w:color w:val="auto"/>
              </w:rPr>
            </w:pPr>
          </w:p>
        </w:tc>
        <w:tc>
          <w:tcPr>
            <w:tcW w:w="70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153,822</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ind w:left="2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is represented by a restricted stock unit ("RSU"). Each RSU represents a contingent right to receive one share of the Issuer's Common Stock upon settlement.</w:t>
      </w:r>
    </w:p>
    <w:p>
      <w:pPr>
        <w:spacing w:after="0" w:line="41" w:lineRule="exact"/>
        <w:rPr>
          <w:rFonts w:ascii="Times New Roman" w:cs="Times New Roman" w:eastAsia="Times New Roman" w:hAnsi="Times New Roman"/>
          <w:sz w:val="13"/>
          <w:szCs w:val="13"/>
          <w:color w:val="008000"/>
        </w:rPr>
      </w:pPr>
    </w:p>
    <w:p>
      <w:pPr>
        <w:ind w:left="40" w:right="54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25% on January 26, 2027, with the remaining 75% vesting in equal monthly installments on the last day of each of the 36 calendar months immediately following such date, subject to the Reporting Person's continued service with the Issuer through the applicable vesting date.</w:t>
      </w:r>
    </w:p>
    <w:p>
      <w:pPr>
        <w:spacing w:after="0" w:line="2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Jennifer Johansson,</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01/27/2026</w:t>
            </w:r>
          </w:p>
        </w:tc>
        <w:tc>
          <w:tcPr>
            <w:tcW w:w="0" w:type="dxa"/>
            <w:vAlign w:val="bottom"/>
          </w:tcPr>
          <w:p>
            <w:pPr>
              <w:spacing w:after="0"/>
              <w:rPr>
                <w:sz w:val="1"/>
                <w:szCs w:val="1"/>
                <w:color w:val="auto"/>
              </w:rPr>
            </w:pPr>
          </w:p>
        </w:tc>
      </w:tr>
      <w:tr>
        <w:trPr>
          <w:trHeight w:val="87"/>
        </w:trPr>
        <w:tc>
          <w:tcPr>
            <w:tcW w:w="1480" w:type="dxa"/>
            <w:vAlign w:val="bottom"/>
            <w:tcBorders>
              <w:top w:val="single" w:sz="8" w:color="auto"/>
              <w:bottom w:val="single" w:sz="8" w:color="auto"/>
            </w:tcBorders>
            <w:gridSpan w:val="2"/>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Attorney-in-fact</w:t>
            </w:r>
          </w:p>
        </w:tc>
        <w:tc>
          <w:tcPr>
            <w:tcW w:w="72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48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60" w:type="dxa"/>
            <w:vAlign w:val="bottom"/>
            <w:shd w:val="clear" w:color="auto" w:fill="000000"/>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65014" TargetMode="External"/><Relationship Id="rId14"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2026-01-27T16:22:37Z</dcterms:created>
  <dcterms:modified xsi:type="dcterms:W3CDTF">2026-01-27T16:22:37Z</dcterms:modified>
</cp:coreProperties>
</file>