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3660" w:right="1560" w:hanging="3644"/>
        <w:spacing w:after="0" w:line="295" w:lineRule="auto"/>
        <w:tabs>
          <w:tab w:leader="none" w:pos="53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6" w:lineRule="exact"/>
        <w:rPr>
          <w:sz w:val="24"/>
          <w:szCs w:val="24"/>
          <w:color w:val="auto"/>
        </w:rPr>
      </w:pPr>
    </w:p>
    <w:p>
      <w:pPr>
        <w:ind w:left="4340" w:right="1560" w:hanging="4324"/>
        <w:spacing w:after="0" w:line="328" w:lineRule="auto"/>
        <w:tabs>
          <w:tab w:leader="none" w:pos="52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001-36510</w:t>
      </w:r>
    </w:p>
    <w:p>
      <w:pPr>
        <w:spacing w:after="0" w:line="200"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5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67"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right"/>
              <w:ind w:right="2305"/>
              <w:spacing w:after="0"/>
              <w:rPr>
                <w:sz w:val="20"/>
                <w:szCs w:val="20"/>
                <w:color w:val="auto"/>
              </w:rPr>
            </w:pPr>
            <w:r>
              <w:rPr>
                <w:rFonts w:ascii="Times New Roman" w:cs="Times New Roman" w:eastAsia="Times New Roman" w:hAnsi="Times New Roman"/>
                <w:sz w:val="18"/>
                <w:szCs w:val="18"/>
                <w:b w:val="1"/>
                <w:bCs w:val="1"/>
                <w:color w:val="auto"/>
              </w:rPr>
              <w:t>20-3857670</w:t>
            </w:r>
          </w:p>
        </w:tc>
      </w:tr>
      <w:tr>
        <w:trPr>
          <w:trHeight w:val="148"/>
        </w:trPr>
        <w:tc>
          <w:tcPr>
            <w:tcW w:w="4060" w:type="dxa"/>
            <w:vAlign w:val="bottom"/>
          </w:tcPr>
          <w:p>
            <w:pPr>
              <w:jc w:val="center"/>
              <w:ind w:left="1504"/>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760" w:type="dxa"/>
            <w:vAlign w:val="bottom"/>
          </w:tcPr>
          <w:p>
            <w:pPr>
              <w:jc w:val="center"/>
              <w:ind w:right="178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60" w:type="dxa"/>
            <w:vAlign w:val="bottom"/>
          </w:tcPr>
          <w:p>
            <w:pPr>
              <w:jc w:val="center"/>
              <w:ind w:left="150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8"/>
                <w:szCs w:val="18"/>
                <w:b w:val="1"/>
                <w:bCs w:val="1"/>
                <w:color w:val="auto"/>
                <w:w w:val="99"/>
              </w:rPr>
              <w:t>Three Bala Plaza East, Suite 506</w:t>
            </w:r>
          </w:p>
        </w:tc>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760" w:type="dxa"/>
            <w:vAlign w:val="bottom"/>
          </w:tcPr>
          <w:p>
            <w:pPr>
              <w:jc w:val="right"/>
              <w:ind w:right="2505"/>
              <w:spacing w:after="0"/>
              <w:rPr>
                <w:sz w:val="20"/>
                <w:szCs w:val="20"/>
                <w:color w:val="auto"/>
              </w:rPr>
            </w:pPr>
            <w:r>
              <w:rPr>
                <w:rFonts w:ascii="Times New Roman" w:cs="Times New Roman" w:eastAsia="Times New Roman" w:hAnsi="Times New Roman"/>
                <w:sz w:val="18"/>
                <w:szCs w:val="18"/>
                <w:b w:val="1"/>
                <w:bCs w:val="1"/>
                <w:color w:val="auto"/>
              </w:rPr>
              <w:t>19004</w:t>
            </w:r>
          </w:p>
        </w:tc>
      </w:tr>
      <w:tr>
        <w:trPr>
          <w:trHeight w:val="200"/>
        </w:trPr>
        <w:tc>
          <w:tcPr>
            <w:tcW w:w="4060" w:type="dxa"/>
            <w:vAlign w:val="bottom"/>
          </w:tcPr>
          <w:p>
            <w:pPr>
              <w:ind w:left="2120"/>
              <w:spacing w:after="0" w:line="201" w:lineRule="exact"/>
              <w:rPr>
                <w:sz w:val="20"/>
                <w:szCs w:val="20"/>
                <w:color w:val="auto"/>
              </w:rPr>
            </w:pPr>
            <w:r>
              <w:rPr>
                <w:rFonts w:ascii="Times New Roman" w:cs="Times New Roman" w:eastAsia="Times New Roman" w:hAnsi="Times New Roman"/>
                <w:sz w:val="18"/>
                <w:szCs w:val="18"/>
                <w:b w:val="1"/>
                <w:bCs w:val="1"/>
                <w:color w:val="auto"/>
              </w:rPr>
              <w:t>Bala Cynwyd, PA</w:t>
            </w:r>
          </w:p>
        </w:tc>
        <w:tc>
          <w:tcPr>
            <w:tcW w:w="4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760" w:type="dxa"/>
            <w:vAlign w:val="bottom"/>
          </w:tcPr>
          <w:p>
            <w:pPr>
              <w:jc w:val="center"/>
              <w:ind w:right="1785"/>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4060" w:type="dxa"/>
            <w:vAlign w:val="bottom"/>
          </w:tcPr>
          <w:p>
            <w:pPr>
              <w:jc w:val="center"/>
              <w:ind w:left="14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760" w:type="dxa"/>
            <w:vAlign w:val="bottom"/>
          </w:tcPr>
          <w:p>
            <w:pPr>
              <w:spacing w:after="0"/>
              <w:rPr>
                <w:sz w:val="16"/>
                <w:szCs w:val="16"/>
                <w:color w:val="auto"/>
              </w:rPr>
            </w:pPr>
          </w:p>
        </w:tc>
      </w:tr>
      <w:tr>
        <w:trPr>
          <w:trHeight w:val="377"/>
        </w:trPr>
        <w:tc>
          <w:tcPr>
            <w:tcW w:w="4060" w:type="dxa"/>
            <w:vAlign w:val="bottom"/>
          </w:tcPr>
          <w:p>
            <w:pPr>
              <w:spacing w:after="0"/>
              <w:rPr>
                <w:sz w:val="24"/>
                <w:szCs w:val="24"/>
                <w:color w:val="auto"/>
              </w:rPr>
            </w:pPr>
          </w:p>
        </w:tc>
        <w:tc>
          <w:tcPr>
            <w:tcW w:w="2700" w:type="dxa"/>
            <w:vAlign w:val="bottom"/>
            <w:gridSpan w:val="2"/>
          </w:tcPr>
          <w:p>
            <w:pPr>
              <w:jc w:val="center"/>
              <w:ind w:left="304"/>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720" w:type="dxa"/>
            <w:vAlign w:val="bottom"/>
          </w:tcPr>
          <w:p>
            <w:pPr>
              <w:spacing w:after="0"/>
              <w:rPr>
                <w:sz w:val="24"/>
                <w:szCs w:val="24"/>
                <w:color w:val="auto"/>
              </w:rPr>
            </w:pPr>
          </w:p>
        </w:tc>
        <w:tc>
          <w:tcPr>
            <w:tcW w:w="3760" w:type="dxa"/>
            <w:vAlign w:val="bottom"/>
          </w:tcPr>
          <w:p>
            <w:pPr>
              <w:spacing w:after="0"/>
              <w:rPr>
                <w:sz w:val="24"/>
                <w:szCs w:val="24"/>
                <w:color w:val="auto"/>
              </w:rPr>
            </w:pPr>
          </w:p>
        </w:tc>
      </w:tr>
      <w:tr>
        <w:trPr>
          <w:trHeight w:val="190"/>
        </w:trPr>
        <w:tc>
          <w:tcPr>
            <w:tcW w:w="7480" w:type="dxa"/>
            <w:vAlign w:val="bottom"/>
            <w:gridSpan w:val="4"/>
          </w:tcPr>
          <w:p>
            <w:pPr>
              <w:jc w:val="center"/>
              <w:ind w:left="36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60" w:type="dxa"/>
            <w:vAlign w:val="bottom"/>
          </w:tcPr>
          <w:p>
            <w:pPr>
              <w:spacing w:after="0"/>
              <w:rPr>
                <w:sz w:val="16"/>
                <w:szCs w:val="16"/>
                <w:color w:val="auto"/>
              </w:rPr>
            </w:pPr>
          </w:p>
        </w:tc>
      </w:tr>
      <w:tr>
        <w:trPr>
          <w:trHeight w:val="345"/>
        </w:trPr>
        <w:tc>
          <w:tcPr>
            <w:tcW w:w="4060" w:type="dxa"/>
            <w:vAlign w:val="bottom"/>
          </w:tcPr>
          <w:p>
            <w:pPr>
              <w:spacing w:after="0"/>
              <w:rPr>
                <w:sz w:val="24"/>
                <w:szCs w:val="24"/>
                <w:color w:val="auto"/>
              </w:rPr>
            </w:pPr>
          </w:p>
        </w:tc>
        <w:tc>
          <w:tcPr>
            <w:tcW w:w="342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760" w:type="dxa"/>
            <w:vAlign w:val="bottom"/>
          </w:tcPr>
          <w:p>
            <w:pPr>
              <w:spacing w:after="0"/>
              <w:rPr>
                <w:sz w:val="24"/>
                <w:szCs w:val="24"/>
                <w:color w:val="auto"/>
              </w:rPr>
            </w:pPr>
          </w:p>
        </w:tc>
      </w:tr>
      <w:tr>
        <w:trPr>
          <w:trHeight w:val="242"/>
        </w:trPr>
        <w:tc>
          <w:tcPr>
            <w:tcW w:w="40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760" w:type="dxa"/>
            <w:vAlign w:val="bottom"/>
            <w:tcBorders>
              <w:bottom w:val="single" w:sz="8" w:color="auto"/>
            </w:tcBorders>
          </w:tcPr>
          <w:p>
            <w:pPr>
              <w:spacing w:after="0"/>
              <w:rPr>
                <w:sz w:val="21"/>
                <w:szCs w:val="21"/>
                <w:color w:val="auto"/>
              </w:rPr>
            </w:pPr>
          </w:p>
        </w:tc>
      </w:tr>
      <w:tr>
        <w:trPr>
          <w:trHeight w:val="122"/>
        </w:trPr>
        <w:tc>
          <w:tcPr>
            <w:tcW w:w="4060" w:type="dxa"/>
            <w:vAlign w:val="bottom"/>
            <w:tcBorders>
              <w:left w:val="single" w:sz="8" w:color="auto"/>
              <w:bottom w:val="single" w:sz="8" w:color="auto"/>
            </w:tcBorders>
          </w:tcPr>
          <w:p>
            <w:pPr>
              <w:jc w:val="center"/>
              <w:ind w:left="384"/>
              <w:spacing w:after="0" w:line="102" w:lineRule="exact"/>
              <w:rPr>
                <w:sz w:val="20"/>
                <w:szCs w:val="20"/>
                <w:color w:val="auto"/>
              </w:rPr>
            </w:pPr>
            <w:r>
              <w:rPr>
                <w:rFonts w:ascii="Times New Roman" w:cs="Times New Roman" w:eastAsia="Times New Roman" w:hAnsi="Times New Roman"/>
                <w:sz w:val="11"/>
                <w:szCs w:val="11"/>
                <w:color w:val="auto"/>
              </w:rPr>
              <w:t>Title of each class</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02" w:lineRule="exact"/>
              <w:rPr>
                <w:sz w:val="20"/>
                <w:szCs w:val="20"/>
                <w:color w:val="auto"/>
              </w:rPr>
            </w:pPr>
            <w:r>
              <w:rPr>
                <w:rFonts w:ascii="Times New Roman" w:cs="Times New Roman" w:eastAsia="Times New Roman" w:hAnsi="Times New Roman"/>
                <w:sz w:val="11"/>
                <w:szCs w:val="11"/>
                <w:color w:val="auto"/>
              </w:rPr>
              <w:t>Trading Symbol(s)</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02" w:lineRule="exact"/>
              <w:rPr>
                <w:sz w:val="20"/>
                <w:szCs w:val="20"/>
                <w:color w:val="auto"/>
              </w:rPr>
            </w:pPr>
            <w:r>
              <w:rPr>
                <w:rFonts w:ascii="Times New Roman" w:cs="Times New Roman" w:eastAsia="Times New Roman" w:hAnsi="Times New Roman"/>
                <w:sz w:val="11"/>
                <w:szCs w:val="11"/>
                <w:color w:val="auto"/>
              </w:rPr>
              <w:t>Name of each exchange on which registered</w:t>
            </w:r>
          </w:p>
        </w:tc>
      </w:tr>
      <w:tr>
        <w:trPr>
          <w:trHeight w:val="125"/>
        </w:trPr>
        <w:tc>
          <w:tcPr>
            <w:tcW w:w="4060" w:type="dxa"/>
            <w:vAlign w:val="bottom"/>
            <w:tcBorders>
              <w:left w:val="single" w:sz="8" w:color="auto"/>
              <w:bottom w:val="single" w:sz="8" w:color="auto"/>
            </w:tcBorders>
          </w:tcPr>
          <w:p>
            <w:pPr>
              <w:jc w:val="center"/>
              <w:ind w:left="364"/>
              <w:spacing w:after="0" w:line="125" w:lineRule="exact"/>
              <w:rPr>
                <w:sz w:val="20"/>
                <w:szCs w:val="20"/>
                <w:color w:val="auto"/>
              </w:rPr>
            </w:pPr>
            <w:r>
              <w:rPr>
                <w:rFonts w:ascii="Times New Roman" w:cs="Times New Roman" w:eastAsia="Times New Roman" w:hAnsi="Times New Roman"/>
                <w:sz w:val="14"/>
                <w:szCs w:val="14"/>
                <w:color w:val="auto"/>
              </w:rPr>
              <w:t>Common Stock, par value $0.001 per share</w:t>
            </w:r>
          </w:p>
        </w:tc>
        <w:tc>
          <w:tcPr>
            <w:tcW w:w="440" w:type="dxa"/>
            <w:vAlign w:val="bottom"/>
            <w:tcBorders>
              <w:bottom w:val="single" w:sz="8" w:color="auto"/>
              <w:right w:val="single" w:sz="8" w:color="auto"/>
            </w:tcBorders>
          </w:tcPr>
          <w:p>
            <w:pPr>
              <w:spacing w:after="0"/>
              <w:rPr>
                <w:sz w:val="10"/>
                <w:szCs w:val="10"/>
                <w:color w:val="auto"/>
              </w:rPr>
            </w:pPr>
          </w:p>
        </w:tc>
        <w:tc>
          <w:tcPr>
            <w:tcW w:w="2260" w:type="dxa"/>
            <w:vAlign w:val="bottom"/>
            <w:tcBorders>
              <w:bottom w:val="single" w:sz="8" w:color="auto"/>
              <w:right w:val="single" w:sz="8" w:color="auto"/>
            </w:tcBorders>
          </w:tcPr>
          <w:p>
            <w:pPr>
              <w:jc w:val="center"/>
              <w:spacing w:after="0" w:line="125" w:lineRule="exact"/>
              <w:rPr>
                <w:sz w:val="20"/>
                <w:szCs w:val="20"/>
                <w:color w:val="auto"/>
              </w:rPr>
            </w:pPr>
            <w:r>
              <w:rPr>
                <w:rFonts w:ascii="Times New Roman" w:cs="Times New Roman" w:eastAsia="Times New Roman" w:hAnsi="Times New Roman"/>
                <w:sz w:val="14"/>
                <w:szCs w:val="14"/>
                <w:color w:val="auto"/>
              </w:rPr>
              <w:t>LRMR</w:t>
            </w:r>
          </w:p>
        </w:tc>
        <w:tc>
          <w:tcPr>
            <w:tcW w:w="720" w:type="dxa"/>
            <w:vAlign w:val="bottom"/>
            <w:tcBorders>
              <w:bottom w:val="single" w:sz="8" w:color="auto"/>
            </w:tcBorders>
          </w:tcPr>
          <w:p>
            <w:pPr>
              <w:spacing w:after="0"/>
              <w:rPr>
                <w:sz w:val="10"/>
                <w:szCs w:val="10"/>
                <w:color w:val="auto"/>
              </w:rPr>
            </w:pPr>
          </w:p>
        </w:tc>
        <w:tc>
          <w:tcPr>
            <w:tcW w:w="3760" w:type="dxa"/>
            <w:vAlign w:val="bottom"/>
            <w:tcBorders>
              <w:bottom w:val="single" w:sz="8" w:color="auto"/>
              <w:right w:val="single" w:sz="8" w:color="auto"/>
            </w:tcBorders>
          </w:tcPr>
          <w:p>
            <w:pPr>
              <w:jc w:val="center"/>
              <w:ind w:right="665"/>
              <w:spacing w:after="0" w:line="125" w:lineRule="exact"/>
              <w:rPr>
                <w:sz w:val="20"/>
                <w:szCs w:val="20"/>
                <w:color w:val="auto"/>
              </w:rPr>
            </w:pPr>
            <w:r>
              <w:rPr>
                <w:rFonts w:ascii="Times New Roman" w:cs="Times New Roman" w:eastAsia="Times New Roman" w:hAnsi="Times New Roman"/>
                <w:sz w:val="14"/>
                <w:szCs w:val="14"/>
                <w:color w:val="auto"/>
              </w:rPr>
              <w:t>The Nasdaq Global Market</w:t>
            </w:r>
          </w:p>
        </w:tc>
      </w:tr>
    </w:tbl>
    <w:p>
      <w:pPr>
        <w:spacing w:after="0" w:line="175" w:lineRule="exact"/>
        <w:rPr>
          <w:sz w:val="24"/>
          <w:szCs w:val="24"/>
          <w:color w:val="auto"/>
        </w:rPr>
      </w:pPr>
    </w:p>
    <w:p>
      <w:pPr>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ind w:right="24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5" w:lineRule="exact"/>
        <w:rPr>
          <w:sz w:val="24"/>
          <w:szCs w:val="24"/>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rPr>
                <w:sz w:val="20"/>
                <w:szCs w:val="20"/>
                <w:color w:val="auto"/>
              </w:rPr>
            </w:pPr>
            <w:r>
              <w:rPr>
                <w:rFonts w:ascii="Times New Roman" w:cs="Times New Roman" w:eastAsia="Times New Roman" w:hAnsi="Times New Roman"/>
                <w:sz w:val="16"/>
                <w:szCs w:val="16"/>
                <w:color w:val="auto"/>
              </w:rPr>
              <w:t>Accelerated filer</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75"/>
        </w:trPr>
        <w:tc>
          <w:tcPr>
            <w:tcW w:w="218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Non-accelerated filer</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ind w:left="2560"/>
              <w:spacing w:after="0" w:line="175" w:lineRule="exact"/>
              <w:rPr>
                <w:sz w:val="20"/>
                <w:szCs w:val="20"/>
                <w:color w:val="auto"/>
              </w:rPr>
            </w:pPr>
            <w:r>
              <w:rPr>
                <w:rFonts w:ascii="Times New Roman" w:cs="Times New Roman" w:eastAsia="Times New Roman" w:hAnsi="Times New Roman"/>
                <w:sz w:val="16"/>
                <w:szCs w:val="16"/>
                <w:color w:val="auto"/>
              </w:rPr>
              <w:t>Emerging growth company</w:t>
            </w:r>
          </w:p>
        </w:tc>
        <w:tc>
          <w:tcPr>
            <w:tcW w:w="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12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860" w:type="dxa"/>
            <w:vAlign w:val="bottom"/>
          </w:tcPr>
          <w:p>
            <w:pPr>
              <w:spacing w:after="0"/>
              <w:rPr>
                <w:sz w:val="22"/>
                <w:szCs w:val="22"/>
                <w:color w:val="auto"/>
              </w:rPr>
            </w:pPr>
          </w:p>
        </w:tc>
        <w:tc>
          <w:tcPr>
            <w:tcW w:w="660" w:type="dxa"/>
            <w:vAlign w:val="bottom"/>
          </w:tcPr>
          <w:p>
            <w:pPr>
              <w:spacing w:after="0"/>
              <w:rPr>
                <w:sz w:val="22"/>
                <w:szCs w:val="22"/>
                <w:color w:val="auto"/>
              </w:rPr>
            </w:pPr>
          </w:p>
        </w:tc>
      </w:tr>
    </w:tbl>
    <w:p>
      <w:pPr>
        <w:spacing w:after="0" w:line="137" w:lineRule="exact"/>
        <w:rPr>
          <w:sz w:val="24"/>
          <w:szCs w:val="24"/>
          <w:color w:val="auto"/>
        </w:rPr>
      </w:pPr>
    </w:p>
    <w:p>
      <w:pPr>
        <w:ind w:right="58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right="2760"/>
        <w:spacing w:after="0" w:line="26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8, 2022, there were 43,269,200 shares of the registrant’s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3" w:right="33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Statements made in this Quarterly Report on Form 10-Q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9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54" w:lineRule="exact"/>
        <w:rPr>
          <w:sz w:val="20"/>
          <w:szCs w:val="20"/>
          <w:color w:val="auto"/>
        </w:rPr>
      </w:pPr>
    </w:p>
    <w:p>
      <w:pPr>
        <w:ind w:left="1020" w:right="14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with, and satisfactorily respond to, requests from the U.S. Food and Drug Administration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82" w:lineRule="exact"/>
        <w:rPr>
          <w:rFonts w:ascii="Times New Roman" w:cs="Times New Roman" w:eastAsia="Times New Roman" w:hAnsi="Times New Roman"/>
          <w:sz w:val="18"/>
          <w:szCs w:val="18"/>
          <w:color w:val="auto"/>
        </w:rPr>
      </w:pPr>
    </w:p>
    <w:p>
      <w:pPr>
        <w:ind w:left="1020" w:hanging="503"/>
        <w:spacing w:after="0" w:line="272"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64" w:lineRule="exact"/>
        <w:rPr>
          <w:rFonts w:ascii="Times New Roman" w:cs="Times New Roman" w:eastAsia="Times New Roman" w:hAnsi="Times New Roman"/>
          <w:sz w:val="17"/>
          <w:szCs w:val="17"/>
          <w:color w:val="auto"/>
        </w:rPr>
      </w:pPr>
    </w:p>
    <w:p>
      <w:pPr>
        <w:ind w:left="1020" w:right="30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(including the impact of other clinical trials of competitive products), delays as a result of clinical and non-clinical results and FDA's request for additional studies, changes in clinical protocols, regulatory restrictions, including additional clinical holds, and milestones for CTI-1601, including those associated with COVID-19 and the efforts to mitigate it;</w:t>
      </w:r>
    </w:p>
    <w:p>
      <w:pPr>
        <w:spacing w:after="0" w:line="82"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54"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results of operations, financial position, research and development costs, capital requirements and our needs for additional financing;</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debt securities;</w:t>
      </w:r>
    </w:p>
    <w:p>
      <w:pPr>
        <w:spacing w:after="0" w:line="117" w:lineRule="exact"/>
        <w:rPr>
          <w:rFonts w:ascii="Times New Roman" w:cs="Times New Roman" w:eastAsia="Times New Roman" w:hAnsi="Times New Roman"/>
          <w:sz w:val="18"/>
          <w:szCs w:val="18"/>
          <w:color w:val="auto"/>
        </w:rPr>
      </w:pPr>
    </w:p>
    <w:p>
      <w:pPr>
        <w:ind w:left="1020" w:right="440" w:hanging="503"/>
        <w:spacing w:after="0" w:line="296" w:lineRule="auto"/>
        <w:tabs>
          <w:tab w:leader="none" w:pos="10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30" w:lineRule="exact"/>
        <w:rPr>
          <w:rFonts w:ascii="Times New Roman" w:cs="Times New Roman" w:eastAsia="Times New Roman" w:hAnsi="Times New Roman"/>
          <w:sz w:val="17"/>
          <w:szCs w:val="17"/>
          <w:color w:val="auto"/>
        </w:rPr>
      </w:pPr>
    </w:p>
    <w:p>
      <w:pPr>
        <w:ind w:left="1020" w:right="300" w:hanging="503"/>
        <w:spacing w:after="0" w:line="258"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61"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153035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2" w:name="page3"/>
    <w:bookmarkEnd w:id="2"/>
    <w:p>
      <w:pPr>
        <w:ind w:left="1020" w:right="24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61" w:lineRule="exact"/>
        <w:rPr>
          <w:rFonts w:ascii="Times New Roman" w:cs="Times New Roman" w:eastAsia="Times New Roman" w:hAnsi="Times New Roman"/>
          <w:sz w:val="18"/>
          <w:szCs w:val="18"/>
          <w:color w:val="auto"/>
        </w:rPr>
      </w:pPr>
    </w:p>
    <w:p>
      <w:pPr>
        <w:ind w:left="1020" w:right="20" w:hanging="503"/>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therapies and products including those that are currently in clinical development which become available via marketing authorizations or compassionate use and their impact on our ability to recruit and retain clinical trial patients, to obtain and maintain potential expedited regulatory pathways, and to commercialize current and future product candidates, if approved, (including the impact of potential barriers to entry if a competitor is able to establish a strong market position before we are able to commercialize our products);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third-parties;</w:t>
      </w:r>
    </w:p>
    <w:p>
      <w:pPr>
        <w:spacing w:after="0" w:line="103" w:lineRule="exact"/>
        <w:rPr>
          <w:rFonts w:ascii="Times New Roman" w:cs="Times New Roman" w:eastAsia="Times New Roman" w:hAnsi="Times New Roman"/>
          <w:sz w:val="18"/>
          <w:szCs w:val="18"/>
          <w:color w:val="auto"/>
        </w:rPr>
      </w:pPr>
    </w:p>
    <w:p>
      <w:pPr>
        <w:ind w:left="1020" w:right="48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third parties upon which we depend, including third-party contract research organizations ("CROs") and third-party suppliers, manufacturers, distributors, and logistics providers;</w:t>
      </w:r>
    </w:p>
    <w:p>
      <w:pPr>
        <w:spacing w:after="0" w:line="54"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relationships, and contracts with our key vendors and to identify and contract with alternate or secondary key vendors;</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40" w:lineRule="exact"/>
        <w:rPr>
          <w:rFonts w:ascii="Times New Roman" w:cs="Times New Roman" w:eastAsia="Times New Roman" w:hAnsi="Times New Roman"/>
          <w:sz w:val="18"/>
          <w:szCs w:val="18"/>
          <w:color w:val="auto"/>
        </w:rPr>
      </w:pPr>
    </w:p>
    <w:p>
      <w:pPr>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health epidemics, unforeseen emergencies and other outbreaks of communicable diseases, including the ongoing COVID-19 pandemic and the efforts to mitigate it, and geopolitical turmoil, could disrupt our operations, the operations of third parties on which we rely or the operations of regulatory agencies we interact with in the development of CTI-1601; and</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w:t>
      </w:r>
    </w:p>
    <w:p>
      <w:pPr>
        <w:spacing w:after="0" w:line="1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2022, and measures being taken worldwide designed to reduce healthcare costs and limit the overall level of government expenditures.</w:t>
      </w:r>
    </w:p>
    <w:p>
      <w:pPr>
        <w:spacing w:after="0" w:line="97"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The factors that could cause or contribute to such differences include, but are not limited to, those discussed in our Annual Report on Form 10-K filed on March 25, 2022. All forward-looking statements are applicable only as of the date on which they were made and, except as required by law, we undertake no obligation to publicly update any forward-looking statements, whether as a result of new information, future events or otherwise after the date of this Quarterly Report on Form 10-Q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660" w:type="dxa"/>
            <w:vAlign w:val="bottom"/>
            <w:gridSpan w:val="11"/>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7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3120" w:type="dxa"/>
            <w:vAlign w:val="bottom"/>
            <w:tcBorders>
              <w:top w:val="single" w:sz="8" w:color="0000FF"/>
            </w:tcBorders>
            <w:gridSpan w:val="5"/>
          </w:tcPr>
          <w:p>
            <w:pPr>
              <w:spacing w:after="0"/>
              <w:rPr>
                <w:sz w:val="22"/>
                <w:szCs w:val="22"/>
                <w:color w:val="auto"/>
              </w:rPr>
            </w:pPr>
          </w:p>
        </w:tc>
        <w:tc>
          <w:tcPr>
            <w:tcW w:w="3540" w:type="dxa"/>
            <w:vAlign w:val="bottom"/>
            <w:gridSpan w:val="6"/>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September 30, 2022 and December 31,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nine months ended September 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2022 and 2021</w:t>
            </w:r>
          </w:p>
        </w:tc>
        <w:tc>
          <w:tcPr>
            <w:tcW w:w="20" w:type="dxa"/>
            <w:vAlign w:val="bottom"/>
            <w:tcBorders>
              <w:top w:val="single" w:sz="8" w:color="0000FF"/>
              <w:bottom w:val="single" w:sz="8" w:color="0000EE"/>
            </w:tcBorders>
          </w:tcPr>
          <w:p>
            <w:pPr>
              <w:spacing w:after="0"/>
              <w:rPr>
                <w:sz w:val="14"/>
                <w:szCs w:val="14"/>
                <w:color w:val="auto"/>
              </w:rPr>
            </w:pPr>
          </w:p>
        </w:tc>
        <w:tc>
          <w:tcPr>
            <w:tcW w:w="8180" w:type="dxa"/>
            <w:vAlign w:val="bottom"/>
            <w:tcBorders>
              <w:top w:val="single" w:sz="8" w:color="0000FF"/>
            </w:tcBorders>
            <w:gridSpan w:val="15"/>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Borders>
              <w:top w:val="single" w:sz="8" w:color="0000FF"/>
              <w:bottom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2022 and 2021</w:t>
            </w:r>
          </w:p>
        </w:tc>
        <w:tc>
          <w:tcPr>
            <w:tcW w:w="20" w:type="dxa"/>
            <w:vAlign w:val="bottom"/>
            <w:tcBorders>
              <w:top w:val="single" w:sz="8" w:color="0000FF"/>
              <w:bottom w:val="single" w:sz="8" w:color="0000EE"/>
            </w:tcBorders>
          </w:tcPr>
          <w:p>
            <w:pPr>
              <w:spacing w:after="0"/>
              <w:rPr>
                <w:sz w:val="14"/>
                <w:szCs w:val="14"/>
                <w:color w:val="auto"/>
              </w:rPr>
            </w:pPr>
          </w:p>
        </w:tc>
        <w:tc>
          <w:tcPr>
            <w:tcW w:w="7880" w:type="dxa"/>
            <w:vAlign w:val="bottom"/>
            <w:tcBorders>
              <w:top w:val="single" w:sz="8" w:color="0000FF"/>
            </w:tcBorders>
            <w:gridSpan w:val="14"/>
          </w:tcPr>
          <w:p>
            <w:pPr>
              <w:spacing w:after="0"/>
              <w:rPr>
                <w:sz w:val="14"/>
                <w:szCs w:val="14"/>
                <w:color w:val="auto"/>
              </w:rPr>
            </w:pPr>
          </w:p>
        </w:tc>
        <w:tc>
          <w:tcPr>
            <w:tcW w:w="42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2022 and 2021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1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360" w:type="dxa"/>
            <w:vAlign w:val="bottom"/>
            <w:tcBorders>
              <w:left w:val="single" w:sz="8" w:color="0000FF"/>
            </w:tcBorders>
          </w:tcPr>
          <w:p>
            <w:pPr>
              <w:spacing w:after="0" w:line="20" w:lineRule="exact"/>
              <w:rPr>
                <w:sz w:val="1"/>
                <w:szCs w:val="1"/>
                <w:color w:val="auto"/>
              </w:rPr>
            </w:pPr>
          </w:p>
        </w:tc>
        <w:tc>
          <w:tcPr>
            <w:tcW w:w="370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3700" w:type="dxa"/>
            <w:vAlign w:val="bottom"/>
            <w:gridSpan w:val="7"/>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06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8480" w:type="dxa"/>
            <w:vAlign w:val="bottom"/>
            <w:gridSpan w:val="18"/>
            <w:vMerge w:val="restart"/>
          </w:tcPr>
          <w:p>
            <w:pPr>
              <w:ind w:left="60"/>
              <w:spacing w:after="0" w:line="189"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5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4"/>
              </w:rPr>
              <w:t>Unregistered</w:t>
            </w:r>
          </w:p>
        </w:tc>
        <w:tc>
          <w:tcPr>
            <w:tcW w:w="8480" w:type="dxa"/>
            <w:vAlign w:val="bottom"/>
            <w:gridSpan w:val="18"/>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tcBorders>
              <w:left w:val="single" w:sz="8" w:color="0000FF"/>
            </w:tcBorders>
            <w:gridSpan w:val="5"/>
            <w:shd w:val="clear" w:color="auto" w:fill="0000FF"/>
          </w:tcPr>
          <w:p>
            <w:pPr>
              <w:spacing w:after="0" w:line="20" w:lineRule="exact"/>
              <w:rPr>
                <w:sz w:val="1"/>
                <w:szCs w:val="1"/>
                <w:color w:val="auto"/>
              </w:rPr>
            </w:pPr>
          </w:p>
        </w:tc>
        <w:tc>
          <w:tcPr>
            <w:tcW w:w="5060" w:type="dxa"/>
            <w:vAlign w:val="bottom"/>
            <w:gridSpan w:val="8"/>
            <w:vMerge w:val="restart"/>
          </w:tcPr>
          <w:p>
            <w:pPr>
              <w:spacing w:after="0" w:line="20" w:lineRule="exact"/>
              <w:rPr>
                <w:sz w:val="1"/>
                <w:szCs w:val="1"/>
                <w:color w:val="auto"/>
              </w:rPr>
            </w:pPr>
          </w:p>
        </w:tc>
        <w:tc>
          <w:tcPr>
            <w:tcW w:w="520" w:type="dxa"/>
            <w:vAlign w:val="bottom"/>
            <w:vMerge w:val="restart"/>
          </w:tcPr>
          <w:p>
            <w:pPr>
              <w:jc w:val="right"/>
              <w:spacing w:after="0" w:line="189"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4340" w:type="dxa"/>
            <w:vAlign w:val="bottom"/>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060" w:type="dxa"/>
            <w:vAlign w:val="bottom"/>
            <w:gridSpan w:val="8"/>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080" w:type="dxa"/>
            <w:vAlign w:val="bottom"/>
            <w:gridSpan w:val="1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8080" w:type="dxa"/>
            <w:vAlign w:val="bottom"/>
            <w:gridSpan w:val="1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00" w:type="dxa"/>
            <w:vAlign w:val="bottom"/>
            <w:tcBorders>
              <w:top w:val="single" w:sz="8" w:color="0000FF"/>
            </w:tcBorders>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4340" w:type="dxa"/>
            <w:vAlign w:val="bottom"/>
            <w:gridSpan w:val="12"/>
          </w:tcPr>
          <w:p>
            <w:pPr>
              <w:jc w:val="center"/>
              <w:ind w:left="4170"/>
              <w:spacing w:after="0"/>
              <w:rPr>
                <w:sz w:val="20"/>
                <w:szCs w:val="20"/>
                <w:color w:val="auto"/>
              </w:rPr>
            </w:pPr>
            <w:r>
              <w:rPr>
                <w:rFonts w:ascii="Times New Roman" w:cs="Times New Roman" w:eastAsia="Times New Roman" w:hAnsi="Times New Roman"/>
                <w:sz w:val="18"/>
                <w:szCs w:val="18"/>
                <w:color w:val="auto"/>
                <w:w w:val="88"/>
              </w:rPr>
              <w:t>2</w:t>
            </w: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1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86,047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127,127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133,015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Pr>
          <w:p>
            <w:pPr>
              <w:spacing w:after="0"/>
              <w:rPr>
                <w:sz w:val="18"/>
                <w:szCs w:val="18"/>
                <w:color w:val="auto"/>
              </w:rPr>
            </w:pPr>
          </w:p>
        </w:tc>
      </w:tr>
      <w:tr>
        <w:trPr>
          <w:trHeight w:val="209"/>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62"/>
        </w:trPr>
        <w:tc>
          <w:tcPr>
            <w:tcW w:w="7720" w:type="dxa"/>
            <w:vAlign w:val="bottom"/>
          </w:tcPr>
          <w:p>
            <w:pPr>
              <w:ind w:left="200"/>
              <w:spacing w:after="0" w:line="162" w:lineRule="exact"/>
              <w:rPr>
                <w:sz w:val="20"/>
                <w:szCs w:val="20"/>
                <w:color w:val="auto"/>
              </w:rPr>
            </w:pPr>
            <w:r>
              <w:rPr>
                <w:rFonts w:ascii="Times New Roman" w:cs="Times New Roman" w:eastAsia="Times New Roman" w:hAnsi="Times New Roman"/>
                <w:sz w:val="18"/>
                <w:szCs w:val="18"/>
                <w:color w:val="auto"/>
              </w:rPr>
              <w:t>Preferred stock; $0.001 par value per share; 5,000,000 shares authorized</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7720" w:type="dxa"/>
            <w:vAlign w:val="bottom"/>
          </w:tcPr>
          <w:p>
            <w:pPr>
              <w:ind w:left="340"/>
              <w:spacing w:after="0" w:line="184" w:lineRule="exact"/>
              <w:rPr>
                <w:sz w:val="20"/>
                <w:szCs w:val="20"/>
                <w:color w:val="auto"/>
              </w:rPr>
            </w:pPr>
            <w:r>
              <w:rPr>
                <w:rFonts w:ascii="Times New Roman" w:cs="Times New Roman" w:eastAsia="Times New Roman" w:hAnsi="Times New Roman"/>
                <w:sz w:val="18"/>
                <w:szCs w:val="18"/>
                <w:color w:val="auto"/>
              </w:rPr>
              <w:t>as of September 30, 2022 and December 31, 2021; no shares issued and</w:t>
            </w: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8"/>
        </w:trPr>
        <w:tc>
          <w:tcPr>
            <w:tcW w:w="7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outstanding as of September 30, 2022 and December 31, 2021</w:t>
            </w:r>
          </w:p>
        </w:tc>
        <w:tc>
          <w:tcPr>
            <w:tcW w:w="240" w:type="dxa"/>
            <w:vAlign w:val="bottom"/>
          </w:tcPr>
          <w:p>
            <w:pPr>
              <w:spacing w:after="0"/>
              <w:rPr>
                <w:sz w:val="21"/>
                <w:szCs w:val="21"/>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62"/>
        </w:trPr>
        <w:tc>
          <w:tcPr>
            <w:tcW w:w="7720" w:type="dxa"/>
            <w:vAlign w:val="bottom"/>
            <w:shd w:val="clear" w:color="auto" w:fill="CFF0FC"/>
          </w:tcPr>
          <w:p>
            <w:pPr>
              <w:ind w:left="200"/>
              <w:spacing w:after="0" w:line="162" w:lineRule="exact"/>
              <w:rPr>
                <w:sz w:val="20"/>
                <w:szCs w:val="20"/>
                <w:color w:val="auto"/>
              </w:rPr>
            </w:pPr>
            <w:r>
              <w:rPr>
                <w:rFonts w:ascii="Times New Roman" w:cs="Times New Roman" w:eastAsia="Times New Roman" w:hAnsi="Times New Roman"/>
                <w:sz w:val="18"/>
                <w:szCs w:val="18"/>
                <w:color w:val="auto"/>
              </w:rPr>
              <w:t>Common stock, $0.001 par value per share; 115,000,000 shares</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4"/>
        </w:trPr>
        <w:tc>
          <w:tcPr>
            <w:tcW w:w="7720" w:type="dxa"/>
            <w:vAlign w:val="bottom"/>
            <w:shd w:val="clear" w:color="auto" w:fill="CFF0FC"/>
          </w:tcPr>
          <w:p>
            <w:pPr>
              <w:ind w:left="340"/>
              <w:spacing w:after="0" w:line="184" w:lineRule="exact"/>
              <w:rPr>
                <w:sz w:val="20"/>
                <w:szCs w:val="20"/>
                <w:color w:val="auto"/>
              </w:rPr>
            </w:pPr>
            <w:r>
              <w:rPr>
                <w:rFonts w:ascii="Times New Roman" w:cs="Times New Roman" w:eastAsia="Times New Roman" w:hAnsi="Times New Roman"/>
                <w:sz w:val="18"/>
                <w:szCs w:val="18"/>
                <w:color w:val="auto"/>
              </w:rPr>
              <w:t>authorized as of September 30, 2022 and December 31, 2021;</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7720" w:type="dxa"/>
            <w:vAlign w:val="bottom"/>
            <w:shd w:val="clear" w:color="auto" w:fill="CFF0FC"/>
          </w:tcPr>
          <w:p>
            <w:pPr>
              <w:ind w:left="340"/>
              <w:spacing w:after="0" w:line="189" w:lineRule="exact"/>
              <w:rPr>
                <w:sz w:val="20"/>
                <w:szCs w:val="20"/>
                <w:color w:val="auto"/>
              </w:rPr>
            </w:pPr>
            <w:r>
              <w:rPr>
                <w:rFonts w:ascii="Times New Roman" w:cs="Times New Roman" w:eastAsia="Times New Roman" w:hAnsi="Times New Roman"/>
                <w:sz w:val="18"/>
                <w:szCs w:val="18"/>
                <w:color w:val="auto"/>
              </w:rPr>
              <w:t>43,269,200 shares and 17,710,450 shares issued and outstanding as of</w:t>
            </w: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48"/>
        </w:trPr>
        <w:tc>
          <w:tcPr>
            <w:tcW w:w="77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September 30, 2022 and December 31, 2021, respectively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180,645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(142,180 )</w:t>
            </w: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(116,250 )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118,662</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133,015</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-3865245</wp:posOffset>
            </wp:positionV>
            <wp:extent cx="68580" cy="145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145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-3025140</wp:posOffset>
            </wp:positionV>
            <wp:extent cx="123444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34440" cy="16319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-1885315</wp:posOffset>
            </wp:positionV>
            <wp:extent cx="6858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-1885315</wp:posOffset>
            </wp:positionV>
            <wp:extent cx="6858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520" w:type="dxa"/>
            <w:vAlign w:val="bottom"/>
            <w:gridSpan w:val="5"/>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6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100" w:type="dxa"/>
            <w:vAlign w:val="bottom"/>
          </w:tcPr>
          <w:p>
            <w:pPr>
              <w:spacing w:after="0"/>
              <w:rPr>
                <w:sz w:val="18"/>
                <w:szCs w:val="18"/>
                <w:color w:val="auto"/>
              </w:rPr>
            </w:pPr>
          </w:p>
        </w:tc>
      </w:tr>
      <w:tr>
        <w:trPr>
          <w:trHeight w:val="216"/>
        </w:trPr>
        <w:tc>
          <w:tcPr>
            <w:tcW w:w="5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100" w:type="dxa"/>
            <w:vAlign w:val="bottom"/>
          </w:tcPr>
          <w:p>
            <w:pPr>
              <w:spacing w:after="0"/>
              <w:rPr>
                <w:sz w:val="18"/>
                <w:szCs w:val="18"/>
                <w:color w:val="auto"/>
              </w:rPr>
            </w:pPr>
          </w:p>
        </w:tc>
      </w:tr>
      <w:tr>
        <w:trPr>
          <w:trHeight w:val="210"/>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(26,087</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(75 )</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1"/>
              <w:spacing w:after="0" w:line="196" w:lineRule="exact"/>
              <w:rPr>
                <w:sz w:val="20"/>
                <w:szCs w:val="20"/>
                <w:color w:val="auto"/>
              </w:rPr>
            </w:pPr>
            <w:r>
              <w:rPr>
                <w:rFonts w:ascii="Times New Roman" w:cs="Times New Roman" w:eastAsia="Times New Roman" w:hAnsi="Times New Roman"/>
                <w:sz w:val="18"/>
                <w:szCs w:val="18"/>
                <w:color w:val="auto"/>
              </w:rPr>
              <w:t>(0.37 )</w:t>
            </w:r>
          </w:p>
        </w:tc>
        <w:tc>
          <w:tcPr>
            <w:tcW w:w="26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(0.92 )</w:t>
            </w: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81"/>
              <w:spacing w:after="0" w:line="196" w:lineRule="exact"/>
              <w:rPr>
                <w:sz w:val="20"/>
                <w:szCs w:val="20"/>
                <w:color w:val="auto"/>
              </w:rPr>
            </w:pPr>
            <w:r>
              <w:rPr>
                <w:rFonts w:ascii="Times New Roman" w:cs="Times New Roman" w:eastAsia="Times New Roman" w:hAnsi="Times New Roman"/>
                <w:sz w:val="18"/>
                <w:szCs w:val="18"/>
                <w:color w:val="auto"/>
              </w:rPr>
              <w:t>(1.32 )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(2.48 )</w:t>
            </w:r>
          </w:p>
        </w:tc>
      </w:tr>
      <w:tr>
        <w:trPr>
          <w:trHeight w:val="20"/>
        </w:trPr>
        <w:tc>
          <w:tcPr>
            <w:tcW w:w="5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66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6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22,228,228</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18,287,924</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19,649,558</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16,768,458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6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(8,320 )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(16,805 )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(25,930 )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(41,502 )</w:t>
            </w:r>
          </w:p>
        </w:tc>
      </w:tr>
      <w:tr>
        <w:trPr>
          <w:trHeight w:val="216"/>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debt securities</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56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5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(16,806</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(25,970</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-1791335</wp:posOffset>
            </wp:positionV>
            <wp:extent cx="768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-1791335</wp:posOffset>
            </wp:positionV>
            <wp:extent cx="68580" cy="154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-1791335</wp:posOffset>
            </wp:positionV>
            <wp:extent cx="6858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-1791335</wp:posOffset>
            </wp:positionV>
            <wp:extent cx="6858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-1216660</wp:posOffset>
            </wp:positionV>
            <wp:extent cx="278574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85745" cy="1885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-890905</wp:posOffset>
            </wp:positionV>
            <wp:extent cx="2785745"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85745" cy="16319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-316865</wp:posOffset>
            </wp:positionV>
            <wp:extent cx="7683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-316865</wp:posOffset>
            </wp:positionV>
            <wp:extent cx="6858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-316865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-8255</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9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228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920" w:type="dxa"/>
            <w:vAlign w:val="bottom"/>
          </w:tcPr>
          <w:p>
            <w:pPr>
              <w:spacing w:after="0"/>
              <w:rPr>
                <w:sz w:val="15"/>
                <w:szCs w:val="15"/>
                <w:color w:val="auto"/>
              </w:rPr>
            </w:pPr>
          </w:p>
        </w:tc>
        <w:tc>
          <w:tcPr>
            <w:tcW w:w="22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00" w:type="dxa"/>
            <w:vAlign w:val="bottom"/>
          </w:tcPr>
          <w:p>
            <w:pPr>
              <w:spacing w:after="0"/>
              <w:rPr>
                <w:sz w:val="15"/>
                <w:szCs w:val="15"/>
                <w:color w:val="auto"/>
              </w:rPr>
            </w:pPr>
          </w:p>
        </w:tc>
        <w:tc>
          <w:tcPr>
            <w:tcW w:w="118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3"/>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04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4"/>
                <w:szCs w:val="14"/>
                <w:color w:val="auto"/>
              </w:rPr>
            </w:pPr>
          </w:p>
        </w:tc>
        <w:tc>
          <w:tcPr>
            <w:tcW w:w="1220" w:type="dxa"/>
            <w:vAlign w:val="bottom"/>
            <w:gridSpan w:val="2"/>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2021</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17,710,450</w:t>
            </w:r>
          </w:p>
        </w:tc>
        <w:tc>
          <w:tcPr>
            <w:tcW w:w="2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180,645</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(116,250</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(8,943 )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(8,943 )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17,710,450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182,280</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(125,193 )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(57 )</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(8,667 )</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(8,667 )</w:t>
            </w: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17,710,450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183,955</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(133,860 )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25,558,750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(8,320 )</w:t>
            </w:r>
          </w:p>
        </w:tc>
        <w:tc>
          <w:tcPr>
            <w:tcW w:w="14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(8,320 )</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2022</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43,269,200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260,839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(142,180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118,662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-1473835</wp:posOffset>
            </wp:positionV>
            <wp:extent cx="7747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-1473835</wp:posOffset>
            </wp:positionV>
            <wp:extent cx="7747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-1473835</wp:posOffset>
            </wp:positionV>
            <wp:extent cx="685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-1473835</wp:posOffset>
            </wp:positionV>
            <wp:extent cx="685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-1473835</wp:posOffset>
            </wp:positionV>
            <wp:extent cx="685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-890905</wp:posOffset>
            </wp:positionV>
            <wp:extent cx="7747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-890905</wp:posOffset>
            </wp:positionV>
            <wp:extent cx="7747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-890905</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-890905</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-890905</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-24765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-7620</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-24765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STOCKHOLDERS’ EQUITY</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2280" w:type="dxa"/>
            <w:vAlign w:val="bottom"/>
            <w:gridSpan w:val="4"/>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860" w:type="dxa"/>
            <w:vAlign w:val="bottom"/>
          </w:tcPr>
          <w:p>
            <w:pPr>
              <w:spacing w:after="0"/>
              <w:rPr>
                <w:sz w:val="15"/>
                <w:szCs w:val="15"/>
                <w:color w:val="auto"/>
              </w:rPr>
            </w:pPr>
          </w:p>
        </w:tc>
        <w:tc>
          <w:tcPr>
            <w:tcW w:w="228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5"/>
                <w:szCs w:val="15"/>
                <w:color w:val="auto"/>
              </w:rPr>
            </w:pPr>
          </w:p>
        </w:tc>
        <w:tc>
          <w:tcPr>
            <w:tcW w:w="1160" w:type="dxa"/>
            <w:vAlign w:val="bottom"/>
            <w:gridSpan w:val="3"/>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December 31, 2020</w:t>
            </w:r>
          </w:p>
        </w:tc>
        <w:tc>
          <w:tcPr>
            <w:tcW w:w="104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9"/>
        </w:trPr>
        <w:tc>
          <w:tcPr>
            <w:tcW w:w="3860" w:type="dxa"/>
            <w:vAlign w:val="bottom"/>
            <w:vMerge w:val="continue"/>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15,367,730</w:t>
            </w:r>
          </w:p>
        </w:tc>
        <w:tc>
          <w:tcPr>
            <w:tcW w:w="2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155,290</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(65,614</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(12,088 )</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(12,088 )</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March 31,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15,367,730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156,470</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(77,702</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78,784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14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(12,609 )</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(12,609 )</w:t>
            </w:r>
          </w:p>
        </w:tc>
        <w:tc>
          <w:tcPr>
            <w:tcW w:w="0" w:type="dxa"/>
            <w:vAlign w:val="bottom"/>
          </w:tcPr>
          <w:p>
            <w:pPr>
              <w:spacing w:after="0"/>
              <w:rPr>
                <w:sz w:val="1"/>
                <w:szCs w:val="1"/>
                <w:color w:val="auto"/>
              </w:rPr>
            </w:pPr>
          </w:p>
        </w:tc>
      </w:tr>
      <w:tr>
        <w:trPr>
          <w:trHeight w:val="20"/>
        </w:trPr>
        <w:tc>
          <w:tcPr>
            <w:tcW w:w="3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June 30, 2021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15,367,730</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157,820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(90,311 )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Stock-based compensation expense</w:t>
            </w: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1,463</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2,342,720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 debt securities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(16,805 )</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(16,805 )</w:t>
            </w:r>
          </w:p>
        </w:tc>
        <w:tc>
          <w:tcPr>
            <w:tcW w:w="0" w:type="dxa"/>
            <w:vAlign w:val="bottom"/>
          </w:tcPr>
          <w:p>
            <w:pPr>
              <w:spacing w:after="0"/>
              <w:rPr>
                <w:sz w:val="1"/>
                <w:szCs w:val="1"/>
                <w:color w:val="auto"/>
              </w:rPr>
            </w:pPr>
          </w:p>
        </w:tc>
      </w:tr>
      <w:tr>
        <w:trPr>
          <w:trHeight w:val="250"/>
        </w:trPr>
        <w:tc>
          <w:tcPr>
            <w:tcW w:w="3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as of September 30, 2021</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17,710,450</w:t>
            </w:r>
          </w:p>
        </w:tc>
        <w:tc>
          <w:tcPr>
            <w:tcW w:w="2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179,165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(107,116</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-1190625</wp:posOffset>
            </wp:positionV>
            <wp:extent cx="4020185" cy="162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020185" cy="16256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-890905</wp:posOffset>
            </wp:positionV>
            <wp:extent cx="7747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-890905</wp:posOffset>
            </wp:positionV>
            <wp:extent cx="7683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-890905</wp:posOffset>
            </wp:positionV>
            <wp:extent cx="6858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-890905</wp:posOffset>
            </wp:positionV>
            <wp:extent cx="6858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-890905</wp:posOffset>
            </wp:positionV>
            <wp:extent cx="6858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-24765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-7620</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81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(25,930 )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(41,502 )</w:t>
            </w: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disposal of fixed asset</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on marketable debt securities</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(66 )</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16"/>
        </w:trPr>
        <w:tc>
          <w:tcPr>
            <w:tcW w:w="810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(321 )</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2,085</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1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(891 )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(877 )</w:t>
            </w:r>
          </w:p>
        </w:tc>
      </w:tr>
      <w:tr>
        <w:trPr>
          <w:trHeight w:val="21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(437 )</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(378 )</w:t>
            </w:r>
          </w:p>
        </w:tc>
      </w:tr>
      <w:tr>
        <w:trPr>
          <w:trHeight w:val="216"/>
        </w:trPr>
        <w:tc>
          <w:tcPr>
            <w:tcW w:w="8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r>
      <w:tr>
        <w:trPr>
          <w:trHeight w:val="209"/>
        </w:trPr>
        <w:tc>
          <w:tcPr>
            <w:tcW w:w="8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(20,897</w:t>
            </w:r>
          </w:p>
        </w:tc>
        <w:tc>
          <w:tcPr>
            <w:tcW w:w="580" w:type="dxa"/>
            <w:vAlign w:val="bottom"/>
            <w:tcBorders>
              <w:bottom w:val="single" w:sz="8" w:color="CFF0FC"/>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(34,187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(100 )</w:t>
            </w:r>
          </w:p>
        </w:tc>
        <w:tc>
          <w:tcPr>
            <w:tcW w:w="3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(324 )</w:t>
            </w: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marketable debt securities</w:t>
            </w:r>
          </w:p>
        </w:tc>
        <w:tc>
          <w:tcPr>
            <w:tcW w:w="260" w:type="dxa"/>
            <w:vAlign w:val="bottom"/>
          </w:tcPr>
          <w:p>
            <w:pPr>
              <w:spacing w:after="0"/>
              <w:rPr>
                <w:sz w:val="18"/>
                <w:szCs w:val="18"/>
                <w:color w:val="auto"/>
              </w:rPr>
            </w:pPr>
          </w:p>
        </w:tc>
        <w:tc>
          <w:tcPr>
            <w:tcW w:w="1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(61,626 )</w:t>
            </w:r>
          </w:p>
        </w:tc>
        <w:tc>
          <w:tcPr>
            <w:tcW w:w="3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(8,247 )</w:t>
            </w:r>
          </w:p>
        </w:tc>
      </w:tr>
      <w:tr>
        <w:trPr>
          <w:trHeight w:val="21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Maturities and sales of marketable debt securities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260" w:type="dxa"/>
            <w:vAlign w:val="bottom"/>
          </w:tcPr>
          <w:p>
            <w:pPr>
              <w:spacing w:after="0"/>
              <w:rPr>
                <w:sz w:val="18"/>
                <w:szCs w:val="18"/>
                <w:color w:val="auto"/>
              </w:rPr>
            </w:pPr>
          </w:p>
        </w:tc>
        <w:tc>
          <w:tcPr>
            <w:tcW w:w="15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(38,726 )</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100" w:type="dxa"/>
            <w:vAlign w:val="bottom"/>
          </w:tcPr>
          <w:p>
            <w:pPr>
              <w:spacing w:after="0"/>
              <w:rPr>
                <w:sz w:val="18"/>
                <w:szCs w:val="18"/>
                <w:color w:val="auto"/>
              </w:rPr>
            </w:pPr>
          </w:p>
        </w:tc>
      </w:tr>
      <w:tr>
        <w:trPr>
          <w:trHeight w:val="20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equity securities, net of issuance costs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75,573</w:t>
            </w:r>
          </w:p>
        </w:tc>
        <w:tc>
          <w:tcPr>
            <w:tcW w:w="5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Pr>
          <w:p>
            <w:pPr>
              <w:spacing w:after="0"/>
              <w:rPr>
                <w:sz w:val="18"/>
                <w:szCs w:val="18"/>
                <w:color w:val="auto"/>
              </w:rPr>
            </w:pPr>
          </w:p>
        </w:tc>
      </w:tr>
      <w:tr>
        <w:trPr>
          <w:trHeight w:val="209"/>
        </w:trPr>
        <w:tc>
          <w:tcPr>
            <w:tcW w:w="81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75,573</w:t>
            </w: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cash equivalents and restricted cash</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71,436</w:t>
            </w:r>
          </w:p>
        </w:tc>
        <w:tc>
          <w:tcPr>
            <w:tcW w:w="5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87,386</w:t>
            </w:r>
          </w:p>
        </w:tc>
        <w:tc>
          <w:tcPr>
            <w:tcW w:w="58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72,864</w:t>
            </w:r>
          </w:p>
        </w:tc>
        <w:tc>
          <w:tcPr>
            <w:tcW w:w="100" w:type="dxa"/>
            <w:vAlign w:val="bottom"/>
          </w:tcPr>
          <w:p>
            <w:pPr>
              <w:spacing w:after="0"/>
              <w:rPr>
                <w:sz w:val="18"/>
                <w:szCs w:val="18"/>
                <w:color w:val="auto"/>
              </w:rPr>
            </w:pPr>
          </w:p>
        </w:tc>
      </w:tr>
      <w:tr>
        <w:trPr>
          <w:trHeight w:val="210"/>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included in accounts payable and accrued expenses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costs included in accounts payable and accrued expenses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-1979930</wp:posOffset>
            </wp:positionV>
            <wp:extent cx="6858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-1979930</wp:posOffset>
            </wp:positionV>
            <wp:extent cx="6858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-1422400</wp:posOffset>
            </wp:positionV>
            <wp:extent cx="6858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1543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-848360</wp:posOffset>
            </wp:positionV>
            <wp:extent cx="68580"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-565150</wp:posOffset>
            </wp:positionV>
            <wp:extent cx="68580" cy="1543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w:t>
      </w:r>
    </w:p>
    <w:p>
      <w:pPr>
        <w:spacing w:after="0" w:line="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Larimar Therapeutics, Inc., together with its subsidiary (the “Company” or “Larimar”), is a clinical-stage biotechnology company focused on</w:t>
      </w:r>
    </w:p>
    <w:p>
      <w:pPr>
        <w:jc w:val="center"/>
        <w:spacing w:after="0" w:line="232" w:lineRule="auto"/>
        <w:rPr>
          <w:sz w:val="20"/>
          <w:szCs w:val="20"/>
          <w:color w:val="auto"/>
        </w:rPr>
      </w:pPr>
      <w:r>
        <w:rPr>
          <w:rFonts w:ascii="Times New Roman" w:cs="Times New Roman" w:eastAsia="Times New Roman" w:hAnsi="Times New Roman"/>
          <w:sz w:val="17"/>
          <w:szCs w:val="17"/>
          <w:color w:val="auto"/>
        </w:rPr>
        <w:t>developing treatments for patients suffering from complex rare diseases using its novel cell penetrating peptide technology platform. Larimar's lead product</w:t>
      </w:r>
    </w:p>
    <w:p>
      <w:pPr>
        <w:ind w:right="40"/>
        <w:spacing w:after="0" w:line="218" w:lineRule="auto"/>
        <w:rPr>
          <w:sz w:val="20"/>
          <w:szCs w:val="20"/>
          <w:color w:val="auto"/>
        </w:rPr>
      </w:pPr>
      <w:r>
        <w:rPr>
          <w:rFonts w:ascii="Times New Roman" w:cs="Times New Roman" w:eastAsia="Times New Roman" w:hAnsi="Times New Roman"/>
          <w:sz w:val="18"/>
          <w:szCs w:val="18"/>
          <w:color w:val="auto"/>
        </w:rPr>
        <w:t>candidate, CTI-1601, is a subcutaneously administered, recombinant fusion protein intended to deliver human frataxin ("FXN"), an essential protein, to the mitochondria of patients with Friedreich’s ataxia. Friedreich’s ataxia is a rare, progressive and fatal disease in which patients are unable to produce sufficient FXN due to a genetic abnormality.</w:t>
      </w:r>
    </w:p>
    <w:p>
      <w:pPr>
        <w:spacing w:after="0" w:line="64" w:lineRule="exact"/>
        <w:rPr>
          <w:sz w:val="20"/>
          <w:szCs w:val="20"/>
          <w:color w:val="auto"/>
        </w:rPr>
      </w:pPr>
    </w:p>
    <w:p>
      <w:pPr>
        <w:ind w:right="460" w:firstLine="509"/>
        <w:spacing w:after="0" w:line="237" w:lineRule="auto"/>
        <w:rPr>
          <w:sz w:val="20"/>
          <w:szCs w:val="20"/>
          <w:color w:val="auto"/>
        </w:rPr>
      </w:pPr>
      <w:r>
        <w:rPr>
          <w:rFonts w:ascii="Times New Roman" w:cs="Times New Roman" w:eastAsia="Times New Roman" w:hAnsi="Times New Roman"/>
          <w:sz w:val="18"/>
          <w:szCs w:val="18"/>
          <w:color w:val="auto"/>
        </w:rPr>
        <w:t>In May 2021, Larimar reported positive topline data from its Phase 1 Friedreich’s ataxia, ("FA") program after completing dosing of the single ascending dose ("SAD") trial in December 2020 and of the multiple ascending dose ("MAD") trial in March 2021.</w:t>
      </w:r>
    </w:p>
    <w:p>
      <w:pPr>
        <w:spacing w:after="0" w:line="64" w:lineRule="exact"/>
        <w:rPr>
          <w:sz w:val="20"/>
          <w:szCs w:val="20"/>
          <w:color w:val="auto"/>
        </w:rPr>
      </w:pPr>
    </w:p>
    <w:p>
      <w:pPr>
        <w:ind w:right="240" w:firstLine="509"/>
        <w:spacing w:after="0" w:line="222" w:lineRule="auto"/>
        <w:rPr>
          <w:sz w:val="20"/>
          <w:szCs w:val="20"/>
          <w:color w:val="auto"/>
        </w:rPr>
      </w:pPr>
      <w:r>
        <w:rPr>
          <w:rFonts w:ascii="Times New Roman" w:cs="Times New Roman" w:eastAsia="Times New Roman" w:hAnsi="Times New Roman"/>
          <w:sz w:val="18"/>
          <w:szCs w:val="18"/>
          <w:color w:val="auto"/>
        </w:rPr>
        <w:t>Also in May 2021, the United States Food and Drug Administration ("FDA") placed a clinical hold on the Company's CTI-1601 clinical program after the Company notified the agency of mortalities at the highest dose levels of the 26-week non-human primate toxicology study that was designed to</w:t>
      </w:r>
    </w:p>
    <w:p>
      <w:pPr>
        <w:spacing w:after="0" w:line="2" w:lineRule="exact"/>
        <w:rPr>
          <w:sz w:val="20"/>
          <w:szCs w:val="20"/>
          <w:color w:val="auto"/>
        </w:rPr>
      </w:pPr>
    </w:p>
    <w:p>
      <w:pPr>
        <w:ind w:right="80"/>
        <w:spacing w:after="0" w:line="226" w:lineRule="auto"/>
        <w:rPr>
          <w:sz w:val="20"/>
          <w:szCs w:val="20"/>
          <w:color w:val="auto"/>
        </w:rPr>
      </w:pPr>
      <w:r>
        <w:rPr>
          <w:rFonts w:ascii="Times New Roman" w:cs="Times New Roman" w:eastAsia="Times New Roman" w:hAnsi="Times New Roman"/>
          <w:sz w:val="18"/>
          <w:szCs w:val="18"/>
          <w:color w:val="auto"/>
        </w:rPr>
        <w:t>support extended dosing of patients with CTI-1601. At the time the hold was placed, Larimar had no interventional clinical trials with patients enrolling or enrolled.</w:t>
      </w:r>
    </w:p>
    <w:p>
      <w:pPr>
        <w:spacing w:after="0" w:line="63" w:lineRule="exact"/>
        <w:rPr>
          <w:sz w:val="20"/>
          <w:szCs w:val="20"/>
          <w:color w:val="auto"/>
        </w:rPr>
      </w:pPr>
    </w:p>
    <w:p>
      <w:pPr>
        <w:ind w:right="120" w:firstLine="509"/>
        <w:spacing w:after="0" w:line="236" w:lineRule="auto"/>
        <w:rPr>
          <w:sz w:val="20"/>
          <w:szCs w:val="20"/>
          <w:color w:val="auto"/>
        </w:rPr>
      </w:pPr>
      <w:r>
        <w:rPr>
          <w:rFonts w:ascii="Times New Roman" w:cs="Times New Roman" w:eastAsia="Times New Roman" w:hAnsi="Times New Roman"/>
          <w:sz w:val="17"/>
          <w:szCs w:val="17"/>
          <w:color w:val="auto"/>
        </w:rPr>
        <w:t>In February 2022, in response to the Company's complete response to the clinical hold discussed above, the FDA stated that it was maintaining the clinical hold and that additional data are needed to resolve the clinical hold. Larimar subsequently submitted a request for an FDA Type C meeting, which</w:t>
      </w:r>
    </w:p>
    <w:p>
      <w:pPr>
        <w:spacing w:after="0"/>
        <w:rPr>
          <w:sz w:val="20"/>
          <w:szCs w:val="20"/>
          <w:color w:val="auto"/>
        </w:rPr>
      </w:pPr>
      <w:r>
        <w:rPr>
          <w:rFonts w:ascii="Times New Roman" w:cs="Times New Roman" w:eastAsia="Times New Roman" w:hAnsi="Times New Roman"/>
          <w:sz w:val="18"/>
          <w:szCs w:val="18"/>
          <w:color w:val="auto"/>
        </w:rPr>
        <w:t>was granted and was held in July 2022. Following the Type C meeting, the Company submitted a complete response to the FDA.</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September 2022, the FDA cleared the initiation of the 25 mg cohort of a Phase 2, four-week, placebo-controlled, dose exploration trial of CTI-</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1601 in Friedreich’s ataxia (FA) patients. In a written communication to Larimar, the FDA indicated it was lifting its full clinical hold on the CTI-1601 program and imposing a partial hold. With this decision, the FDA cleared CTI-1601 for a return to the clinic and the initiation of a 25 mg dose cohort of a</w:t>
      </w:r>
    </w:p>
    <w:p>
      <w:pPr>
        <w:spacing w:after="0" w:line="204" w:lineRule="auto"/>
        <w:rPr>
          <w:sz w:val="20"/>
          <w:szCs w:val="20"/>
          <w:color w:val="auto"/>
        </w:rPr>
      </w:pPr>
      <w:r>
        <w:rPr>
          <w:rFonts w:ascii="Times New Roman" w:cs="Times New Roman" w:eastAsia="Times New Roman" w:hAnsi="Times New Roman"/>
          <w:sz w:val="18"/>
          <w:szCs w:val="18"/>
          <w:color w:val="auto"/>
        </w:rPr>
        <w:t>phase 2 dose exploration study. The conduct of additional cohorts and/or other clinical trials of CTI-1601 in this study are subject to approval by the FDA.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Larimar does not know when, or if, the partial clinical hold will be lifted.</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is subject to risks and uncertainties common to pre-commercial companies in the biotechnology industry, including, but not limited</w:t>
      </w:r>
    </w:p>
    <w:p>
      <w:pPr>
        <w:spacing w:after="0" w:line="2" w:lineRule="exact"/>
        <w:rPr>
          <w:sz w:val="20"/>
          <w:szCs w:val="20"/>
          <w:color w:val="auto"/>
        </w:rPr>
      </w:pPr>
    </w:p>
    <w:p>
      <w:pPr>
        <w:ind w:right="180"/>
        <w:spacing w:after="0" w:line="211" w:lineRule="auto"/>
        <w:rPr>
          <w:sz w:val="20"/>
          <w:szCs w:val="20"/>
          <w:color w:val="auto"/>
        </w:rPr>
      </w:pPr>
      <w:r>
        <w:rPr>
          <w:rFonts w:ascii="Times New Roman" w:cs="Times New Roman" w:eastAsia="Times New Roman" w:hAnsi="Times New Roman"/>
          <w:sz w:val="18"/>
          <w:szCs w:val="18"/>
          <w:color w:val="auto"/>
        </w:rPr>
        <w:t>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w:t>
      </w:r>
    </w:p>
    <w:p>
      <w:pPr>
        <w:spacing w:after="0" w:line="1" w:lineRule="exact"/>
        <w:rPr>
          <w:sz w:val="20"/>
          <w:szCs w:val="20"/>
          <w:color w:val="auto"/>
        </w:rPr>
      </w:pPr>
    </w:p>
    <w:p>
      <w:pPr>
        <w:ind w:right="100"/>
        <w:spacing w:after="0" w:line="211" w:lineRule="auto"/>
        <w:rPr>
          <w:sz w:val="20"/>
          <w:szCs w:val="20"/>
          <w:color w:val="auto"/>
        </w:rPr>
      </w:pPr>
      <w:r>
        <w:rPr>
          <w:rFonts w:ascii="Times New Roman" w:cs="Times New Roman" w:eastAsia="Times New Roman" w:hAnsi="Times New Roman"/>
          <w:sz w:val="18"/>
          <w:szCs w:val="18"/>
          <w:color w:val="auto"/>
        </w:rPr>
        <w:t>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w:t>
      </w:r>
    </w:p>
    <w:p>
      <w:pPr>
        <w:spacing w:after="0" w:line="1" w:lineRule="exact"/>
        <w:rPr>
          <w:sz w:val="20"/>
          <w:szCs w:val="20"/>
          <w:color w:val="auto"/>
        </w:rPr>
      </w:pPr>
    </w:p>
    <w:p>
      <w:pPr>
        <w:ind w:right="380"/>
        <w:spacing w:after="0" w:line="226" w:lineRule="auto"/>
        <w:rPr>
          <w:sz w:val="20"/>
          <w:szCs w:val="20"/>
          <w:color w:val="auto"/>
        </w:rPr>
      </w:pPr>
      <w:r>
        <w:rPr>
          <w:rFonts w:ascii="Times New Roman" w:cs="Times New Roman" w:eastAsia="Times New Roman" w:hAnsi="Times New Roman"/>
          <w:sz w:val="18"/>
          <w:szCs w:val="18"/>
          <w:color w:val="auto"/>
        </w:rPr>
        <w:t>compliance-reporting capabilities. Even if our drug development efforts are successful, it is uncertain when, if ever, we will realize significant revenue from product sales.</w:t>
      </w:r>
    </w:p>
    <w:p>
      <w:pPr>
        <w:spacing w:after="0" w:line="23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late 2019, an outbreak of a novel strain of the Coronavirus 2019 Disease (COVID-19) was identified and infections have been found in a number</w:t>
      </w:r>
    </w:p>
    <w:p>
      <w:pPr>
        <w:spacing w:after="0" w:line="2" w:lineRule="exact"/>
        <w:rPr>
          <w:sz w:val="20"/>
          <w:szCs w:val="20"/>
          <w:color w:val="auto"/>
        </w:rPr>
      </w:pPr>
    </w:p>
    <w:p>
      <w:pPr>
        <w:ind w:right="80"/>
        <w:spacing w:after="0" w:line="223" w:lineRule="auto"/>
        <w:rPr>
          <w:sz w:val="20"/>
          <w:szCs w:val="20"/>
          <w:color w:val="auto"/>
        </w:rPr>
      </w:pPr>
      <w:r>
        <w:rPr>
          <w:rFonts w:ascii="Times New Roman" w:cs="Times New Roman" w:eastAsia="Times New Roman" w:hAnsi="Times New Roman"/>
          <w:sz w:val="17"/>
          <w:szCs w:val="17"/>
          <w:color w:val="auto"/>
        </w:rPr>
        <w:t>of countries around the world, including the United States. In 2020, the pandemic resulted in a four-month temporary stoppage of the Company’s CTI-1601Phase 1 clinical trials in patients with Friedreich’s ataxia. Both of the Company's SAD and MAD clinical trials were completed in 2021. In the future,</w:t>
      </w:r>
    </w:p>
    <w:p>
      <w:pPr>
        <w:spacing w:after="0" w:line="1"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the COVID-19 pandemic and responsive measures thereto may result in negative impacts on the Company, including possible delays in our clinical and regulatory activities. We cannot be certain what the overall impact of the COVID-19 pandemic will be on our business and it has the potential to materially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adversely affect our business, financial condition, results of operations, and prospects.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160" w:firstLine="509"/>
        <w:spacing w:after="0" w:line="237"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Larimar and its wholly owned subsidiary. All intercompany balances and transactions have been eliminated. The accompanying condensed consolidated financial statements have been prepared in conformity with GAAP.</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Assessment</w:t>
      </w:r>
    </w:p>
    <w:p>
      <w:pPr>
        <w:spacing w:after="0" w:line="121"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presented on the basis that it will continue as a going concern, which contemplates the realization of assets and satisfaction of liabilities in the normal course of business.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0" w:name="page11"/>
    <w:bookmarkEnd w:id="10"/>
    <w:p>
      <w:pPr>
        <w:ind w:right="180" w:firstLine="509"/>
        <w:spacing w:after="0" w:line="250" w:lineRule="auto"/>
        <w:rPr>
          <w:sz w:val="20"/>
          <w:szCs w:val="20"/>
          <w:color w:val="auto"/>
        </w:rPr>
      </w:pPr>
      <w:r>
        <w:rPr>
          <w:rFonts w:ascii="Times New Roman" w:cs="Times New Roman" w:eastAsia="Times New Roman" w:hAnsi="Times New Roman"/>
          <w:sz w:val="18"/>
          <w:szCs w:val="18"/>
          <w:color w:val="auto"/>
        </w:rPr>
        <w:t>Since its inception, the Company has incurred significant recurring operating losses and negative cash flows from operations. The Company has incurred net losses of $25.9 million and $41.5 million for the nine months ended September 30, 2022 and 2021, respectively. In addition, as of September 30, 2022, the Company had an accumulated deficit of $142.2 million. The Company expects to continue to generate operating losses for the foreseeable future. As of September 30, 2022, the Company had approximately $124.7 million of cash, cash equivalents and marketable debt securities available for use to fund its operations and capital requirements.</w:t>
      </w:r>
    </w:p>
    <w:p>
      <w:pPr>
        <w:spacing w:after="0" w:line="69" w:lineRule="exact"/>
        <w:rPr>
          <w:sz w:val="20"/>
          <w:szCs w:val="20"/>
          <w:color w:val="auto"/>
        </w:rPr>
      </w:pPr>
    </w:p>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Company has funded its operations to date primarily with proceeds from sales of common stock, proceeds from the sale of prefunded warrants for the purchase of common stock, the acquisition in 2020 of cash, cash equivalents, restricted cash, cash equivalents and marketable debt securities upon the merger with Zafgen, Inc. and prior to the 2020 merger with Zafgen, capital contributions from Chondrial Holdings, LLC.</w:t>
      </w:r>
    </w:p>
    <w:p>
      <w:pPr>
        <w:spacing w:after="0" w:line="5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No. 2014-15, </w:t>
      </w:r>
      <w:r>
        <w:rPr>
          <w:rFonts w:ascii="Times New Roman" w:cs="Times New Roman" w:eastAsia="Times New Roman" w:hAnsi="Times New Roman"/>
          <w:sz w:val="18"/>
          <w:szCs w:val="18"/>
          <w:i w:val="1"/>
          <w:iCs w:val="1"/>
          <w:color w:val="auto"/>
        </w:rPr>
        <w:t>Disclosure of Uncertainties about an Entity’s Ability to Continue as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Going Concern, </w:t>
      </w:r>
      <w:r>
        <w:rPr>
          <w:rFonts w:ascii="Times New Roman" w:cs="Times New Roman" w:eastAsia="Times New Roman" w:hAnsi="Times New Roman"/>
          <w:sz w:val="18"/>
          <w:szCs w:val="18"/>
          <w:color w:val="auto"/>
        </w:rPr>
        <w:t>the Company has evaluated whether there are certain conditions and events, considered in the aggregate, that raise substantial doubt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ability to continue as a going concern within one year after the date that the condensed consolidated financial statements are issued. As of the issuance date of these condensed consolidated financial statements, the Company expects its cash, cash equivalents and marketable debt securities will be sufficient to fund its forecasted operating expenses and capital expenditure requirements, for at least twelve months from the issuance of these financial statements. If the timing of our clinical assumptions were delayed or if there were other forecasted assumption changes that negatively impact our operating plan, the Company could reduce expenditures in order to further extend cash resources.</w:t>
      </w:r>
    </w:p>
    <w:p>
      <w:pPr>
        <w:spacing w:after="0" w:line="75"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Until the Company can generate substantial revenue, if ever, management continuously evaluates different strategies to obtain the required funding for future operations. These strategies include seeking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78" w:lineRule="exact"/>
        <w:rPr>
          <w:sz w:val="20"/>
          <w:szCs w:val="20"/>
          <w:color w:val="auto"/>
        </w:rPr>
      </w:pPr>
    </w:p>
    <w:p>
      <w:pPr>
        <w:ind w:right="100" w:firstLine="509"/>
        <w:spacing w:after="0" w:line="244"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the impact of the COVID-19 pandemic and/or the potential impact of other health crises on the global financial markets may reduce the Company's ability to access capital, which could negatively affect its liquidity and ability to continue as a going concern.</w:t>
      </w:r>
    </w:p>
    <w:p>
      <w:pPr>
        <w:spacing w:after="0" w:line="7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1" w:name="page12"/>
    <w:bookmarkEnd w:id="11"/>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Financial Information</w:t>
      </w:r>
    </w:p>
    <w:p>
      <w:pPr>
        <w:spacing w:after="0" w:line="108"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2021 was derived from the Company’s audited financial statements but does not include all disclosures required by GAAP. The accompanying unaudited condensed consolidated financial statements as of September 30, 2022 and for the three and nine months ended September 30, 2022 and 2021,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However, the Company believes that the disclosures are adequate to make the information presented not misleading. These condensed consolidated financial statements should be read in conjunction with the Company’s audited consolidated financial statements and the notes thereto for the year ended December 31, 2021 included in the Company’s Annual Report on Form 10-K filed with the SEC on March 25, 2022.</w:t>
      </w:r>
    </w:p>
    <w:p>
      <w:pPr>
        <w:spacing w:after="0" w:line="78" w:lineRule="exact"/>
        <w:rPr>
          <w:sz w:val="20"/>
          <w:szCs w:val="20"/>
          <w:color w:val="auto"/>
        </w:rPr>
      </w:pPr>
    </w:p>
    <w:p>
      <w:pPr>
        <w:ind w:right="100" w:firstLine="509"/>
        <w:spacing w:after="0" w:line="250" w:lineRule="auto"/>
        <w:rPr>
          <w:sz w:val="20"/>
          <w:szCs w:val="20"/>
          <w:color w:val="auto"/>
        </w:rPr>
      </w:pPr>
      <w:r>
        <w:rPr>
          <w:rFonts w:ascii="Times New Roman" w:cs="Times New Roman" w:eastAsia="Times New Roman" w:hAnsi="Times New Roman"/>
          <w:sz w:val="18"/>
          <w:szCs w:val="18"/>
          <w:color w:val="auto"/>
        </w:rPr>
        <w:t>In the opinion of management, all adjustments, consisting only of normal recurring adjustments necessary for a fair statement of the Company’s condensed consolidated financial position as of September 30, 2022, condensed consolidated results of operations for the three and nine months ended September 30, 2022 and condensed consolidated statement of cash flows for the nine months ended September 30, 2022 have been made. The results of operations for the three and nine months ended September 30, 2022 are not necessarily indicative of the results of operations that may be expected for the year ending December 31, 2022.</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08"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condensed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associated with internal research and development and external research and development services, including drug development, clinical</w:t>
      </w:r>
    </w:p>
    <w:p>
      <w:pPr>
        <w:spacing w:after="0" w:line="2" w:lineRule="exact"/>
        <w:rPr>
          <w:sz w:val="20"/>
          <w:szCs w:val="20"/>
          <w:color w:val="auto"/>
        </w:rPr>
      </w:pPr>
    </w:p>
    <w:p>
      <w:pPr>
        <w:ind w:right="340"/>
        <w:spacing w:after="0" w:line="211" w:lineRule="auto"/>
        <w:rPr>
          <w:sz w:val="20"/>
          <w:szCs w:val="20"/>
          <w:color w:val="auto"/>
        </w:rPr>
      </w:pPr>
      <w:r>
        <w:rPr>
          <w:rFonts w:ascii="Times New Roman" w:cs="Times New Roman" w:eastAsia="Times New Roman" w:hAnsi="Times New Roman"/>
          <w:sz w:val="18"/>
          <w:szCs w:val="18"/>
          <w:color w:val="auto"/>
        </w:rPr>
        <w:t>studies and non-clinical studies, are expensed as incurred. Research and development expenses include costs for salaries, employee benefits, subcontractors, stock-based compensation, facility-related expenses, third-party license fees, laboratory supplies, and external costs of outside vendors</w:t>
      </w:r>
    </w:p>
    <w:p>
      <w:pPr>
        <w:spacing w:after="0" w:line="1" w:lineRule="exact"/>
        <w:rPr>
          <w:sz w:val="20"/>
          <w:szCs w:val="20"/>
          <w:color w:val="auto"/>
        </w:rPr>
      </w:pPr>
    </w:p>
    <w:p>
      <w:pPr>
        <w:ind w:right="240"/>
        <w:spacing w:after="0" w:line="228" w:lineRule="auto"/>
        <w:rPr>
          <w:sz w:val="20"/>
          <w:szCs w:val="20"/>
          <w:color w:val="auto"/>
        </w:rPr>
      </w:pPr>
      <w:r>
        <w:rPr>
          <w:rFonts w:ascii="Times New Roman" w:cs="Times New Roman" w:eastAsia="Times New Roman" w:hAnsi="Times New Roman"/>
          <w:sz w:val="18"/>
          <w:szCs w:val="18"/>
          <w:color w:val="auto"/>
        </w:rPr>
        <w:t>engaged to conduct discovery, non-clinical and clinical development activities, and clinical trials as well as to manufacture clinical trial materials, depreciation and other costs. The Company recognizes external research and development costs based on an evaluation of the progress to completion of specific tasks using information provided to the Company by its service providers.</w:t>
      </w:r>
    </w:p>
    <w:p>
      <w:pPr>
        <w:spacing w:after="0" w:line="65" w:lineRule="exact"/>
        <w:rPr>
          <w:sz w:val="20"/>
          <w:szCs w:val="20"/>
          <w:color w:val="auto"/>
        </w:rPr>
      </w:pPr>
    </w:p>
    <w:p>
      <w:pPr>
        <w:ind w:firstLine="509"/>
        <w:spacing w:after="0" w:line="236" w:lineRule="auto"/>
        <w:rPr>
          <w:sz w:val="20"/>
          <w:szCs w:val="20"/>
          <w:color w:val="auto"/>
        </w:rPr>
      </w:pPr>
      <w:r>
        <w:rPr>
          <w:rFonts w:ascii="Times New Roman" w:cs="Times New Roman" w:eastAsia="Times New Roman" w:hAnsi="Times New Roman"/>
          <w:sz w:val="17"/>
          <w:szCs w:val="17"/>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w:t>
      </w:r>
    </w:p>
    <w:p>
      <w:pPr>
        <w:spacing w:after="0"/>
        <w:rPr>
          <w:sz w:val="20"/>
          <w:szCs w:val="20"/>
          <w:color w:val="auto"/>
        </w:rPr>
      </w:pPr>
      <w:r>
        <w:rPr>
          <w:rFonts w:ascii="Times New Roman" w:cs="Times New Roman" w:eastAsia="Times New Roman" w:hAnsi="Times New Roman"/>
          <w:sz w:val="18"/>
          <w:szCs w:val="18"/>
          <w:color w:val="auto"/>
        </w:rPr>
        <w:t>when it is no longer expected that the goods will be delivered, or the services rendered.</w:t>
      </w:r>
    </w:p>
    <w:p>
      <w:pPr>
        <w:spacing w:after="0" w:line="70" w:lineRule="exact"/>
        <w:rPr>
          <w:sz w:val="20"/>
          <w:szCs w:val="20"/>
          <w:color w:val="auto"/>
        </w:rPr>
      </w:pPr>
    </w:p>
    <w:p>
      <w:pPr>
        <w:ind w:right="200" w:firstLine="509"/>
        <w:spacing w:after="0" w:line="250" w:lineRule="auto"/>
        <w:rPr>
          <w:sz w:val="20"/>
          <w:szCs w:val="20"/>
          <w:color w:val="auto"/>
        </w:rPr>
      </w:pPr>
      <w:r>
        <w:rPr>
          <w:rFonts w:ascii="Times New Roman" w:cs="Times New Roman" w:eastAsia="Times New Roman" w:hAnsi="Times New Roman"/>
          <w:sz w:val="18"/>
          <w:szCs w:val="18"/>
          <w:color w:val="auto"/>
        </w:rPr>
        <w:t>Upfront payments, milestone payments and annual maintenance fees under license agreements are currently expensed in the period in which they are incurred.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94"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6"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94" w:lineRule="exact"/>
        <w:rPr>
          <w:sz w:val="20"/>
          <w:szCs w:val="20"/>
          <w:color w:val="auto"/>
        </w:rPr>
      </w:pPr>
    </w:p>
    <w:p>
      <w:pPr>
        <w:ind w:right="80" w:firstLine="509"/>
        <w:spacing w:after="0" w:line="244" w:lineRule="auto"/>
        <w:rPr>
          <w:sz w:val="20"/>
          <w:szCs w:val="20"/>
          <w:color w:val="auto"/>
        </w:rPr>
      </w:pPr>
      <w:r>
        <w:rPr>
          <w:rFonts w:ascii="Times New Roman" w:cs="Times New Roman" w:eastAsia="Times New Roman" w:hAnsi="Times New Roman"/>
          <w:sz w:val="17"/>
          <w:szCs w:val="17"/>
          <w:color w:val="auto"/>
        </w:rPr>
        <w:t>The Company measures all stock-based awards granted to employees, directors and non-employee consultants based on the fair value on the date of grant using the Black-Scholes option-pricing model. Compensation expense of those awards is recognized over the requisite service period, which is the</w:t>
      </w:r>
    </w:p>
    <w:p>
      <w:pPr>
        <w:spacing w:after="0" w:line="1" w:lineRule="exact"/>
        <w:rPr>
          <w:sz w:val="20"/>
          <w:szCs w:val="20"/>
          <w:color w:val="auto"/>
        </w:rPr>
      </w:pPr>
    </w:p>
    <w:p>
      <w:pPr>
        <w:jc w:val="both"/>
        <w:ind w:right="100"/>
        <w:spacing w:after="0" w:line="226" w:lineRule="auto"/>
        <w:rPr>
          <w:sz w:val="20"/>
          <w:szCs w:val="20"/>
          <w:color w:val="auto"/>
        </w:rPr>
      </w:pPr>
      <w:r>
        <w:rPr>
          <w:rFonts w:ascii="Times New Roman" w:cs="Times New Roman" w:eastAsia="Times New Roman" w:hAnsi="Times New Roman"/>
          <w:sz w:val="18"/>
          <w:szCs w:val="18"/>
          <w:color w:val="auto"/>
        </w:rPr>
        <w:t>vesting period of the respective award. Typically, the Company issues awards with only service-based vesting conditions and records the expense for these awards using the straight-line method. The Company accounts for forfeitures as they occur.</w:t>
      </w:r>
    </w:p>
    <w:p>
      <w:pPr>
        <w:spacing w:after="0" w:line="63" w:lineRule="exact"/>
        <w:rPr>
          <w:sz w:val="20"/>
          <w:szCs w:val="20"/>
          <w:color w:val="auto"/>
        </w:rPr>
      </w:pPr>
    </w:p>
    <w:p>
      <w:pPr>
        <w:ind w:right="260" w:firstLine="509"/>
        <w:spacing w:after="0" w:line="250"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condensed consolidated statements of operations and comprehensive loss in the same manner in which the award recipient’s payroll costs are classified or in which the award recipient’s service payments are classified.</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Prior to May 28, 2020, the Company had been a private company and lacked company-specific historical and implied volatility information for its</w:t>
      </w:r>
    </w:p>
    <w:p>
      <w:pPr>
        <w:spacing w:after="0" w:line="2"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w:t>
      </w:r>
    </w:p>
    <w:p>
      <w:pPr>
        <w:spacing w:after="0" w:line="1" w:lineRule="exact"/>
        <w:rPr>
          <w:sz w:val="20"/>
          <w:szCs w:val="20"/>
          <w:color w:val="auto"/>
        </w:rPr>
      </w:pPr>
    </w:p>
    <w:p>
      <w:pPr>
        <w:ind w:right="40"/>
        <w:spacing w:after="0" w:line="232" w:lineRule="auto"/>
        <w:rPr>
          <w:sz w:val="20"/>
          <w:szCs w:val="20"/>
          <w:color w:val="auto"/>
        </w:rPr>
      </w:pPr>
      <w:r>
        <w:rPr>
          <w:rFonts w:ascii="Times New Roman" w:cs="Times New Roman" w:eastAsia="Times New Roman" w:hAnsi="Times New Roman"/>
          <w:sz w:val="17"/>
          <w:szCs w:val="17"/>
          <w:color w:val="auto"/>
        </w:rPr>
        <w:t>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w:t>
      </w:r>
    </w:p>
    <w:p>
      <w:pPr>
        <w:ind w:right="340"/>
        <w:spacing w:after="0" w:line="226" w:lineRule="auto"/>
        <w:rPr>
          <w:sz w:val="20"/>
          <w:szCs w:val="20"/>
          <w:color w:val="auto"/>
        </w:rPr>
      </w:pPr>
      <w:r>
        <w:rPr>
          <w:rFonts w:ascii="Times New Roman" w:cs="Times New Roman" w:eastAsia="Times New Roman" w:hAnsi="Times New Roman"/>
          <w:sz w:val="18"/>
          <w:szCs w:val="18"/>
          <w:color w:val="auto"/>
        </w:rPr>
        <w:t>expected term of the award. Expected dividend yield considers the fact that the Company has never paid cash dividends on common stock and does not expect to pay any cash dividends in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08" w:lineRule="exact"/>
        <w:rPr>
          <w:sz w:val="20"/>
          <w:szCs w:val="20"/>
          <w:color w:val="auto"/>
        </w:rPr>
      </w:pPr>
    </w:p>
    <w:p>
      <w:pPr>
        <w:ind w:right="60" w:firstLine="509"/>
        <w:spacing w:after="0" w:line="236" w:lineRule="auto"/>
        <w:rPr>
          <w:sz w:val="20"/>
          <w:szCs w:val="20"/>
          <w:color w:val="auto"/>
        </w:rPr>
      </w:pPr>
      <w:r>
        <w:rPr>
          <w:rFonts w:ascii="Times New Roman" w:cs="Times New Roman" w:eastAsia="Times New Roman" w:hAnsi="Times New Roman"/>
          <w:sz w:val="17"/>
          <w:szCs w:val="17"/>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w:t>
      </w:r>
    </w:p>
    <w:p>
      <w:pPr>
        <w:jc w:val="both"/>
        <w:ind w:right="120"/>
        <w:spacing w:after="0" w:line="228" w:lineRule="auto"/>
        <w:rPr>
          <w:sz w:val="20"/>
          <w:szCs w:val="20"/>
          <w:color w:val="auto"/>
        </w:rPr>
      </w:pPr>
      <w:r>
        <w:rPr>
          <w:rFonts w:ascii="Times New Roman" w:cs="Times New Roman" w:eastAsia="Times New Roman" w:hAnsi="Times New Roman"/>
          <w:sz w:val="18"/>
          <w:szCs w:val="18"/>
          <w:color w:val="auto"/>
        </w:rPr>
        <w:t>the exercise of which requires little or no consideration for the delivery of shares of common stock. Basic and diluted weighted average shares of common stock outstanding for the three and nine months ended September 30, 2022 and 2021 includes the weighted average effect of 628,403 prefunded warrants for the purchase of shares of common stock, for which the remaining unfunded exercise price is $0.01 per share.</w:t>
      </w:r>
    </w:p>
    <w:p>
      <w:pPr>
        <w:spacing w:after="0" w:line="52" w:lineRule="exact"/>
        <w:rPr>
          <w:sz w:val="20"/>
          <w:szCs w:val="20"/>
          <w:color w:val="auto"/>
        </w:rPr>
      </w:pPr>
    </w:p>
    <w:p>
      <w:pPr>
        <w:ind w:right="80" w:firstLine="509"/>
        <w:spacing w:after="0" w:line="229" w:lineRule="auto"/>
        <w:rPr>
          <w:sz w:val="20"/>
          <w:szCs w:val="20"/>
          <w:color w:val="auto"/>
        </w:rPr>
      </w:pPr>
      <w:r>
        <w:rPr>
          <w:rFonts w:ascii="Times New Roman" w:cs="Times New Roman" w:eastAsia="Times New Roman" w:hAnsi="Times New Roman"/>
          <w:sz w:val="18"/>
          <w:szCs w:val="18"/>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52"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7"/>
          <w:szCs w:val="17"/>
          <w:color w:val="auto"/>
        </w:rPr>
        <w:t>The Company excluded 3,136,776 and 2,545,962 common stock equivalents outstanding as of September 30, 2022 and 2021, respectively, from the computation of diluted net loss per share for the three and nine months ended September 30, 2022 and 2021 because they had an anti-dilutive impact due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net loss incurred for the periods presented.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From time to time, new accounting guidance is issued by the FASB or other standard setting bodies that is adopted by us as of the effective date or,</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in some cases where early adoption is permitted, in advance of the effective date. We have assessed the recently issued guidance that is not yet effective and believe the new guidance will not have a material impact on the condensed consolidated results of operations, cash flows or financial position.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13" w:name="page14"/>
    <w:bookmarkEnd w:id="13"/>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 and Marketable debt securities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08"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 xml:space="preserve">The Company’s assets and liabilities that are measured at fair value on a recurring basis as of September 30, 2022 and December 31, 2021 are measured in accordance with the standards of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which establishes a three-level valuation hierarchy for measuring fair value and expands financial statement disclosures about fair value measurements. The valuation hierarchy is based on the transparency of inputs to the valuation of an asset or liability as of the measurement date. The three levels are defined as follows:</w:t>
      </w:r>
    </w:p>
    <w:p>
      <w:pPr>
        <w:sectPr>
          <w:pgSz w:w="11900" w:h="16838" w:orient="portrait"/>
          <w:cols w:equalWidth="0" w:num="1">
            <w:col w:w="11240"/>
          </w:cols>
          <w:pgMar w:left="320" w:top="428" w:right="339" w:bottom="1440" w:gutter="0" w:footer="0" w:header="0"/>
        </w:sectPr>
      </w:pP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Level – 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to the valuation methodology are quoted prices (unadjusted) for identical assets or liabilities in active markets.</w:t>
      </w:r>
    </w:p>
    <w:p>
      <w:pPr>
        <w:spacing w:after="0" w:line="129" w:lineRule="exact"/>
        <w:rPr>
          <w:sz w:val="20"/>
          <w:szCs w:val="20"/>
          <w:color w:val="auto"/>
        </w:rPr>
      </w:pPr>
    </w:p>
    <w:p>
      <w:pPr>
        <w:sectPr>
          <w:pgSz w:w="11900" w:h="16838" w:orient="portrait"/>
          <w:cols w:equalWidth="0" w:num="2">
            <w:col w:w="700" w:space="640"/>
            <w:col w:w="9900"/>
          </w:cols>
          <w:pgMar w:left="320" w:top="42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2</w:t>
      </w:r>
    </w:p>
    <w:p>
      <w:pPr>
        <w:spacing w:after="0" w:line="20" w:lineRule="exact"/>
        <w:rPr>
          <w:sz w:val="20"/>
          <w:szCs w:val="20"/>
          <w:color w:val="auto"/>
        </w:rPr>
      </w:pPr>
      <w:r>
        <w:rPr>
          <w:sz w:val="20"/>
          <w:szCs w:val="20"/>
          <w:color w:val="auto"/>
        </w:rPr>
        <w:br w:type="column"/>
      </w:r>
    </w:p>
    <w:p>
      <w:pPr>
        <w:ind w:right="740"/>
        <w:spacing w:after="0" w:line="237" w:lineRule="auto"/>
        <w:rPr>
          <w:sz w:val="20"/>
          <w:szCs w:val="20"/>
          <w:color w:val="auto"/>
        </w:rPr>
      </w:pPr>
      <w:r>
        <w:rPr>
          <w:rFonts w:ascii="Times New Roman" w:cs="Times New Roman" w:eastAsia="Times New Roman" w:hAnsi="Times New Roman"/>
          <w:sz w:val="18"/>
          <w:szCs w:val="18"/>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04" w:lineRule="exact"/>
        <w:rPr>
          <w:sz w:val="20"/>
          <w:szCs w:val="20"/>
          <w:color w:val="auto"/>
        </w:rPr>
      </w:pPr>
    </w:p>
    <w:p>
      <w:pPr>
        <w:sectPr>
          <w:pgSz w:w="11900" w:h="16838" w:orient="portrait"/>
          <w:cols w:equalWidth="0" w:num="2">
            <w:col w:w="700" w:space="640"/>
            <w:col w:w="9900"/>
          </w:cols>
          <w:pgMar w:left="320" w:top="428" w:right="3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Level –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Inputs to the valuation methodology are unobservable and significant to the fair value measurement.</w:t>
      </w:r>
    </w:p>
    <w:p>
      <w:pPr>
        <w:spacing w:after="0" w:line="129" w:lineRule="exact"/>
        <w:rPr>
          <w:sz w:val="20"/>
          <w:szCs w:val="20"/>
          <w:color w:val="auto"/>
        </w:rPr>
      </w:pPr>
    </w:p>
    <w:p>
      <w:pPr>
        <w:sectPr>
          <w:pgSz w:w="11900" w:h="16838" w:orient="portrait"/>
          <w:cols w:equalWidth="0" w:num="2">
            <w:col w:w="700" w:space="640"/>
            <w:col w:w="9900"/>
          </w:cols>
          <w:pgMar w:left="320" w:top="428" w:right="339" w:bottom="1440" w:gutter="0" w:footer="0" w:header="0"/>
          <w:type w:val="continuous"/>
        </w:sectPr>
      </w:pPr>
    </w:p>
    <w:p>
      <w:pPr>
        <w:ind w:right="300" w:firstLine="509"/>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cash equivalents, marketable debt securities, accounts payable and accrued liabilities. For accounts payable and accrued liabilities, the carrying amounts of these financial instruments as of September 30, 2022 and December 31, 2021 were considered representative of their fair values due to their short term to maturity.</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tables summarize the Company’s cash equivalents and marketable debt securities as of September 30, 2022 and cash equivalents as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113030</wp:posOffset>
            </wp:positionV>
            <wp:extent cx="3716020" cy="638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716020" cy="63881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5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w w:val="99"/>
              </w:rPr>
              <w:t>Quoted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b w:val="1"/>
                <w:bCs w:val="1"/>
                <w:color w:val="auto"/>
              </w:rPr>
              <w:t>Active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76"/>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57"/>
              <w:spacing w:after="0" w:line="149"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center"/>
              <w:ind w:right="13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5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20" w:type="dxa"/>
            <w:vAlign w:val="bottom"/>
          </w:tcPr>
          <w:p>
            <w:pPr>
              <w:spacing w:after="0"/>
              <w:rPr>
                <w:sz w:val="14"/>
                <w:szCs w:val="14"/>
                <w:color w:val="auto"/>
              </w:rPr>
            </w:pPr>
          </w:p>
        </w:tc>
        <w:tc>
          <w:tcPr>
            <w:tcW w:w="1300" w:type="dxa"/>
            <w:vAlign w:val="bottom"/>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w w:val="88"/>
              </w:rPr>
              <w:t>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debt securities: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Total marketable debt securities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122,686</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84,034</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Money market funds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46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Borders>
              <w:bottom w:val="single" w:sz="8" w:color="CFF0FC"/>
            </w:tcBorders>
            <w:shd w:val="clear" w:color="auto" w:fill="CFF0FC"/>
          </w:tcPr>
          <w:p>
            <w:pPr>
              <w:ind w:left="600"/>
              <w:spacing w:after="0"/>
              <w:rPr>
                <w:sz w:val="20"/>
                <w:szCs w:val="20"/>
                <w:color w:val="auto"/>
              </w:rPr>
            </w:pPr>
            <w:r>
              <w:rPr>
                <w:rFonts w:ascii="Times New Roman" w:cs="Times New Roman" w:eastAsia="Times New Roman" w:hAnsi="Times New Roman"/>
                <w:sz w:val="18"/>
                <w:szCs w:val="18"/>
                <w:color w:val="auto"/>
              </w:rPr>
              <w:t>Total cash equivalents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-1872615</wp:posOffset>
            </wp:positionV>
            <wp:extent cx="2922905"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922905" cy="1797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-1293495</wp:posOffset>
            </wp:positionV>
            <wp:extent cx="7683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-1293495</wp:posOffset>
            </wp:positionV>
            <wp:extent cx="68580"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-1293495</wp:posOffset>
            </wp:positionV>
            <wp:extent cx="68580"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543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-1002030</wp:posOffset>
            </wp:positionV>
            <wp:extent cx="2897505" cy="3003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97505" cy="3003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accrued interest receivable related to the Company’s investments was $0.2 million as of September 30, 2022 and is included in prepaid expenses and other current assets on the condensed consolidated balance sheet. There was no accrued interest receivable and December 31, 2021.</w:t>
      </w:r>
    </w:p>
    <w:p>
      <w:pPr>
        <w:spacing w:after="0" w:line="243"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its money market funds which are valued based on quoted market prices in active markets with no valuation adjustment, as Level 1 assets within the fair value hierarchy.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type w:val="continuous"/>
        </w:sectPr>
      </w:pPr>
    </w:p>
    <w:bookmarkStart w:id="14" w:name="page15"/>
    <w:bookmarkEnd w:id="14"/>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The Company classifies its investments in U.S. treasury securities corporate commercial paper, and corporate debt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69"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As of September 30, 2022 and December 31, 2021, the unrealized losses for available-for-sale investments were non-credit related, and the Company does not intend to sell the investments that were in an unrealized loss position, nor will it be required to sell those investments before recovery of their amortized cost basis, which may be maturity. As of September 30, 2022 and December 31, 2021, no allowances for credit losses for the Company’s investments were recorded. During the three and nine months ended September 30, 2022 and 2021, the Company did not recognize any impairment losses related to investments.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60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marketable debt securities as of September 30, 2022. The Company held no marketable debt securities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3356610</wp:posOffset>
            </wp:positionH>
            <wp:positionV relativeFrom="paragraph">
              <wp:posOffset>102235</wp:posOffset>
            </wp:positionV>
            <wp:extent cx="3792855" cy="4495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92855" cy="44958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184"/>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ind w:right="179"/>
              <w:spacing w:after="0" w:line="160"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184"/>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gridSpan w:val="3"/>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shd w:val="clear" w:color="auto" w:fill="CFF0FC"/>
          </w:tcPr>
          <w:p>
            <w:pPr>
              <w:spacing w:after="0"/>
              <w:rPr>
                <w:sz w:val="18"/>
                <w:szCs w:val="18"/>
                <w:color w:val="auto"/>
              </w:rPr>
            </w:pPr>
          </w:p>
        </w:tc>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Government and agency securities</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2"/>
              </w:rPr>
              <w:t>(42 )</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CFF0FC"/>
          </w:tcPr>
          <w:p>
            <w:pPr>
              <w:spacing w:after="0" w:line="20" w:lineRule="exact"/>
              <w:rPr>
                <w:sz w:val="1"/>
                <w:szCs w:val="1"/>
                <w:color w:val="auto"/>
              </w:rPr>
            </w:pPr>
          </w:p>
        </w:tc>
        <w:tc>
          <w:tcPr>
            <w:tcW w:w="5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38,692</w:t>
            </w:r>
          </w:p>
        </w:tc>
        <w:tc>
          <w:tcPr>
            <w:tcW w:w="260" w:type="dxa"/>
            <w:vAlign w:val="bottom"/>
            <w:gridSpan w:val="2"/>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2"/>
              </w:rPr>
              <w:t>(42 )</w:t>
            </w: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80" w:type="dxa"/>
            <w:vAlign w:val="bottom"/>
          </w:tcPr>
          <w:p>
            <w:pPr>
              <w:spacing w:after="0"/>
              <w:rPr>
                <w:sz w:val="24"/>
                <w:szCs w:val="24"/>
                <w:color w:val="auto"/>
              </w:rPr>
            </w:pPr>
          </w:p>
        </w:tc>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gridSpan w:val="7"/>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4"/>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research and development expenses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tax receivable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prepaid expenses and other assets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FF0FC"/>
            </w:tcBorders>
            <w:shd w:val="clear" w:color="auto" w:fill="CFF0FC"/>
          </w:tcPr>
          <w:p>
            <w:pPr>
              <w:spacing w:after="0"/>
              <w:rPr>
                <w:sz w:val="21"/>
                <w:szCs w:val="21"/>
                <w:color w:val="auto"/>
              </w:rPr>
            </w:pPr>
          </w:p>
        </w:tc>
        <w:tc>
          <w:tcPr>
            <w:tcW w:w="5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-1893570</wp:posOffset>
            </wp:positionV>
            <wp:extent cx="7747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-1893570</wp:posOffset>
            </wp:positionV>
            <wp:extent cx="6858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-1893570</wp:posOffset>
            </wp:positionV>
            <wp:extent cx="6858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-1893570</wp:posOffset>
            </wp:positionV>
            <wp:extent cx="6858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Fixed Assets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Fixed assets, net consisted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940" w:type="dxa"/>
            <w:vAlign w:val="bottom"/>
          </w:tcPr>
          <w:p>
            <w:pPr>
              <w:spacing w:after="0"/>
              <w:rPr>
                <w:sz w:val="16"/>
                <w:szCs w:val="16"/>
                <w:color w:val="auto"/>
              </w:rPr>
            </w:pPr>
          </w:p>
        </w:tc>
        <w:tc>
          <w:tcPr>
            <w:tcW w:w="4180" w:type="dxa"/>
            <w:vAlign w:val="bottom"/>
          </w:tcPr>
          <w:p>
            <w:pPr>
              <w:jc w:val="center"/>
              <w:ind w:left="233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39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(in</w:t>
            </w:r>
          </w:p>
        </w:tc>
        <w:tc>
          <w:tcPr>
            <w:tcW w:w="162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100" w:type="dxa"/>
            <w:vAlign w:val="bottom"/>
          </w:tcPr>
          <w:p>
            <w:pPr>
              <w:spacing w:after="0"/>
              <w:rPr>
                <w:sz w:val="14"/>
                <w:szCs w:val="14"/>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4180" w:type="dxa"/>
            <w:vAlign w:val="bottom"/>
            <w:shd w:val="clear" w:color="auto" w:fill="CFF0FC"/>
          </w:tcPr>
          <w:p>
            <w:pPr>
              <w:jc w:val="center"/>
              <w:ind w:left="2333"/>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4180" w:type="dxa"/>
            <w:vAlign w:val="bottom"/>
          </w:tcPr>
          <w:p>
            <w:pPr>
              <w:jc w:val="center"/>
              <w:ind w:left="2333"/>
              <w:spacing w:after="0"/>
              <w:rPr>
                <w:sz w:val="20"/>
                <w:szCs w:val="20"/>
                <w:color w:val="auto"/>
              </w:rPr>
            </w:pPr>
            <w:r>
              <w:rPr>
                <w:rFonts w:ascii="Times New Roman" w:cs="Times New Roman" w:eastAsia="Times New Roman" w:hAnsi="Times New Roman"/>
                <w:sz w:val="18"/>
                <w:szCs w:val="18"/>
                <w:color w:val="auto"/>
              </w:rPr>
              <w:t>5 years</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spacing w:after="0"/>
              <w:rPr>
                <w:sz w:val="18"/>
                <w:szCs w:val="18"/>
                <w:color w:val="auto"/>
              </w:rPr>
            </w:pPr>
          </w:p>
        </w:tc>
      </w:tr>
      <w:tr>
        <w:trPr>
          <w:trHeight w:val="216"/>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180" w:type="dxa"/>
            <w:vAlign w:val="bottom"/>
            <w:shd w:val="clear" w:color="auto" w:fill="CFF0FC"/>
          </w:tcPr>
          <w:p>
            <w:pPr>
              <w:jc w:val="center"/>
              <w:ind w:left="2333"/>
              <w:spacing w:after="0"/>
              <w:rPr>
                <w:sz w:val="20"/>
                <w:szCs w:val="20"/>
                <w:color w:val="auto"/>
              </w:rPr>
            </w:pPr>
            <w:r>
              <w:rPr>
                <w:rFonts w:ascii="Times New Roman" w:cs="Times New Roman" w:eastAsia="Times New Roman" w:hAnsi="Times New Roman"/>
                <w:sz w:val="18"/>
                <w:szCs w:val="18"/>
                <w:color w:val="auto"/>
              </w:rPr>
              <w:t>7 years</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180" w:type="dxa"/>
            <w:vAlign w:val="bottom"/>
          </w:tcPr>
          <w:p>
            <w:pPr>
              <w:jc w:val="center"/>
              <w:ind w:left="2353"/>
              <w:spacing w:after="0"/>
              <w:rPr>
                <w:sz w:val="20"/>
                <w:szCs w:val="20"/>
                <w:color w:val="auto"/>
              </w:rPr>
            </w:pPr>
            <w:r>
              <w:rPr>
                <w:rFonts w:ascii="Times New Roman" w:cs="Times New Roman" w:eastAsia="Times New Roman" w:hAnsi="Times New Roman"/>
                <w:sz w:val="18"/>
                <w:szCs w:val="18"/>
                <w:color w:val="auto"/>
              </w:rPr>
              <w:t>lease term</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r>
      <w:tr>
        <w:trPr>
          <w:trHeight w:val="210"/>
        </w:trPr>
        <w:tc>
          <w:tcPr>
            <w:tcW w:w="3940" w:type="dxa"/>
            <w:vAlign w:val="bottom"/>
            <w:shd w:val="clear" w:color="auto" w:fill="CFF0FC"/>
          </w:tcPr>
          <w:p>
            <w:pPr>
              <w:spacing w:after="0"/>
              <w:rPr>
                <w:sz w:val="18"/>
                <w:szCs w:val="18"/>
                <w:color w:val="auto"/>
              </w:rPr>
            </w:pPr>
          </w:p>
        </w:tc>
        <w:tc>
          <w:tcPr>
            <w:tcW w:w="4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00" w:type="dxa"/>
            <w:vAlign w:val="bottom"/>
            <w:shd w:val="clear" w:color="auto" w:fill="CFF0FC"/>
          </w:tcPr>
          <w:p>
            <w:pPr>
              <w:spacing w:after="0"/>
              <w:rPr>
                <w:sz w:val="18"/>
                <w:szCs w:val="18"/>
                <w:color w:val="auto"/>
              </w:rPr>
            </w:pPr>
          </w:p>
        </w:tc>
      </w:tr>
      <w:tr>
        <w:trPr>
          <w:trHeight w:val="216"/>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(596 )</w:t>
            </w:r>
          </w:p>
        </w:tc>
      </w:tr>
      <w:tr>
        <w:trPr>
          <w:trHeight w:val="250"/>
        </w:trPr>
        <w:tc>
          <w:tcPr>
            <w:tcW w:w="3940" w:type="dxa"/>
            <w:vAlign w:val="bottom"/>
            <w:tcBorders>
              <w:bottom w:val="single" w:sz="8" w:color="CFF0FC"/>
            </w:tcBorders>
            <w:shd w:val="clear" w:color="auto" w:fill="CFF0FC"/>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9"/>
        </w:trPr>
        <w:tc>
          <w:tcPr>
            <w:tcW w:w="3940" w:type="dxa"/>
            <w:vAlign w:val="bottom"/>
          </w:tcPr>
          <w:p>
            <w:pPr>
              <w:spacing w:after="0"/>
              <w:rPr>
                <w:sz w:val="24"/>
                <w:szCs w:val="24"/>
                <w:color w:val="auto"/>
              </w:rPr>
            </w:pPr>
          </w:p>
        </w:tc>
        <w:tc>
          <w:tcPr>
            <w:tcW w:w="4180" w:type="dxa"/>
            <w:vAlign w:val="bottom"/>
          </w:tcPr>
          <w:p>
            <w:pPr>
              <w:jc w:val="right"/>
              <w:ind w:right="2313"/>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940" w:type="dxa"/>
            <w:vAlign w:val="bottom"/>
            <w:tcBorders>
              <w:bottom w:val="single" w:sz="8" w:color="9A9A9A"/>
            </w:tcBorders>
          </w:tcPr>
          <w:p>
            <w:pPr>
              <w:spacing w:after="0"/>
              <w:rPr>
                <w:sz w:val="8"/>
                <w:szCs w:val="8"/>
                <w:color w:val="auto"/>
              </w:rPr>
            </w:pPr>
          </w:p>
        </w:tc>
        <w:tc>
          <w:tcPr>
            <w:tcW w:w="41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-513715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-496570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15" w:name="page16"/>
    <w:bookmarkEnd w:id="15"/>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Depreciation expense during the three and nine months ended September 30, 2022 was $0.1 million and $0.2 million, respectively. Depreciation expense during the three and nine months ended September 30, 2021 was also $0.1 million and $0.2 million, respectively.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3"/>
        </w:trPr>
        <w:tc>
          <w:tcPr>
            <w:tcW w:w="3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jc w:val="right"/>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24"/>
                <w:szCs w:val="24"/>
                <w:color w:val="auto"/>
              </w:rPr>
            </w:pPr>
          </w:p>
        </w:tc>
      </w:tr>
      <w:tr>
        <w:trPr>
          <w:trHeight w:val="187"/>
        </w:trPr>
        <w:tc>
          <w:tcPr>
            <w:tcW w:w="34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34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76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62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shd w:val="clear" w:color="auto" w:fill="CFF0FC"/>
          </w:tcPr>
          <w:p>
            <w:pPr>
              <w:spacing w:after="0"/>
              <w:rPr>
                <w:sz w:val="18"/>
                <w:szCs w:val="18"/>
                <w:color w:val="auto"/>
              </w:rPr>
            </w:pPr>
          </w:p>
        </w:tc>
      </w:tr>
      <w:tr>
        <w:trPr>
          <w:trHeight w:val="216"/>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Pr>
          <w:p>
            <w:pPr>
              <w:spacing w:after="0"/>
              <w:rPr>
                <w:sz w:val="18"/>
                <w:szCs w:val="18"/>
                <w:color w:val="auto"/>
              </w:rPr>
            </w:pPr>
          </w:p>
        </w:tc>
      </w:tr>
      <w:tr>
        <w:trPr>
          <w:trHeight w:val="216"/>
        </w:trPr>
        <w:tc>
          <w:tcPr>
            <w:tcW w:w="76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w:t>
            </w:r>
          </w:p>
        </w:tc>
        <w:tc>
          <w:tcPr>
            <w:tcW w:w="10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82" w:lineRule="exact"/>
        <w:rPr>
          <w:sz w:val="20"/>
          <w:szCs w:val="20"/>
          <w:color w:val="auto"/>
        </w:rPr>
      </w:pPr>
    </w:p>
    <w:p>
      <w:pPr>
        <w:ind w:right="7640" w:firstLine="8"/>
        <w:spacing w:after="0" w:line="358" w:lineRule="auto"/>
        <w:tabs>
          <w:tab w:leader="none" w:pos="509"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Stockholders’ Equity and Stock Options </w:t>
      </w:r>
      <w:r>
        <w:rPr>
          <w:rFonts w:ascii="Times New Roman" w:cs="Times New Roman" w:eastAsia="Times New Roman" w:hAnsi="Times New Roman"/>
          <w:sz w:val="17"/>
          <w:szCs w:val="17"/>
          <w:b w:val="1"/>
          <w:bCs w:val="1"/>
          <w:i w:val="1"/>
          <w:iCs w:val="1"/>
          <w:color w:val="auto"/>
        </w:rPr>
        <w:t>Common Stock and Prefunded Warrants</w:t>
      </w:r>
    </w:p>
    <w:p>
      <w:pPr>
        <w:spacing w:after="0" w:line="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As of September 30, 2022, the Company’s Certificate of Incorporation, as amended and restated, authorized the Company to issue up to 115,000,000</w:t>
      </w:r>
    </w:p>
    <w:p>
      <w:pPr>
        <w:spacing w:after="0" w:line="14" w:lineRule="exact"/>
        <w:rPr>
          <w:sz w:val="20"/>
          <w:szCs w:val="20"/>
          <w:color w:val="auto"/>
        </w:rPr>
      </w:pPr>
    </w:p>
    <w:p>
      <w:pPr>
        <w:ind w:right="160"/>
        <w:spacing w:after="0" w:line="223" w:lineRule="auto"/>
        <w:rPr>
          <w:sz w:val="20"/>
          <w:szCs w:val="20"/>
          <w:color w:val="auto"/>
        </w:rPr>
      </w:pPr>
      <w:r>
        <w:rPr>
          <w:rFonts w:ascii="Times New Roman" w:cs="Times New Roman" w:eastAsia="Times New Roman" w:hAnsi="Times New Roman"/>
          <w:sz w:val="17"/>
          <w:szCs w:val="17"/>
          <w:color w:val="auto"/>
        </w:rPr>
        <w:t>shares of $0.001 par value common stock, of which 43,269,200 shares were issued and outstanding, and up to 5,000,000 shares of $0.001 par value undesignated preferred stock, of which no shares were issued or outstanding. The voting, dividend, and liquidation rights of the holders of the Company’s</w:t>
      </w:r>
    </w:p>
    <w:p>
      <w:pPr>
        <w:spacing w:after="0" w:line="1" w:lineRule="exact"/>
        <w:rPr>
          <w:sz w:val="20"/>
          <w:szCs w:val="20"/>
          <w:color w:val="auto"/>
        </w:rPr>
      </w:pPr>
    </w:p>
    <w:p>
      <w:pPr>
        <w:ind w:right="60"/>
        <w:spacing w:after="0" w:line="223" w:lineRule="auto"/>
        <w:rPr>
          <w:sz w:val="20"/>
          <w:szCs w:val="20"/>
          <w:color w:val="auto"/>
        </w:rPr>
      </w:pPr>
      <w:r>
        <w:rPr>
          <w:rFonts w:ascii="Times New Roman" w:cs="Times New Roman" w:eastAsia="Times New Roman" w:hAnsi="Times New Roman"/>
          <w:sz w:val="17"/>
          <w:szCs w:val="17"/>
          <w:color w:val="auto"/>
        </w:rPr>
        <w:t>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declared by the board of directors of the Company (the “Board”), if any. No cash dividends have been declared or paid to date.</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28, 2020, the Company entered into a securities purchase agreement with certain accredited investors (the “Purchasers”) for the sale by the</w:t>
      </w:r>
    </w:p>
    <w:p>
      <w:pPr>
        <w:spacing w:after="0" w:line="2"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Company in a private placement of 6,105,359 shares of the Company’s common stock and prefunded warrants to purchase an aggregate of 628,403 shares of the Company’s common stock, for a price of $11.88 per share of the common stock and $11.87 per prefunded warrant. The prefunded warrants are</w:t>
      </w:r>
    </w:p>
    <w:p>
      <w:pPr>
        <w:spacing w:after="0" w:line="1" w:lineRule="exact"/>
        <w:rPr>
          <w:sz w:val="20"/>
          <w:szCs w:val="20"/>
          <w:color w:val="auto"/>
        </w:rPr>
      </w:pPr>
    </w:p>
    <w:p>
      <w:pPr>
        <w:ind w:right="60"/>
        <w:spacing w:after="0" w:line="208" w:lineRule="auto"/>
        <w:rPr>
          <w:sz w:val="20"/>
          <w:szCs w:val="20"/>
          <w:color w:val="auto"/>
        </w:rPr>
      </w:pPr>
      <w:r>
        <w:rPr>
          <w:rFonts w:ascii="Times New Roman" w:cs="Times New Roman" w:eastAsia="Times New Roman" w:hAnsi="Times New Roman"/>
          <w:sz w:val="18"/>
          <w:szCs w:val="18"/>
          <w:color w:val="auto"/>
        </w:rPr>
        <w:t>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w:t>
      </w:r>
    </w:p>
    <w:p>
      <w:pPr>
        <w:spacing w:after="0" w:line="2" w:lineRule="exact"/>
        <w:rPr>
          <w:sz w:val="20"/>
          <w:szCs w:val="20"/>
          <w:color w:val="auto"/>
        </w:rPr>
      </w:pPr>
    </w:p>
    <w:p>
      <w:pPr>
        <w:ind w:right="140"/>
        <w:spacing w:after="0" w:line="223" w:lineRule="auto"/>
        <w:rPr>
          <w:sz w:val="20"/>
          <w:szCs w:val="20"/>
          <w:color w:val="auto"/>
        </w:rPr>
      </w:pPr>
      <w:r>
        <w:rPr>
          <w:rFonts w:ascii="Times New Roman" w:cs="Times New Roman" w:eastAsia="Times New Roman" w:hAnsi="Times New Roman"/>
          <w:sz w:val="17"/>
          <w:szCs w:val="17"/>
          <w:color w:val="auto"/>
        </w:rPr>
        <w:t>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w:t>
      </w:r>
    </w:p>
    <w:p>
      <w:pPr>
        <w:spacing w:after="0" w:line="1"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63" w:lineRule="exact"/>
        <w:rPr>
          <w:sz w:val="20"/>
          <w:szCs w:val="20"/>
          <w:color w:val="auto"/>
        </w:rPr>
      </w:pPr>
    </w:p>
    <w:p>
      <w:pPr>
        <w:ind w:right="160" w:firstLine="509"/>
        <w:spacing w:after="0" w:line="236" w:lineRule="auto"/>
        <w:rPr>
          <w:sz w:val="20"/>
          <w:szCs w:val="20"/>
          <w:color w:val="auto"/>
        </w:rPr>
      </w:pPr>
      <w:r>
        <w:rPr>
          <w:rFonts w:ascii="Times New Roman" w:cs="Times New Roman" w:eastAsia="Times New Roman" w:hAnsi="Times New Roman"/>
          <w:sz w:val="17"/>
          <w:szCs w:val="17"/>
          <w:color w:val="auto"/>
        </w:rPr>
        <w:t>In July 2021, the Company sold 2,342,720 shares under an “at-the-market” equity distribution agreement (the "Prior ATM Agreement") with Piper Sandler &amp; Co. for net proceeds of $19.9 million. The Prior ATM Agreement was terminated in November 2022 in connection with the establishment of a</w:t>
      </w:r>
    </w:p>
    <w:p>
      <w:pPr>
        <w:ind w:right="320"/>
        <w:spacing w:after="0" w:line="226" w:lineRule="auto"/>
        <w:rPr>
          <w:sz w:val="20"/>
          <w:szCs w:val="20"/>
          <w:color w:val="auto"/>
        </w:rPr>
      </w:pPr>
      <w:r>
        <w:rPr>
          <w:rFonts w:ascii="Times New Roman" w:cs="Times New Roman" w:eastAsia="Times New Roman" w:hAnsi="Times New Roman"/>
          <w:sz w:val="18"/>
          <w:szCs w:val="18"/>
          <w:color w:val="auto"/>
        </w:rPr>
        <w:t>new "at-the-market' offering program (see 2022 ATM Agreement below). An aggregate of 2,354,244 shares of common stock were sold pursuant to the Prior ATM Agreement for net proceeds of $20.1 million</w:t>
      </w:r>
    </w:p>
    <w:p>
      <w:pPr>
        <w:spacing w:after="0" w:line="63" w:lineRule="exact"/>
        <w:rPr>
          <w:sz w:val="20"/>
          <w:szCs w:val="20"/>
          <w:color w:val="auto"/>
        </w:rPr>
      </w:pPr>
    </w:p>
    <w:p>
      <w:pPr>
        <w:ind w:right="200" w:firstLine="509"/>
        <w:spacing w:after="0" w:line="237" w:lineRule="auto"/>
        <w:rPr>
          <w:sz w:val="20"/>
          <w:szCs w:val="20"/>
          <w:color w:val="auto"/>
        </w:rPr>
      </w:pPr>
      <w:r>
        <w:rPr>
          <w:rFonts w:ascii="Times New Roman" w:cs="Times New Roman" w:eastAsia="Times New Roman" w:hAnsi="Times New Roman"/>
          <w:sz w:val="18"/>
          <w:szCs w:val="18"/>
          <w:color w:val="auto"/>
        </w:rPr>
        <w:t>In September 2022, the Company sold 25,558,750 shares of common stock at a public offering price of $3.15 per share and received net proceeds, net of underwriting discounts and commissions and offering costs of $75.2 million.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ATM Agreement</w:t>
      </w:r>
    </w:p>
    <w:p>
      <w:pPr>
        <w:spacing w:after="0" w:line="94" w:lineRule="exact"/>
        <w:rPr>
          <w:sz w:val="20"/>
          <w:szCs w:val="20"/>
          <w:color w:val="auto"/>
        </w:rPr>
      </w:pPr>
    </w:p>
    <w:p>
      <w:pPr>
        <w:ind w:right="120" w:firstLine="509"/>
        <w:spacing w:after="0" w:line="226" w:lineRule="auto"/>
        <w:rPr>
          <w:sz w:val="20"/>
          <w:szCs w:val="20"/>
          <w:color w:val="auto"/>
        </w:rPr>
      </w:pPr>
      <w:r>
        <w:rPr>
          <w:rFonts w:ascii="Times New Roman" w:cs="Times New Roman" w:eastAsia="Times New Roman" w:hAnsi="Times New Roman"/>
          <w:sz w:val="18"/>
          <w:szCs w:val="18"/>
          <w:color w:val="auto"/>
        </w:rPr>
        <w:t>On November 10, 2022, the Company entered into a sales agreement (the "ATM Agreement") with an investment bank (Guggenheim Securities, LLC) in connection with the establishment of an “at-the-market” offering program under which the Company may sell up to an aggregate of $50.0 million of shares of common stock (the “ATM Shares”) from time to time.</w:t>
      </w:r>
    </w:p>
    <w:p>
      <w:pPr>
        <w:spacing w:after="0" w:line="63" w:lineRule="exact"/>
        <w:rPr>
          <w:sz w:val="20"/>
          <w:szCs w:val="20"/>
          <w:color w:val="auto"/>
        </w:rPr>
      </w:pPr>
    </w:p>
    <w:p>
      <w:pPr>
        <w:ind w:right="300" w:firstLine="509"/>
        <w:spacing w:after="0" w:line="222" w:lineRule="auto"/>
        <w:rPr>
          <w:sz w:val="20"/>
          <w:szCs w:val="20"/>
          <w:color w:val="auto"/>
        </w:rPr>
      </w:pPr>
      <w:r>
        <w:rPr>
          <w:rFonts w:ascii="Times New Roman" w:cs="Times New Roman" w:eastAsia="Times New Roman" w:hAnsi="Times New Roman"/>
          <w:sz w:val="18"/>
          <w:szCs w:val="18"/>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w:t>
      </w:r>
    </w:p>
    <w:p>
      <w:pPr>
        <w:spacing w:after="0" w:line="2" w:lineRule="exact"/>
        <w:rPr>
          <w:sz w:val="20"/>
          <w:szCs w:val="20"/>
          <w:color w:val="auto"/>
        </w:rPr>
      </w:pPr>
    </w:p>
    <w:p>
      <w:pPr>
        <w:ind w:right="400"/>
        <w:spacing w:after="0" w:line="226" w:lineRule="auto"/>
        <w:rPr>
          <w:sz w:val="20"/>
          <w:szCs w:val="20"/>
          <w:color w:val="auto"/>
        </w:rPr>
      </w:pPr>
      <w:r>
        <w:rPr>
          <w:rFonts w:ascii="Times New Roman" w:cs="Times New Roman" w:eastAsia="Times New Roman" w:hAnsi="Times New Roman"/>
          <w:sz w:val="18"/>
          <w:szCs w:val="18"/>
          <w:color w:val="auto"/>
        </w:rPr>
        <w:t>minimum price below which sales may not be made. Sales of the ATM Shares, if any, under the ATM Agreement may be made in transactions that are deemed to be “at-the-market offerings” as defined in Rule 415 under the Securities Act. The Company pays its investment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bank a commission equal to 3.0% of the gross proceeds of any ATM Shares sold through its investment bank under the ATM Agreement and reimburses</w:t>
      </w:r>
    </w:p>
    <w:p>
      <w:pPr>
        <w:spacing w:after="0" w:line="2" w:lineRule="exact"/>
        <w:rPr>
          <w:sz w:val="20"/>
          <w:szCs w:val="20"/>
          <w:color w:val="auto"/>
        </w:rPr>
      </w:pPr>
    </w:p>
    <w:p>
      <w:pPr>
        <w:ind w:right="120"/>
        <w:spacing w:after="0" w:line="223" w:lineRule="auto"/>
        <w:rPr>
          <w:sz w:val="20"/>
          <w:szCs w:val="20"/>
          <w:color w:val="auto"/>
        </w:rPr>
      </w:pPr>
      <w:r>
        <w:rPr>
          <w:rFonts w:ascii="Times New Roman" w:cs="Times New Roman" w:eastAsia="Times New Roman" w:hAnsi="Times New Roman"/>
          <w:sz w:val="17"/>
          <w:szCs w:val="17"/>
          <w:color w:val="auto"/>
        </w:rPr>
        <w:t>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 obligation to sell any of the ATM Shares and may at any time suspend offers under the ATM Agreement.</w:t>
      </w:r>
    </w:p>
    <w:p>
      <w:pPr>
        <w:spacing w:after="0" w:line="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ATM Shares will be offered and sold pursuant to the Company’s Registration Statement on Form S-3, filed by the Company on November 10,</w:t>
      </w:r>
    </w:p>
    <w:p>
      <w:pPr>
        <w:spacing w:after="0" w:line="2" w:lineRule="exact"/>
        <w:rPr>
          <w:sz w:val="20"/>
          <w:szCs w:val="20"/>
          <w:color w:val="auto"/>
        </w:rPr>
      </w:pPr>
    </w:p>
    <w:p>
      <w:pPr>
        <w:ind w:right="40"/>
        <w:spacing w:after="0" w:line="223" w:lineRule="auto"/>
        <w:rPr>
          <w:sz w:val="20"/>
          <w:szCs w:val="20"/>
          <w:color w:val="auto"/>
        </w:rPr>
      </w:pPr>
      <w:r>
        <w:rPr>
          <w:rFonts w:ascii="Times New Roman" w:cs="Times New Roman" w:eastAsia="Times New Roman" w:hAnsi="Times New Roman"/>
          <w:sz w:val="17"/>
          <w:szCs w:val="17"/>
          <w:color w:val="auto"/>
        </w:rPr>
        <w:t>2022 (the “Registration Statement”), and the sales agreement prospectus that forms a part of such Registration Statement, following such time, if ever, as the Registration Statement is declared effective by the SEC. As of the date of this Quarterly Report on Form 10-Q, no ATM Shares have been sold pursuant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ATM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108" w:lineRule="exact"/>
        <w:rPr>
          <w:sz w:val="20"/>
          <w:szCs w:val="20"/>
          <w:color w:val="auto"/>
        </w:rPr>
      </w:pPr>
    </w:p>
    <w:p>
      <w:pPr>
        <w:ind w:right="40" w:firstLine="509"/>
        <w:spacing w:after="0" w:line="247" w:lineRule="auto"/>
        <w:rPr>
          <w:sz w:val="20"/>
          <w:szCs w:val="20"/>
          <w:color w:val="auto"/>
        </w:rPr>
      </w:pPr>
      <w:r>
        <w:rPr>
          <w:rFonts w:ascii="Times New Roman" w:cs="Times New Roman" w:eastAsia="Times New Roman" w:hAnsi="Times New Roman"/>
          <w:sz w:val="18"/>
          <w:szCs w:val="18"/>
          <w:color w:val="auto"/>
        </w:rPr>
        <w:t>The Board adopted the 2020 Equity Incentive Plan (the "2020 Plan") on July 16, 2020 and the stockholders of the Company approved the 2020 Plan on September 29, 2020. The 2020 Plan replaces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72" w:lineRule="exact"/>
        <w:rPr>
          <w:sz w:val="20"/>
          <w:szCs w:val="20"/>
          <w:color w:val="auto"/>
        </w:rPr>
      </w:pPr>
    </w:p>
    <w:p>
      <w:pPr>
        <w:ind w:right="120" w:firstLine="509"/>
        <w:spacing w:after="0" w:line="250" w:lineRule="auto"/>
        <w:rPr>
          <w:sz w:val="20"/>
          <w:szCs w:val="20"/>
          <w:color w:val="auto"/>
        </w:rPr>
      </w:pPr>
      <w:r>
        <w:rPr>
          <w:rFonts w:ascii="Times New Roman" w:cs="Times New Roman" w:eastAsia="Times New Roman" w:hAnsi="Times New Roman"/>
          <w:sz w:val="18"/>
          <w:szCs w:val="18"/>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83"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8"/>
          <w:szCs w:val="18"/>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During the nine months ended September 30, 2022 and twelve months ended December 31, 2021, respectively, options to purchase 130,516 and 56,966 shares issued under the Prior Plans were cancelled and became available for grant under the 2020 Plan.</w:t>
      </w:r>
    </w:p>
    <w:p>
      <w:pPr>
        <w:spacing w:after="0" w:line="74"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As permitted by the 2020 Plan, the Company added 614,709 and 708,418 shares available for grant to the 2020 Plan on January 1, 2021 and January 1, 2022, respectively. As of September 30, 2022, 991,687 shares of common stock were available for grant under the 2020 Plan.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Valuation</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 average basis, the assumptions used in the Black-Scholes option-pricing model to determine the grant-date fair value of stock options granted to employees: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6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6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66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3660" w:type="dxa"/>
            <w:vAlign w:val="bottom"/>
          </w:tcPr>
          <w:p>
            <w:pPr>
              <w:spacing w:after="0"/>
              <w:rPr>
                <w:sz w:val="16"/>
                <w:szCs w:val="16"/>
                <w:color w:val="auto"/>
              </w:rPr>
            </w:pPr>
          </w:p>
        </w:tc>
        <w:tc>
          <w:tcPr>
            <w:tcW w:w="5740" w:type="dxa"/>
            <w:vAlign w:val="bottom"/>
            <w:gridSpan w:val="2"/>
          </w:tcPr>
          <w:p>
            <w:pPr>
              <w:jc w:val="center"/>
              <w:ind w:left="39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40" w:type="dxa"/>
            <w:vAlign w:val="bottom"/>
            <w:gridSpan w:val="2"/>
          </w:tcPr>
          <w:p>
            <w:pPr>
              <w:jc w:val="center"/>
              <w:ind w:left="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406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2.13%</w:t>
            </w:r>
          </w:p>
        </w:tc>
        <w:tc>
          <w:tcPr>
            <w:tcW w:w="18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0.89%</w:t>
            </w: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5740" w:type="dxa"/>
            <w:vAlign w:val="bottom"/>
            <w:gridSpan w:val="2"/>
          </w:tcPr>
          <w:p>
            <w:pPr>
              <w:jc w:val="center"/>
              <w:ind w:left="3974"/>
              <w:spacing w:after="0"/>
              <w:rPr>
                <w:sz w:val="20"/>
                <w:szCs w:val="20"/>
                <w:color w:val="auto"/>
              </w:rPr>
            </w:pPr>
            <w:r>
              <w:rPr>
                <w:rFonts w:ascii="Times New Roman" w:cs="Times New Roman" w:eastAsia="Times New Roman" w:hAnsi="Times New Roman"/>
                <w:sz w:val="18"/>
                <w:szCs w:val="18"/>
                <w:color w:val="auto"/>
              </w:rPr>
              <w:t>6.21</w:t>
            </w:r>
          </w:p>
        </w:tc>
        <w:tc>
          <w:tcPr>
            <w:tcW w:w="184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95"/>
              </w:rPr>
              <w:t>6.19</w:t>
            </w:r>
          </w:p>
        </w:tc>
      </w:tr>
      <w:tr>
        <w:trPr>
          <w:trHeight w:val="21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740" w:type="dxa"/>
            <w:vAlign w:val="bottom"/>
            <w:gridSpan w:val="2"/>
            <w:shd w:val="clear" w:color="auto" w:fill="CFF0FC"/>
          </w:tcPr>
          <w:p>
            <w:pPr>
              <w:jc w:val="center"/>
              <w:ind w:left="3994"/>
              <w:spacing w:after="0"/>
              <w:rPr>
                <w:sz w:val="20"/>
                <w:szCs w:val="20"/>
                <w:color w:val="auto"/>
              </w:rPr>
            </w:pPr>
            <w:r>
              <w:rPr>
                <w:rFonts w:ascii="Times New Roman" w:cs="Times New Roman" w:eastAsia="Times New Roman" w:hAnsi="Times New Roman"/>
                <w:sz w:val="18"/>
                <w:szCs w:val="18"/>
                <w:color w:val="auto"/>
              </w:rPr>
              <w:t>89%</w:t>
            </w:r>
          </w:p>
        </w:tc>
        <w:tc>
          <w:tcPr>
            <w:tcW w:w="1840" w:type="dxa"/>
            <w:vAlign w:val="bottom"/>
            <w:gridSpan w:val="2"/>
            <w:shd w:val="clear" w:color="auto" w:fill="CFF0FC"/>
          </w:tcPr>
          <w:p>
            <w:pPr>
              <w:jc w:val="center"/>
              <w:ind w:left="95"/>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740" w:type="dxa"/>
            <w:vAlign w:val="bottom"/>
            <w:gridSpan w:val="2"/>
          </w:tcPr>
          <w:p>
            <w:pPr>
              <w:jc w:val="center"/>
              <w:ind w:left="3994"/>
              <w:spacing w:after="0"/>
              <w:rPr>
                <w:sz w:val="20"/>
                <w:szCs w:val="20"/>
                <w:color w:val="auto"/>
              </w:rPr>
            </w:pPr>
            <w:r>
              <w:rPr>
                <w:rFonts w:ascii="Times New Roman" w:cs="Times New Roman" w:eastAsia="Times New Roman" w:hAnsi="Times New Roman"/>
                <w:sz w:val="18"/>
                <w:szCs w:val="18"/>
                <w:color w:val="auto"/>
                <w:w w:val="98"/>
              </w:rPr>
              <w:t>0.00%</w:t>
            </w:r>
          </w:p>
        </w:tc>
        <w:tc>
          <w:tcPr>
            <w:tcW w:w="1840" w:type="dxa"/>
            <w:vAlign w:val="bottom"/>
            <w:gridSpan w:val="2"/>
          </w:tcPr>
          <w:p>
            <w:pPr>
              <w:jc w:val="center"/>
              <w:ind w:left="95"/>
              <w:spacing w:after="0"/>
              <w:rPr>
                <w:sz w:val="20"/>
                <w:szCs w:val="20"/>
                <w:color w:val="auto"/>
              </w:rPr>
            </w:pPr>
            <w:r>
              <w:rPr>
                <w:rFonts w:ascii="Times New Roman" w:cs="Times New Roman" w:eastAsia="Times New Roman" w:hAnsi="Times New Roman"/>
                <w:sz w:val="18"/>
                <w:szCs w:val="18"/>
                <w:color w:val="auto"/>
                <w:w w:val="98"/>
              </w:rPr>
              <w:t>0.00%</w:t>
            </w:r>
          </w:p>
        </w:tc>
      </w:tr>
      <w:tr>
        <w:trPr>
          <w:trHeight w:val="630"/>
        </w:trPr>
        <w:tc>
          <w:tcPr>
            <w:tcW w:w="3660" w:type="dxa"/>
            <w:vAlign w:val="bottom"/>
          </w:tcPr>
          <w:p>
            <w:pPr>
              <w:spacing w:after="0"/>
              <w:rPr>
                <w:sz w:val="24"/>
                <w:szCs w:val="24"/>
                <w:color w:val="auto"/>
              </w:rPr>
            </w:pPr>
          </w:p>
        </w:tc>
        <w:tc>
          <w:tcPr>
            <w:tcW w:w="4060" w:type="dxa"/>
            <w:vAlign w:val="bottom"/>
          </w:tcPr>
          <w:p>
            <w:pPr>
              <w:jc w:val="right"/>
              <w:ind w:right="1914"/>
              <w:spacing w:after="0"/>
              <w:rPr>
                <w:sz w:val="20"/>
                <w:szCs w:val="20"/>
                <w:color w:val="auto"/>
              </w:rPr>
            </w:pPr>
            <w:r>
              <w:rPr>
                <w:rFonts w:ascii="Times New Roman" w:cs="Times New Roman" w:eastAsia="Times New Roman" w:hAnsi="Times New Roman"/>
                <w:sz w:val="18"/>
                <w:szCs w:val="18"/>
                <w:color w:val="auto"/>
              </w:rPr>
              <w:t>15</w:t>
            </w: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01"/>
        </w:trPr>
        <w:tc>
          <w:tcPr>
            <w:tcW w:w="3660" w:type="dxa"/>
            <w:vAlign w:val="bottom"/>
            <w:tcBorders>
              <w:bottom w:val="single" w:sz="8" w:color="9A9A9A"/>
            </w:tcBorders>
          </w:tcPr>
          <w:p>
            <w:pPr>
              <w:spacing w:after="0"/>
              <w:rPr>
                <w:sz w:val="8"/>
                <w:szCs w:val="8"/>
                <w:color w:val="auto"/>
              </w:rPr>
            </w:pPr>
          </w:p>
        </w:tc>
        <w:tc>
          <w:tcPr>
            <w:tcW w:w="406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2022 (amounts in millions, except for share and per share data):</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r>
      <w:tr>
        <w:trPr>
          <w:trHeight w:val="176"/>
        </w:trPr>
        <w:tc>
          <w:tcPr>
            <w:tcW w:w="5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0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5"/>
                <w:szCs w:val="15"/>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Value (a)</w:t>
            </w:r>
          </w:p>
        </w:tc>
        <w:tc>
          <w:tcPr>
            <w:tcW w:w="100" w:type="dxa"/>
            <w:vAlign w:val="bottom"/>
          </w:tcPr>
          <w:p>
            <w:pPr>
              <w:spacing w:after="0"/>
              <w:rPr>
                <w:sz w:val="15"/>
                <w:szCs w:val="15"/>
                <w:color w:val="auto"/>
              </w:rPr>
            </w:pPr>
          </w:p>
        </w:tc>
      </w:tr>
      <w:tr>
        <w:trPr>
          <w:trHeight w:val="187"/>
        </w:trPr>
        <w:tc>
          <w:tcPr>
            <w:tcW w:w="5620" w:type="dxa"/>
            <w:vAlign w:val="bottom"/>
          </w:tcPr>
          <w:p>
            <w:pPr>
              <w:spacing w:after="0"/>
              <w:rPr>
                <w:sz w:val="16"/>
                <w:szCs w:val="16"/>
                <w:color w:val="auto"/>
              </w:rPr>
            </w:pPr>
          </w:p>
        </w:tc>
        <w:tc>
          <w:tcPr>
            <w:tcW w:w="13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(in years)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09"/>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as of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2,523,305</w:t>
            </w: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220" w:type="dxa"/>
            <w:vAlign w:val="bottom"/>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868,450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6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Forfeited/Expired</w:t>
            </w: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(254,979 )</w:t>
            </w:r>
          </w:p>
        </w:tc>
        <w:tc>
          <w:tcPr>
            <w:tcW w:w="20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197"/>
        </w:trPr>
        <w:tc>
          <w:tcPr>
            <w:tcW w:w="56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Outstanding as of September 30, 2022</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3,136,776</w:t>
            </w:r>
          </w:p>
        </w:tc>
        <w:tc>
          <w:tcPr>
            <w:tcW w:w="24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12.27</w:t>
            </w:r>
          </w:p>
        </w:tc>
        <w:tc>
          <w:tcPr>
            <w:tcW w:w="1480" w:type="dxa"/>
            <w:vAlign w:val="bottom"/>
            <w:tcBorders>
              <w:top w:val="single" w:sz="8" w:color="CFF0FC"/>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420" w:type="dxa"/>
            <w:vAlign w:val="bottom"/>
            <w:tcBorders>
              <w:top w:val="single" w:sz="8" w:color="CFF0FC"/>
            </w:tcBorders>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FF0FC"/>
            </w:tcBorders>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6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Exercisable as of September 30, 2022</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1,329,897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14.81</w:t>
            </w:r>
          </w:p>
        </w:tc>
        <w:tc>
          <w:tcPr>
            <w:tcW w:w="14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420" w:type="dxa"/>
            <w:vAlign w:val="bottom"/>
            <w:tcBorders>
              <w:bottom w:val="single" w:sz="8" w:color="CFF0FC"/>
            </w:tcBorders>
            <w:gridSpan w:val="2"/>
            <w:shd w:val="clear" w:color="auto" w:fill="CFF0FC"/>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56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Vested and expected to vest as of September 30, 2022</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3,136,776</w:t>
            </w:r>
          </w:p>
        </w:tc>
        <w:tc>
          <w:tcPr>
            <w:tcW w:w="240" w:type="dxa"/>
            <w:vAlign w:val="bottom"/>
          </w:tcPr>
          <w:p>
            <w:pPr>
              <w:spacing w:after="0"/>
              <w:rPr>
                <w:sz w:val="17"/>
                <w:szCs w:val="17"/>
                <w:color w:val="auto"/>
              </w:rPr>
            </w:pPr>
          </w:p>
        </w:tc>
        <w:tc>
          <w:tcPr>
            <w:tcW w:w="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12.27</w:t>
            </w: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42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-513715</wp:posOffset>
            </wp:positionV>
            <wp:extent cx="77470" cy="1885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-187960</wp:posOffset>
            </wp:positionV>
            <wp:extent cx="7747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88595"/>
                    </a:xfrm>
                    <a:prstGeom prst="rect">
                      <a:avLst/>
                    </a:prstGeom>
                    <a:noFill/>
                  </pic:spPr>
                </pic:pic>
              </a:graphicData>
            </a:graphic>
          </wp:anchor>
        </w:drawing>
      </w:r>
    </w:p>
    <w:p>
      <w:pPr>
        <w:spacing w:after="0" w:line="70" w:lineRule="exact"/>
        <w:rPr>
          <w:sz w:val="20"/>
          <w:szCs w:val="20"/>
          <w:color w:val="auto"/>
        </w:rPr>
      </w:pPr>
    </w:p>
    <w:p>
      <w:pPr>
        <w:ind w:left="1260" w:right="140" w:hanging="503"/>
        <w:spacing w:after="0" w:line="266"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value of the common stock for the options that were "in the money" at September 30,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Option Grants</w:t>
      </w:r>
    </w:p>
    <w:p>
      <w:pPr>
        <w:spacing w:after="0" w:line="121" w:lineRule="exact"/>
        <w:rPr>
          <w:sz w:val="20"/>
          <w:szCs w:val="20"/>
          <w:color w:val="auto"/>
        </w:rPr>
      </w:pPr>
    </w:p>
    <w:p>
      <w:pPr>
        <w:ind w:right="100" w:firstLine="509"/>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options to purchase 868,450 shares of common stock to employees and directors of the Company under the 2020 Plan. The options have an exercise price equal to the closing stock price as of the grant date. Of the 868,450 options granted in 2022, 826,950 were granted to employees and vest over four years with 25% vesting on the first anniversary of the grant and the remainder vesting in equal monthly installments thereafter. The remaining 41,500 options were annual grants to the Company's directors and vest one year from the grant date. The weighted-average grant date fair value of options granted during the nine months ended September 30, 2022 was $5.24.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Stock-based compensation expense was classified in the condensed consolidated statements of operations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20" w:type="dxa"/>
            <w:vAlign w:val="bottom"/>
          </w:tcPr>
          <w:p>
            <w:pPr>
              <w:spacing w:after="0"/>
              <w:rPr>
                <w:sz w:val="15"/>
                <w:szCs w:val="15"/>
                <w:color w:val="auto"/>
              </w:rPr>
            </w:pPr>
          </w:p>
        </w:tc>
        <w:tc>
          <w:tcPr>
            <w:tcW w:w="2560" w:type="dxa"/>
            <w:vAlign w:val="bottom"/>
            <w:gridSpan w:val="5"/>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80" w:type="dxa"/>
            <w:vAlign w:val="bottom"/>
            <w:gridSpan w:val="4"/>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87"/>
        </w:trPr>
        <w:tc>
          <w:tcPr>
            <w:tcW w:w="582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8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gridSpan w:val="2"/>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5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18"/>
                <w:szCs w:val="18"/>
                <w:color w:val="auto"/>
              </w:rPr>
            </w:pPr>
          </w:p>
        </w:tc>
      </w:tr>
      <w:tr>
        <w:trPr>
          <w:trHeight w:val="249"/>
        </w:trPr>
        <w:tc>
          <w:tcPr>
            <w:tcW w:w="5820" w:type="dxa"/>
            <w:vAlign w:val="bottom"/>
            <w:tcBorders>
              <w:bottom w:val="single" w:sz="8" w:color="CFF0FC"/>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1,667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-25400</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related to unvested stock options was $14.0 million, which is expected to be recognized over a weighted average period of 2.36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8" w:right="339" w:bottom="1440" w:gutter="0" w:footer="0" w:header="0"/>
        </w:sectPr>
      </w:pPr>
    </w:p>
    <w:bookmarkStart w:id="18" w:name="page19"/>
    <w:bookmarkEnd w:id="18"/>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Licenses</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w:t>
      </w:r>
    </w:p>
    <w:p>
      <w:pPr>
        <w:spacing w:after="0" w:line="69" w:lineRule="exact"/>
        <w:rPr>
          <w:sz w:val="20"/>
          <w:szCs w:val="20"/>
          <w:color w:val="auto"/>
        </w:rPr>
      </w:pPr>
    </w:p>
    <w:p>
      <w:pPr>
        <w:ind w:right="100" w:firstLine="509"/>
        <w:spacing w:after="0" w:line="243" w:lineRule="auto"/>
        <w:rPr>
          <w:sz w:val="20"/>
          <w:szCs w:val="20"/>
          <w:color w:val="auto"/>
        </w:rPr>
      </w:pPr>
      <w:r>
        <w:rPr>
          <w:rFonts w:ascii="Times New Roman" w:cs="Times New Roman" w:eastAsia="Times New Roman" w:hAnsi="Times New Roman"/>
          <w:sz w:val="18"/>
          <w:szCs w:val="18"/>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commencing on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 starting in the 2020 calendar year for the term of the agreement.</w:t>
      </w:r>
    </w:p>
    <w:p>
      <w:pPr>
        <w:spacing w:after="0" w:line="7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61"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Both agreements continue from their effective date through the last to expire of the licensed patents unless earlier terminated by either party in accordance with their terms.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0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condensed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66" w:lineRule="exact"/>
        <w:rPr>
          <w:sz w:val="20"/>
          <w:szCs w:val="20"/>
          <w:color w:val="auto"/>
        </w:rPr>
      </w:pPr>
    </w:p>
    <w:p>
      <w:pPr>
        <w:ind w:right="160" w:firstLine="509"/>
        <w:spacing w:after="0" w:line="250" w:lineRule="auto"/>
        <w:rPr>
          <w:sz w:val="20"/>
          <w:szCs w:val="20"/>
          <w:color w:val="auto"/>
        </w:rPr>
      </w:pPr>
      <w:r>
        <w:rPr>
          <w:rFonts w:ascii="Times New Roman" w:cs="Times New Roman" w:eastAsia="Times New Roman" w:hAnsi="Times New Roman"/>
          <w:sz w:val="18"/>
          <w:szCs w:val="18"/>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pacing w:after="0" w:line="69" w:lineRule="exact"/>
        <w:rPr>
          <w:sz w:val="20"/>
          <w:szCs w:val="20"/>
          <w:color w:val="auto"/>
        </w:rPr>
      </w:pPr>
    </w:p>
    <w:p>
      <w:pPr>
        <w:ind w:right="80" w:firstLine="509"/>
        <w:spacing w:after="0" w:line="247" w:lineRule="auto"/>
        <w:rPr>
          <w:sz w:val="20"/>
          <w:szCs w:val="20"/>
          <w:color w:val="auto"/>
        </w:rPr>
      </w:pPr>
      <w:r>
        <w:rPr>
          <w:rFonts w:ascii="Times New Roman" w:cs="Times New Roman" w:eastAsia="Times New Roman" w:hAnsi="Times New Roman"/>
          <w:sz w:val="18"/>
          <w:szCs w:val="18"/>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on this sublease on a straight-line basis as a component of other income/(expense).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19" w:name="page20"/>
    <w:bookmarkEnd w:id="19"/>
    <w:p>
      <w:pPr>
        <w:ind w:right="20" w:firstLine="509"/>
        <w:spacing w:after="0" w:line="250" w:lineRule="auto"/>
        <w:rPr>
          <w:sz w:val="20"/>
          <w:szCs w:val="20"/>
          <w:color w:val="auto"/>
        </w:rPr>
      </w:pPr>
      <w:r>
        <w:rPr>
          <w:rFonts w:ascii="Times New Roman" w:cs="Times New Roman" w:eastAsia="Times New Roman" w:hAnsi="Times New Roman"/>
          <w:sz w:val="18"/>
          <w:szCs w:val="18"/>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The Company has determined this lease extension qualifies as a short-term lease and have applied the accounting policy election to not record the related right-of-use asset and lease liabilities.</w:t>
      </w:r>
    </w:p>
    <w:p>
      <w:pPr>
        <w:spacing w:after="0" w:line="96"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Expense arising from operating leases was $0.1 million and $0.2 million during the three and nine months ended September 30, 2022 and also $0.1 million and $0.2 million during the three and nine months ended September 30, 2021, respectively. For operating leases, the weighted-average remaining lease term for leases at September 30, 2022 and December 31, 2021 was 7.0 and 7.6 years, respectively. For operating leases, the weighted average discount rate for leases at September 30, 2022 and December 31, 2021 was 11.0%. The Company has not entered into any financing leases.</w:t>
      </w:r>
    </w:p>
    <w:p>
      <w:pPr>
        <w:spacing w:after="0" w:line="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Maturities of lease liabilities due under these lease agreements as of September 30, 2022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87"/>
        </w:trPr>
        <w:tc>
          <w:tcPr>
            <w:tcW w:w="9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6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Three months ending December 31, 2022</w:t>
            </w: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2023</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18"/>
                <w:szCs w:val="18"/>
                <w:color w:val="auto"/>
              </w:rPr>
            </w:pPr>
          </w:p>
        </w:tc>
      </w:tr>
      <w:tr>
        <w:trPr>
          <w:trHeight w:val="216"/>
        </w:trPr>
        <w:tc>
          <w:tcPr>
            <w:tcW w:w="9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Year ended December 31, 2026</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w:t>
            </w:r>
          </w:p>
        </w:tc>
        <w:tc>
          <w:tcPr>
            <w:tcW w:w="100" w:type="dxa"/>
            <w:vAlign w:val="bottom"/>
          </w:tcPr>
          <w:p>
            <w:pPr>
              <w:spacing w:after="0"/>
              <w:rPr>
                <w:sz w:val="18"/>
                <w:szCs w:val="18"/>
                <w:color w:val="auto"/>
              </w:rPr>
            </w:pPr>
          </w:p>
        </w:tc>
      </w:tr>
      <w:tr>
        <w:trPr>
          <w:trHeight w:val="209"/>
        </w:trPr>
        <w:tc>
          <w:tcPr>
            <w:tcW w:w="9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18"/>
                <w:szCs w:val="18"/>
                <w:color w:val="auto"/>
              </w:rPr>
            </w:pPr>
          </w:p>
        </w:tc>
      </w:tr>
      <w:tr>
        <w:trPr>
          <w:trHeight w:val="216"/>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(2,345 )</w:t>
            </w:r>
          </w:p>
        </w:tc>
      </w:tr>
      <w:tr>
        <w:trPr>
          <w:trHeight w:val="250"/>
        </w:trPr>
        <w:tc>
          <w:tcPr>
            <w:tcW w:w="9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8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08" w:lineRule="exact"/>
        <w:rPr>
          <w:sz w:val="20"/>
          <w:szCs w:val="20"/>
          <w:color w:val="auto"/>
        </w:rPr>
      </w:pPr>
    </w:p>
    <w:p>
      <w:pPr>
        <w:ind w:right="420" w:firstLine="135"/>
        <w:spacing w:after="0" w:line="282" w:lineRule="auto"/>
        <w:rPr>
          <w:sz w:val="20"/>
          <w:szCs w:val="20"/>
          <w:color w:val="auto"/>
        </w:rPr>
      </w:pPr>
      <w:r>
        <w:rPr>
          <w:rFonts w:ascii="Times New Roman" w:cs="Times New Roman" w:eastAsia="Times New Roman" w:hAnsi="Times New Roman"/>
          <w:sz w:val="18"/>
          <w:szCs w:val="18"/>
          <w:color w:val="auto"/>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36" w:lineRule="exact"/>
        <w:rPr>
          <w:sz w:val="20"/>
          <w:szCs w:val="20"/>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08" w:lineRule="exact"/>
        <w:rPr>
          <w:sz w:val="20"/>
          <w:szCs w:val="20"/>
          <w:color w:val="auto"/>
        </w:rPr>
      </w:pPr>
    </w:p>
    <w:p>
      <w:pPr>
        <w:ind w:firstLine="509"/>
        <w:spacing w:after="0" w:line="242" w:lineRule="auto"/>
        <w:rPr>
          <w:sz w:val="20"/>
          <w:szCs w:val="20"/>
          <w:color w:val="auto"/>
        </w:rPr>
      </w:pPr>
      <w:r>
        <w:rPr>
          <w:rFonts w:ascii="Times New Roman" w:cs="Times New Roman" w:eastAsia="Times New Roman" w:hAnsi="Times New Roman"/>
          <w:sz w:val="18"/>
          <w:szCs w:val="18"/>
          <w:color w:val="auto"/>
        </w:rPr>
        <w:t>In November 2016, the Company entered into a consulting agreement with Mark Payne, M.D (the “Consulting Engagement”). Dr. Payne was a director of Chondrial Therapeutics, Inc. ("Chondrial") at that time. Chondrial was the name of the Company prior to its merger with Zafgen in May 2020. Dr. Payne was, and continues to be, a full-time employee of IU and one of the inventors of the licensed IU intellectual property, and as such is entitled to a certain share of the revenues received by IU under the IU License. Pursuant to the terms of his consulting agreement the Company agreed to pay Dr. Payne $0.1 million per year over the term of the agreement and granted to Dr. Payne 123,853 restricted Common Units in Chondrial Holdings, LLC, the sole investor in Chondrial. On November 30, 2016, 30% immediately vested and was associated with Chondrial Therapeutics IP, LLC (“IP LLC”) becoming a subsidiary of Holdings, which was subsequently contributed to the Company on December 31, 2018. The remaining 70% vested ratably over 48 months beginning on December 1, 2016 and were fully vested as of December 31, 2020. The consulting agreement had a four-year term, subject to earlier termination. On November 30, 2020, the Company entered into a 1-month extension of the Consulting Engagement, expiring on December 31, 2020 and on January 1, 2021, the Company entered into a new consulting agreement with Dr. Payne which extended the term of the Consulting Engagement for a four-year term beginning on January 1, 2021. During the three and nine months ended September 30, 2022 and 2021 the Company recognized less than $0.1 million and $0.1 million, respectively, related to this consulting agreement, recorded as research and development expense in the Condensed Consolidated Statements of Operations.</w:t>
      </w:r>
    </w:p>
    <w:p>
      <w:pPr>
        <w:spacing w:after="0" w:line="8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During 2021, the Company purchased a piece of laboratory equipment and lab supplies for a cumulative $0.1 million from a supplier of which one of the Company's directors is also a current director.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(“Quarterly Report”), and the audited consolidated financial statements and notes thereto and management’s discussion and analysis of financial condition and results of operations for the year ended December 31, 2021 included in our Annual Report on Form 10-K filed with the Securities and Exchange Commission (“SEC”) on March 25, 2022 ("2021 Annual Report"). Some of the information contained in this discussion and analysis or set forth elsewhere in this Quarterly Report, including information with respect to our plans and strategy for our business, includes forward-looking statements that involve risks, uncertainties, and assumptions. These statements are based on our beliefs and expectations about future outcomes and are subject to risks and uncertainties that could cause our actual results to differ materially from anticipated results. We undertake no obligation to publicly update these forward-looking statements, whether as a result of new information, future events or otherwise. You should read the “Risk Factors” section included in our 2021 Annual Report and our subsequently filed Quarterly Reports on Form 10-Q in addition to the "Risk Factors" and “Cautionary Note Regarding Forward-Looking Statements” sections of this Quarterly Report for a discussion of important factors that could cause actual results to differ materially from the results described in or implied by the forward-looking statements contained in the following discussion and analysis.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technology platform. Our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enough FXN due to a genetic abnormality. There is currently no effective therapy for FA.</w:t>
      </w:r>
    </w:p>
    <w:p>
      <w:pPr>
        <w:spacing w:after="0" w:line="69" w:lineRule="exact"/>
        <w:rPr>
          <w:sz w:val="20"/>
          <w:szCs w:val="20"/>
          <w:color w:val="auto"/>
        </w:rPr>
      </w:pPr>
    </w:p>
    <w:p>
      <w:pPr>
        <w:ind w:right="220" w:firstLine="509"/>
        <w:spacing w:after="0" w:line="212" w:lineRule="exact"/>
        <w:rPr>
          <w:sz w:val="20"/>
          <w:szCs w:val="20"/>
          <w:color w:val="auto"/>
        </w:rPr>
      </w:pPr>
      <w:r>
        <w:rPr>
          <w:rFonts w:ascii="Times New Roman" w:cs="Times New Roman" w:eastAsia="Times New Roman" w:hAnsi="Times New Roman"/>
          <w:sz w:val="18"/>
          <w:szCs w:val="18"/>
          <w:color w:val="auto"/>
        </w:rPr>
        <w:t>We have completed two Phase 1 clinical trials in patients with FA. We have received an orphan drug designation, fast track designation and rare pediatric disease designation, from the U.S. Food and Drug Administration (the "FDA") for CTI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1601. In addition, we received orphan drug designation for CTI-1601 from the European Commission and a Priority Medicines ("PRIME") designation from the European Medicines Agency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91" w:lineRule="exact"/>
        <w:rPr>
          <w:sz w:val="20"/>
          <w:szCs w:val="20"/>
          <w:color w:val="auto"/>
        </w:rPr>
      </w:pPr>
    </w:p>
    <w:p>
      <w:pPr>
        <w:jc w:val="both"/>
        <w:ind w:right="340" w:firstLine="509"/>
        <w:spacing w:after="0" w:line="250" w:lineRule="auto"/>
        <w:rPr>
          <w:sz w:val="20"/>
          <w:szCs w:val="20"/>
          <w:color w:val="auto"/>
        </w:rPr>
      </w:pPr>
      <w:r>
        <w:rPr>
          <w:rFonts w:ascii="Times New Roman" w:cs="Times New Roman" w:eastAsia="Times New Roman" w:hAnsi="Times New Roman"/>
          <w:sz w:val="18"/>
          <w:szCs w:val="18"/>
          <w:color w:val="auto"/>
        </w:rPr>
        <w:t>Our cell penetrating peptide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6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CTI-1601 Program Update</w:t>
      </w:r>
    </w:p>
    <w:p>
      <w:pPr>
        <w:spacing w:after="0" w:line="108" w:lineRule="exact"/>
        <w:rPr>
          <w:sz w:val="20"/>
          <w:szCs w:val="20"/>
          <w:color w:val="auto"/>
        </w:rPr>
      </w:pPr>
    </w:p>
    <w:p>
      <w:pPr>
        <w:jc w:val="both"/>
        <w:ind w:right="20" w:firstLine="509"/>
        <w:spacing w:after="0" w:line="250" w:lineRule="auto"/>
        <w:rPr>
          <w:sz w:val="20"/>
          <w:szCs w:val="20"/>
          <w:color w:val="auto"/>
        </w:rPr>
      </w:pPr>
      <w:r>
        <w:rPr>
          <w:rFonts w:ascii="Times New Roman" w:cs="Times New Roman" w:eastAsia="Times New Roman" w:hAnsi="Times New Roman"/>
          <w:sz w:val="18"/>
          <w:szCs w:val="18"/>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21" w:name="page22"/>
    <w:bookmarkEnd w:id="21"/>
    <w:p>
      <w:pPr>
        <w:ind w:right="120" w:firstLine="509"/>
        <w:spacing w:after="0" w:line="247" w:lineRule="auto"/>
        <w:rPr>
          <w:sz w:val="20"/>
          <w:szCs w:val="20"/>
          <w:color w:val="auto"/>
        </w:rPr>
      </w:pPr>
      <w:r>
        <w:rPr>
          <w:rFonts w:ascii="Times New Roman" w:cs="Times New Roman" w:eastAsia="Times New Roman" w:hAnsi="Times New Roman"/>
          <w:sz w:val="18"/>
          <w:szCs w:val="18"/>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MAD or SAD trials.</w:t>
      </w:r>
    </w:p>
    <w:p>
      <w:pPr>
        <w:spacing w:after="0" w:line="72" w:lineRule="exact"/>
        <w:rPr>
          <w:sz w:val="20"/>
          <w:szCs w:val="20"/>
          <w:color w:val="auto"/>
        </w:rPr>
      </w:pPr>
    </w:p>
    <w:p>
      <w:pPr>
        <w:jc w:val="both"/>
        <w:ind w:right="160" w:firstLine="509"/>
        <w:spacing w:after="0" w:line="258" w:lineRule="auto"/>
        <w:rPr>
          <w:sz w:val="20"/>
          <w:szCs w:val="20"/>
          <w:color w:val="auto"/>
        </w:rPr>
      </w:pPr>
      <w:r>
        <w:rPr>
          <w:rFonts w:ascii="Times New Roman" w:cs="Times New Roman" w:eastAsia="Times New Roman" w:hAnsi="Times New Roman"/>
          <w:sz w:val="18"/>
          <w:szCs w:val="18"/>
          <w:color w:val="auto"/>
        </w:rPr>
        <w:t>Also in May 2021, the FDA placed a clinical hold on our CTI-1601 clinical program after we notified the agency of mortalities at the highest dose levels of the 26-week non-human primate toxicology study that was designed to support extended dosing of patients with CTI-1601. At the time the hold was placed, we had no interventional clinical trials with patients enrolling or enrolled.</w:t>
      </w:r>
    </w:p>
    <w:p>
      <w:pPr>
        <w:spacing w:after="0" w:line="61" w:lineRule="exact"/>
        <w:rPr>
          <w:sz w:val="20"/>
          <w:szCs w:val="20"/>
          <w:color w:val="auto"/>
        </w:rPr>
      </w:pPr>
    </w:p>
    <w:p>
      <w:pPr>
        <w:jc w:val="both"/>
        <w:ind w:right="120" w:firstLine="509"/>
        <w:spacing w:after="0" w:line="250" w:lineRule="auto"/>
        <w:rPr>
          <w:sz w:val="20"/>
          <w:szCs w:val="20"/>
          <w:color w:val="auto"/>
        </w:rPr>
      </w:pPr>
      <w:r>
        <w:rPr>
          <w:rFonts w:ascii="Times New Roman" w:cs="Times New Roman" w:eastAsia="Times New Roman" w:hAnsi="Times New Roman"/>
          <w:sz w:val="18"/>
          <w:szCs w:val="18"/>
          <w:color w:val="auto"/>
        </w:rPr>
        <w:t>In February 2022, in response to the complete response we submitted to the FDA, the FDA stated that it was maintaining the clinical hold and that additional data are needed to resolve the clinical hold. We subsequently submitted a request to the FDA for a Type C meeting, which was granted and was held in July 2022. We submitted a complete response incorporating additional information requested by the FDA at the meeting as well as information on the proposed study in August 2022.</w:t>
      </w:r>
    </w:p>
    <w:p>
      <w:pPr>
        <w:spacing w:after="0" w:line="6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8"/>
          <w:szCs w:val="18"/>
          <w:color w:val="auto"/>
        </w:rPr>
        <w:t>In September 2022, following the Type C meeting and the submission of our complete response, the FDA cleared the initiation of the 25 mg cohort of a Phase 2, four-week, placebo-controlled, dose exploration trial of CTI-1601 in Friedreich’s ataxia (FA) patients. In connection therewith, the FDA lifted its full clinical hold on the CTI-1601 program and imposed a partial clinical hold. This trial is designed to further characterize CTI-1601’s safety and PD and PK profiles to provide information about the preferred long-term dose and dose regimen. We have since initiated the Phase 2 dose exploration trial, with top-line data expected in the second half of 2023. In connection with the FDA’s partial clinical hold, the FDA will review the data from the 25 mg cohort prior to our being authorized to initiate a second cohort and/or other clinical trials. Larimar does not know when, or if the partial clinical hold will be lifted.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10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funded our operations to date primarily with proceeds from sales of common stock, proceeds from the sale of prefunded warrants for the purchase of common stock, the acquisition in 2020 of cash, cash equivalents, restricted cash, cash equivalents and marketable debt securities upon the merger with Zafgen, Inc. and, prior to the 2020 merger with Zafgen, capital contributions from Chondrial Holdings, LLC.</w:t>
      </w:r>
    </w:p>
    <w:p>
      <w:pPr>
        <w:spacing w:after="0" w:line="61" w:lineRule="exact"/>
        <w:rPr>
          <w:sz w:val="20"/>
          <w:szCs w:val="20"/>
          <w:color w:val="auto"/>
        </w:rPr>
      </w:pPr>
    </w:p>
    <w:p>
      <w:pPr>
        <w:jc w:val="both"/>
        <w:ind w:right="140" w:firstLine="509"/>
        <w:spacing w:after="0" w:line="250" w:lineRule="auto"/>
        <w:rPr>
          <w:sz w:val="20"/>
          <w:szCs w:val="20"/>
          <w:color w:val="auto"/>
        </w:rPr>
      </w:pPr>
      <w:r>
        <w:rPr>
          <w:rFonts w:ascii="Times New Roman" w:cs="Times New Roman" w:eastAsia="Times New Roman" w:hAnsi="Times New Roman"/>
          <w:sz w:val="18"/>
          <w:szCs w:val="18"/>
          <w:color w:val="auto"/>
        </w:rPr>
        <w:t>In August 2020, we entered into an Equity Distribution Agreement ("the Prior ATM Agreement") with an investment bank in connection with the establishment of an “at-the-market” offering program providing for the sale of up to an aggregate of 50,000,000 of shares of our common stock from time to time through the investment bank as sales agent.</w:t>
      </w:r>
    </w:p>
    <w:p>
      <w:pPr>
        <w:spacing w:after="0" w:line="8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July 2021, we sold 2,342,720 shares pursuant to the Prior ATM Agreement for net proceeds of $19.9 million, after issuance costs. The Prior ATM Agreement was terminated in November 2022 in connection with the establishment of a new "at-the-market" offering program.</w:t>
      </w:r>
    </w:p>
    <w:p>
      <w:pPr>
        <w:spacing w:after="0" w:line="54"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2022, we entered into a Sales Agreement (the "ATM Agreement") with an investment bank in connection with the establishment of an “at-the-market” offering program providing for the sale of up to an aggregate of $50.0 million of shares of our common stock from time to time through this investment bank as sales agent.</w:t>
      </w:r>
    </w:p>
    <w:p>
      <w:pPr>
        <w:spacing w:after="0" w:line="277" w:lineRule="exact"/>
        <w:rPr>
          <w:sz w:val="20"/>
          <w:szCs w:val="20"/>
          <w:color w:val="auto"/>
        </w:rPr>
      </w:pPr>
    </w:p>
    <w:p>
      <w:pPr>
        <w:ind w:right="56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sold 25,558,750 shares of common stock, for a price of $3.15 per share, in an underwritten offering for net proceeds of $75.2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COVID-19 Update</w:t>
      </w:r>
    </w:p>
    <w:p>
      <w:pPr>
        <w:spacing w:after="0" w:line="121" w:lineRule="exact"/>
        <w:rPr>
          <w:sz w:val="20"/>
          <w:szCs w:val="20"/>
          <w:color w:val="auto"/>
        </w:rPr>
      </w:pPr>
    </w:p>
    <w:p>
      <w:pPr>
        <w:ind w:right="20" w:firstLine="554"/>
        <w:spacing w:after="0" w:line="244" w:lineRule="auto"/>
        <w:rPr>
          <w:sz w:val="20"/>
          <w:szCs w:val="20"/>
          <w:color w:val="auto"/>
        </w:rPr>
      </w:pPr>
      <w:r>
        <w:rPr>
          <w:rFonts w:ascii="Times New Roman" w:cs="Times New Roman" w:eastAsia="Times New Roman" w:hAnsi="Times New Roman"/>
          <w:sz w:val="18"/>
          <w:szCs w:val="18"/>
          <w:color w:val="auto"/>
        </w:rPr>
        <w:t>In late 2019, an outbreak of a novel strain of the Coronavirus 2019 Disease (COVID-19) was identified and infections have been found in a number of countries around the world, including the United States. In 2020, the pandemic resulted in a four-month temporary stoppage of the Company’s CTI-1601Phase 1 clinical trials in patients with Friedreich’s ataxia. Both of the Company's SAD and MAD clinical trials were completed in 2021. In the future, the COVID-19 pandemic and responsive measures thereto may result in negative impacts on the Company, including possible delays in our clinical and regulatory activities. We cannot be certain what the overall impact of the COVID-19 pandemic will be on our business and it has the potential to materially adversely affect our business, financial condition, results of operations,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94" w:lineRule="exact"/>
        <w:rPr>
          <w:sz w:val="20"/>
          <w:szCs w:val="20"/>
          <w:color w:val="auto"/>
        </w:rPr>
      </w:pPr>
    </w:p>
    <w:p>
      <w:pPr>
        <w:ind w:right="520" w:firstLine="509"/>
        <w:spacing w:after="0" w:line="242" w:lineRule="auto"/>
        <w:rPr>
          <w:sz w:val="20"/>
          <w:szCs w:val="20"/>
          <w:color w:val="auto"/>
        </w:rPr>
      </w:pPr>
      <w:r>
        <w:rPr>
          <w:rFonts w:ascii="Times New Roman" w:cs="Times New Roman" w:eastAsia="Times New Roman" w:hAnsi="Times New Roman"/>
          <w:sz w:val="18"/>
          <w:szCs w:val="18"/>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majority of our operating expenses since inception have consisted primarily of research and development and general and administrative costs.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which consist primarily of costs associated with our product research and development efforts, are expensed as incurred. Research and development expenses consist primarily of:</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 costs relating to research, formulation, manufacturing, non-clinical studies, and clinical trial activities;</w:t>
      </w:r>
    </w:p>
    <w:p>
      <w:pPr>
        <w:spacing w:after="0" w:line="103" w:lineRule="exact"/>
        <w:rPr>
          <w:rFonts w:ascii="Times New Roman" w:cs="Times New Roman" w:eastAsia="Times New Roman" w:hAnsi="Times New Roman"/>
          <w:sz w:val="18"/>
          <w:szCs w:val="18"/>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costs, including salaries, benefits and stock-based compensation expenses for employees engaged in scientific research and development functions;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of outside consultants and vendors;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our third-party licensing agreements;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research agreements;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consumables;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facility-related costs.</w:t>
      </w:r>
    </w:p>
    <w:p>
      <w:pPr>
        <w:spacing w:after="0" w:line="90" w:lineRule="exact"/>
        <w:rPr>
          <w:sz w:val="20"/>
          <w:szCs w:val="20"/>
          <w:color w:val="auto"/>
        </w:rPr>
      </w:pPr>
    </w:p>
    <w:p>
      <w:pPr>
        <w:ind w:right="140" w:firstLine="509"/>
        <w:spacing w:after="0" w:line="235" w:lineRule="auto"/>
        <w:rPr>
          <w:sz w:val="20"/>
          <w:szCs w:val="20"/>
          <w:color w:val="auto"/>
        </w:rPr>
      </w:pPr>
      <w:r>
        <w:rPr>
          <w:rFonts w:ascii="Times New Roman" w:cs="Times New Roman" w:eastAsia="Times New Roman" w:hAnsi="Times New Roman"/>
          <w:sz w:val="18"/>
          <w:szCs w:val="18"/>
          <w:color w:val="auto"/>
        </w:rPr>
        <w:t>Costs for certain activities, such as manufacturing, non-clinical studies and clinical trials are generally recognized based on the evaluation of the progress of completion of specific tasks using information and data provided by our vendors and collaborators.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6" w:right="359" w:bottom="1440" w:gutter="0" w:footer="0" w:header="0"/>
        </w:sectPr>
      </w:pPr>
    </w:p>
    <w:bookmarkStart w:id="23" w:name="page24"/>
    <w:bookmarkEnd w:id="23"/>
    <w:p>
      <w:pPr>
        <w:ind w:right="280" w:firstLine="509"/>
        <w:spacing w:after="0" w:line="250"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83" w:lineRule="exact"/>
        <w:rPr>
          <w:sz w:val="20"/>
          <w:szCs w:val="20"/>
          <w:color w:val="auto"/>
        </w:rPr>
      </w:pPr>
    </w:p>
    <w:p>
      <w:pPr>
        <w:ind w:left="1020" w:right="50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clinical trials and other research and development activities, including the ongoing impact of COVID-19 on these activities;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clinical trial enrollment rate or design;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changing government regulation;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any regulatory approvals;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influence of the FDA’s or other regulatory authority’s on our clinical trial design and timing;</w:t>
      </w:r>
    </w:p>
    <w:p>
      <w:pPr>
        <w:spacing w:after="0" w:line="117" w:lineRule="exact"/>
        <w:rPr>
          <w:rFonts w:ascii="Times New Roman" w:cs="Times New Roman" w:eastAsia="Times New Roman" w:hAnsi="Times New Roman"/>
          <w:sz w:val="18"/>
          <w:szCs w:val="18"/>
          <w:color w:val="auto"/>
        </w:rPr>
      </w:pPr>
    </w:p>
    <w:p>
      <w:pPr>
        <w:ind w:left="1020" w:right="52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8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COVID-19 pandemic including the variants of the original virus that may prove more contagious and deadly;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and trade secret protection and regulatory exclusivity for our product candidates;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research and development personnel.</w:t>
      </w:r>
    </w:p>
    <w:p>
      <w:pPr>
        <w:spacing w:after="0" w:line="117"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(consisting primarily of personnel costs, composed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 as we hire additional employees to implement, improve and scale our operational, financial, commercial and management systems.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94" w:lineRule="exact"/>
        <w:rPr>
          <w:sz w:val="20"/>
          <w:szCs w:val="20"/>
          <w:color w:val="auto"/>
        </w:rPr>
      </w:pPr>
    </w:p>
    <w:p>
      <w:pPr>
        <w:ind w:right="60" w:firstLine="509"/>
        <w:spacing w:after="0" w:line="229"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condensed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94" w:lineRule="exact"/>
        <w:rPr>
          <w:sz w:val="20"/>
          <w:szCs w:val="20"/>
          <w:color w:val="auto"/>
        </w:rPr>
      </w:pPr>
    </w:p>
    <w:p>
      <w:pPr>
        <w:ind w:right="40" w:firstLine="509"/>
        <w:spacing w:after="0" w:line="230" w:lineRule="auto"/>
        <w:rPr>
          <w:sz w:val="20"/>
          <w:szCs w:val="20"/>
          <w:color w:val="auto"/>
        </w:rPr>
      </w:pPr>
      <w:r>
        <w:rPr>
          <w:rFonts w:ascii="Times New Roman" w:cs="Times New Roman" w:eastAsia="Times New Roman" w:hAnsi="Times New Roman"/>
          <w:sz w:val="18"/>
          <w:szCs w:val="18"/>
          <w:color w:val="auto"/>
        </w:rPr>
        <w:t>As part of the process of preparing our condensed consolidated financial statements, we are required to estimate our accrued research and development expenses and evaluate payments made to vendors in advance of actual work activities being performed. This process involves reviewing open</w:t>
      </w:r>
    </w:p>
    <w:p>
      <w:pPr>
        <w:spacing w:after="0" w:line="1" w:lineRule="exact"/>
        <w:rPr>
          <w:sz w:val="20"/>
          <w:szCs w:val="20"/>
          <w:color w:val="auto"/>
        </w:rPr>
      </w:pPr>
    </w:p>
    <w:p>
      <w:pPr>
        <w:ind w:right="60"/>
        <w:spacing w:after="0" w:line="211" w:lineRule="auto"/>
        <w:rPr>
          <w:sz w:val="20"/>
          <w:szCs w:val="20"/>
          <w:color w:val="auto"/>
        </w:rPr>
      </w:pPr>
      <w:r>
        <w:rPr>
          <w:rFonts w:ascii="Times New Roman" w:cs="Times New Roman" w:eastAsia="Times New Roman" w:hAnsi="Times New Roman"/>
          <w:sz w:val="18"/>
          <w:szCs w:val="18"/>
          <w:color w:val="auto"/>
        </w:rPr>
        <w:t>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w:t>
      </w:r>
    </w:p>
    <w:p>
      <w:pPr>
        <w:spacing w:after="0" w:line="1" w:lineRule="exact"/>
        <w:rPr>
          <w:sz w:val="20"/>
          <w:szCs w:val="20"/>
          <w:color w:val="auto"/>
        </w:rPr>
      </w:pPr>
    </w:p>
    <w:p>
      <w:pPr>
        <w:ind w:right="120"/>
        <w:spacing w:after="0" w:line="228" w:lineRule="auto"/>
        <w:rPr>
          <w:sz w:val="20"/>
          <w:szCs w:val="20"/>
          <w:color w:val="auto"/>
        </w:rPr>
      </w:pPr>
      <w:r>
        <w:rPr>
          <w:rFonts w:ascii="Times New Roman" w:cs="Times New Roman" w:eastAsia="Times New Roman" w:hAnsi="Times New Roman"/>
          <w:sz w:val="18"/>
          <w:szCs w:val="18"/>
          <w:color w:val="auto"/>
        </w:rPr>
        <w:t>actual costs. The majority of our service providers invoice us in arrears for services performed, on a pre-determined schedule or when contractual milestones are met. We make estimates of our accrued expenses as of each balance sheet date in our condensed consolidated financial statements based on facts and circumstances known to us at that time. Examples of estimated accrued research and development expenses include fees paid to:</w:t>
      </w:r>
    </w:p>
    <w:p>
      <w:pPr>
        <w:spacing w:after="0" w:line="7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 in connection with clinical trials;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in connection with non-clinical development activities;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organizations in connection with the production of non-clinical and clinical trial materials;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vendors related to product candidate manufacturing, development, and distribution of clinical supplies.</w:t>
      </w:r>
    </w:p>
    <w:p>
      <w:pPr>
        <w:spacing w:after="0" w:line="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base our expenses related to clinical trials on our estimates of the services received and efforts expended pursuant to contracts with multiple</w:t>
      </w:r>
    </w:p>
    <w:p>
      <w:pPr>
        <w:spacing w:after="0" w:line="2" w:lineRule="exact"/>
        <w:rPr>
          <w:sz w:val="20"/>
          <w:szCs w:val="20"/>
          <w:color w:val="auto"/>
        </w:rPr>
      </w:pPr>
    </w:p>
    <w:p>
      <w:pPr>
        <w:ind w:right="340"/>
        <w:spacing w:after="0" w:line="211" w:lineRule="auto"/>
        <w:rPr>
          <w:sz w:val="20"/>
          <w:szCs w:val="20"/>
          <w:color w:val="auto"/>
        </w:rPr>
      </w:pPr>
      <w:r>
        <w:rPr>
          <w:rFonts w:ascii="Times New Roman" w:cs="Times New Roman" w:eastAsia="Times New Roman" w:hAnsi="Times New Roman"/>
          <w:sz w:val="18"/>
          <w:szCs w:val="18"/>
          <w:color w:val="auto"/>
        </w:rPr>
        <w:t>CROs or CMOs that conduct and manage clinical trials or manufacture clinical trial material on our behalf. The financial terms of these agreements are subject to negotiation, vary from contract to contract and may result in uneven payment flows. There may be instances in which payments made to our</w:t>
      </w:r>
    </w:p>
    <w:p>
      <w:pPr>
        <w:spacing w:after="0" w:line="1" w:lineRule="exact"/>
        <w:rPr>
          <w:sz w:val="20"/>
          <w:szCs w:val="20"/>
          <w:color w:val="auto"/>
        </w:rPr>
      </w:pPr>
    </w:p>
    <w:p>
      <w:pPr>
        <w:ind w:right="40"/>
        <w:spacing w:after="0" w:line="219" w:lineRule="auto"/>
        <w:rPr>
          <w:sz w:val="20"/>
          <w:szCs w:val="20"/>
          <w:color w:val="auto"/>
        </w:rPr>
      </w:pPr>
      <w:r>
        <w:rPr>
          <w:rFonts w:ascii="Times New Roman" w:cs="Times New Roman" w:eastAsia="Times New Roman" w:hAnsi="Times New Roman"/>
          <w:sz w:val="18"/>
          <w:szCs w:val="18"/>
          <w:color w:val="auto"/>
        </w:rPr>
        <w:t>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we estimate the time period over which services will be performed, enrollment of patients, number of sites activated and the level of effort to be expended in each period. In</w:t>
      </w:r>
    </w:p>
    <w:p>
      <w:pPr>
        <w:jc w:val="both"/>
        <w:ind w:right="20"/>
        <w:spacing w:after="0" w:line="211" w:lineRule="auto"/>
        <w:rPr>
          <w:sz w:val="20"/>
          <w:szCs w:val="20"/>
          <w:color w:val="auto"/>
        </w:rPr>
      </w:pPr>
      <w:r>
        <w:rPr>
          <w:rFonts w:ascii="Times New Roman" w:cs="Times New Roman" w:eastAsia="Times New Roman" w:hAnsi="Times New Roman"/>
          <w:sz w:val="18"/>
          <w:szCs w:val="18"/>
          <w:color w:val="auto"/>
        </w:rPr>
        <w:t>accruing CMO costs, we estimate the time period that manufacturing will be completed, the achievement of milestones and the percentage of completion of each specific CMO agreement. If the actual timing of the performance of services or the level of effort varies from our estimate, we adjust the accrual or</w:t>
      </w:r>
    </w:p>
    <w:p>
      <w:pPr>
        <w:spacing w:after="0" w:line="1" w:lineRule="exact"/>
        <w:rPr>
          <w:sz w:val="20"/>
          <w:szCs w:val="20"/>
          <w:color w:val="auto"/>
        </w:rPr>
      </w:pPr>
    </w:p>
    <w:p>
      <w:pPr>
        <w:jc w:val="both"/>
        <w:ind w:right="20"/>
        <w:spacing w:after="0" w:line="228" w:lineRule="auto"/>
        <w:rPr>
          <w:sz w:val="20"/>
          <w:szCs w:val="20"/>
          <w:color w:val="auto"/>
        </w:rPr>
      </w:pPr>
      <w:r>
        <w:rPr>
          <w:rFonts w:ascii="Times New Roman" w:cs="Times New Roman" w:eastAsia="Times New Roman" w:hAnsi="Times New Roman"/>
          <w:sz w:val="18"/>
          <w:szCs w:val="18"/>
          <w:color w:val="auto"/>
        </w:rPr>
        <w:t>prepaid accordingly. Although we do not expect our estimates to be materially different from amounts actually incurred, our understanding of the status and timing of services performed relative to the actual status and timing of services performed may vary and may result in us recognizing adjustments in future periods as additional information becomes available.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We measure all stock-based awards granted to employees, directors and non-employee consultants based on the fair value on the date of grant using the Black-Scholes option-pricing model. 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classify stock-based compensation expense in our condensed consolidated statements of operations and comprehensive loss in the same manner in which the award recipient’s payroll costs are classified or in which the award recipient’s service payments are classified.</w:t>
      </w:r>
    </w:p>
    <w:p>
      <w:pPr>
        <w:spacing w:after="0" w:line="68"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and expect to continue to do so until we have adequate historical data regarding the volatility of our own traded stock price. The expected term of our stock options have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2022 and 2021</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2022 and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center"/>
              <w:ind w:left="1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6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ind w:right="35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r>
      <w:tr>
        <w:trPr>
          <w:trHeight w:val="187"/>
        </w:trPr>
        <w:tc>
          <w:tcPr>
            <w:tcW w:w="66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69"/>
        </w:trPr>
        <w:tc>
          <w:tcPr>
            <w:tcW w:w="664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5,582</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14,028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(8,446 )</w:t>
            </w:r>
          </w:p>
        </w:tc>
      </w:tr>
      <w:tr>
        <w:trPr>
          <w:trHeight w:val="216"/>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8"/>
                <w:szCs w:val="18"/>
                <w:color w:val="auto"/>
              </w:rPr>
            </w:pPr>
          </w:p>
        </w:tc>
      </w:tr>
      <w:tr>
        <w:trPr>
          <w:trHeight w:val="209"/>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2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16,730</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8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(8,513 )</w:t>
            </w:r>
          </w:p>
        </w:tc>
        <w:tc>
          <w:tcPr>
            <w:tcW w:w="16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(16,730 )</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8,217</w:t>
            </w:r>
          </w:p>
        </w:tc>
        <w:tc>
          <w:tcPr>
            <w:tcW w:w="10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4"/>
              </w:rPr>
              <w:t>(8,320 )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(16,805 )</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Pr>
          <w:p>
            <w:pPr>
              <w:spacing w:after="0"/>
              <w:rPr>
                <w:sz w:val="18"/>
                <w:szCs w:val="18"/>
                <w:color w:val="auto"/>
              </w:rPr>
            </w:pPr>
          </w:p>
        </w:tc>
      </w:tr>
      <w:tr>
        <w:trPr>
          <w:trHeight w:val="20"/>
        </w:trPr>
        <w:tc>
          <w:tcPr>
            <w:tcW w:w="66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-454025</wp:posOffset>
            </wp:positionV>
            <wp:extent cx="76835"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-454025</wp:posOffset>
            </wp:positionV>
            <wp:extent cx="68580" cy="14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-170815</wp:posOffset>
            </wp:positionV>
            <wp:extent cx="76835" cy="1714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-170815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decreased $8.4 million compared to the three months ended September 30, 2021. The decrease in research and development expenses was primarily driven by a decrease of $6.7 million in drug manufacturing costs, a decrease of $1.0 million in nonclinical development costs, a decrease of $0.5 million in consulting expenditures, a decrease of $0.5 million in clinical expense and a decrease of $0.3 million in internal lab costs. These decreases were partially offset by an increase of $0.4 million in personnel expense and an increase of $0.1 million in non-cash, stock-based compensation expense associated with stock option grants made in 2021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2022 increased $0.2 million compared to the three months ended September 30, 2021. The increase in general and administrative expense was primarily driven by an increase of $0.2 million in professional fees associated with legal and accounting services and an increase of $0.2 million in personnel expense, partially offset by a decrease of $0.2 million in operational costs primarily related to insurance, technology and recruiting services.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 2022 and 2021</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2022 and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58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255"/>
              <w:spacing w:after="0" w:line="158"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8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2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58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32,104</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(15,072 )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3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26,087</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41,379</w:t>
            </w: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(26,087 )</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(41,379 )</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(123 )</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shd w:val="clear" w:color="auto" w:fill="CFF0FC"/>
          </w:tcPr>
          <w:p>
            <w:pPr>
              <w:spacing w:after="0" w:line="20" w:lineRule="exact"/>
              <w:rPr>
                <w:sz w:val="1"/>
                <w:szCs w:val="1"/>
                <w:color w:val="auto"/>
              </w:rPr>
            </w:pPr>
          </w:p>
        </w:tc>
        <w:tc>
          <w:tcPr>
            <w:tcW w:w="2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3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(25,930 )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(41,502 )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15,572</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30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-942340</wp:posOffset>
            </wp:positionV>
            <wp:extent cx="68580"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-942340</wp:posOffset>
            </wp:positionV>
            <wp:extent cx="6032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-942340</wp:posOffset>
            </wp:positionV>
            <wp:extent cx="6032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325" cy="14605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-659765</wp:posOffset>
            </wp:positionV>
            <wp:extent cx="68580" cy="1714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-659765</wp:posOffset>
            </wp:positionV>
            <wp:extent cx="60325" cy="1714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-659765</wp:posOffset>
            </wp:positionV>
            <wp:extent cx="60325"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2022 decreased $15.1 million compared to the nine months ended September 30, 2021. The decrease in research and development expenses was primarily driven by a decrease of $9.0 million in drug manufacturing costs, a decrease of $3.5 million in clinical trial expense, a decrease of $3.3 million in nonclinical development costs, a decrease of $0.5 million in consulting expenses and a decrease of $0.4 million in internal lab costs. These decreases were partially offset by an increase of $0.8 million in personnel expense and an increase of $0.5 million in non-cash, stock-based compensation expense associated with stock option grants made in 2021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2022 decreased $0.2 million compared to the nine months ended September 30, 2021. The decrease in general and administrative expense was primarily driven by a decrease of $0.5 million in operational costs primarily related to technology and recruiting services and a decrease of $0.4 million in professional fees primarily associated with legal and consulting expense, partially offset by an increase of $0.5 million in stock-based compensation expense associated with stock option grants made in 2021 and 2022 and an increase of $0.2 million in personnel expense.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ind w:right="140" w:firstLine="509"/>
        <w:spacing w:after="0" w:line="250" w:lineRule="auto"/>
        <w:rPr>
          <w:sz w:val="20"/>
          <w:szCs w:val="20"/>
          <w:color w:val="auto"/>
        </w:rPr>
      </w:pPr>
      <w:r>
        <w:rPr>
          <w:rFonts w:ascii="Times New Roman" w:cs="Times New Roman" w:eastAsia="Times New Roman" w:hAnsi="Times New Roman"/>
          <w:sz w:val="18"/>
          <w:szCs w:val="18"/>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 below:</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16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69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w w:val="93"/>
              </w:rPr>
              <w:t>(20,897 )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(34,187 )</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860" w:type="dxa"/>
            <w:vAlign w:val="bottom"/>
          </w:tcPr>
          <w:p>
            <w:pPr>
              <w:spacing w:after="0"/>
              <w:rPr>
                <w:sz w:val="18"/>
                <w:szCs w:val="18"/>
                <w:color w:val="auto"/>
              </w:rPr>
            </w:pPr>
          </w:p>
        </w:tc>
        <w:tc>
          <w:tcPr>
            <w:tcW w:w="8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w w:val="93"/>
              </w:rPr>
              <w:t>(38,726 )</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17,679</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75,573</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6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w:t>
            </w:r>
          </w:p>
        </w:tc>
        <w:tc>
          <w:tcPr>
            <w:tcW w:w="2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3,377</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-170815</wp:posOffset>
            </wp:positionV>
            <wp:extent cx="60325"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108"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operating activities used $20.9 million of cash, resulting from our net loss of $25.9 million, adjusted for noncash expenses of $5.2 million and changes in our operating assets and liabilities resulting in a source of cash of $0.1 million. Our net loss was primarily attributed to research and development activities related to our CTI-1601 program and our general and administrative expenses as described above. Noncash expenses are primarily stock-based compensation expense.</w:t>
      </w:r>
    </w:p>
    <w:p>
      <w:pPr>
        <w:spacing w:after="0" w:line="69"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During the nine months ended September 30, 2021, operating activities used $34.2 million of cash, resulting from our net loss of $41.5 million, adjusted for noncash expenses of $4.2 million. Our net loss was primarily attributable to research and development activities related to our CTI-1601 program and our general and administrative expenses as described above. Noncash expenses primarily include stock-based compensation expense. For the nine months ended September 30, 2021 the increase in accrued expenses and prepaid expenses, partially offset by the paydown of accounts payable resulted in a source of cash of $3.1 million.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in)/provided by investing activities</w:t>
      </w:r>
    </w:p>
    <w:p>
      <w:pPr>
        <w:spacing w:after="0" w:line="108" w:lineRule="exact"/>
        <w:rPr>
          <w:sz w:val="20"/>
          <w:szCs w:val="20"/>
          <w:color w:val="auto"/>
        </w:rPr>
      </w:pPr>
    </w:p>
    <w:p>
      <w:pPr>
        <w:ind w:right="360" w:firstLine="509"/>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2022, investing activities used $38.7 million of cash, including $61.6 million in purchases of new marketable debt securities and $0.1 million in purchases of property and equipment, partially offset by a $23.0 million increase from maturities of marketable debt securities.</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6" w:right="379" w:bottom="1440" w:gutter="0" w:footer="0" w:header="0"/>
        </w:sectPr>
      </w:pPr>
    </w:p>
    <w:bookmarkStart w:id="27" w:name="page28"/>
    <w:bookmarkEnd w:id="27"/>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2021, investing activities provided $17.7 million of cash, resulting from maturities of marketable debt securities of $26.3 million, partially offset by $8.3 million in purchases of new marketable debt securities.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108" w:lineRule="exact"/>
        <w:rPr>
          <w:sz w:val="20"/>
          <w:szCs w:val="20"/>
          <w:color w:val="auto"/>
        </w:rPr>
      </w:pPr>
    </w:p>
    <w:p>
      <w:pPr>
        <w:ind w:right="900" w:firstLine="509"/>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financing activities provided $75.6 million of cash from sale of common stock in an underwritten public offering, net of issuance costs.</w:t>
      </w:r>
    </w:p>
    <w:p>
      <w:pPr>
        <w:spacing w:after="0" w:line="40"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2021 financing activities provided $19.9 million of net cash, from sale of common stock under the Prior ATM Agreement, after issuance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Capital Requirements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not yet commercialized any products and do not expect to generate revenue from the commercial sale of any products for several years, if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all.</w:t>
      </w:r>
    </w:p>
    <w:p>
      <w:pPr>
        <w:spacing w:after="0" w:line="84"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have to date incurred net losses. We incurred net losses of approximately $25.9 million and $41.5 million for the nine months ended September 30, 2022 and 2021, respectively. As of September 30, 2022, we had an accumulated deficit of $142.2 million and cash, cash equivalents and marketable debt securities of $124.7 million, excluding restricted cash of $1.3 million.</w:t>
      </w:r>
    </w:p>
    <w:p>
      <w:pPr>
        <w:spacing w:after="0" w:line="6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spacing w:after="0" w:line="6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the development of CTI-1601 through additional clinical trials;</w:t>
      </w:r>
    </w:p>
    <w:p>
      <w:pPr>
        <w:spacing w:after="0" w:line="117"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advance development of additional product candidates into clinical development and identify additional indications for our product candidates;</w:t>
      </w:r>
    </w:p>
    <w:p>
      <w:pPr>
        <w:spacing w:after="0" w:line="5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obtain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acquire or in-license other product candidates and technologies;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leverage and expand our intellectual property portfolio; and</w:t>
      </w:r>
    </w:p>
    <w:p>
      <w:pPr>
        <w:spacing w:after="0" w:line="103" w:lineRule="exact"/>
        <w:rPr>
          <w:rFonts w:ascii="Times New Roman" w:cs="Times New Roman" w:eastAsia="Times New Roman" w:hAnsi="Times New Roman"/>
          <w:sz w:val="18"/>
          <w:szCs w:val="18"/>
          <w:color w:val="auto"/>
        </w:rPr>
      </w:pPr>
    </w:p>
    <w:p>
      <w:pPr>
        <w:ind w:left="1020" w:right="80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commercial and management systems and personnel, including personnel to support our clinical development and future commercialization efforts and our operations as a public company.</w:t>
      </w:r>
    </w:p>
    <w:p>
      <w:pPr>
        <w:spacing w:after="0" w:line="40" w:lineRule="exact"/>
        <w:rPr>
          <w:sz w:val="20"/>
          <w:szCs w:val="20"/>
          <w:color w:val="auto"/>
        </w:rPr>
      </w:pPr>
    </w:p>
    <w:p>
      <w:pPr>
        <w:ind w:firstLine="509"/>
        <w:spacing w:after="0" w:line="243" w:lineRule="auto"/>
        <w:rPr>
          <w:sz w:val="20"/>
          <w:szCs w:val="20"/>
          <w:color w:val="auto"/>
        </w:rPr>
      </w:pPr>
      <w:r>
        <w:rPr>
          <w:rFonts w:ascii="Times New Roman" w:cs="Times New Roman" w:eastAsia="Times New Roman" w:hAnsi="Times New Roman"/>
          <w:sz w:val="18"/>
          <w:szCs w:val="18"/>
          <w:color w:val="auto"/>
        </w:rPr>
        <w:t>We believe that based on our current operating plan our cash, cash equivalents and marketable debt securities will be able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28" w:name="page29"/>
    <w:bookmarkEnd w:id="28"/>
    <w:p>
      <w:pPr>
        <w:ind w:firstLine="509"/>
        <w:spacing w:after="0" w:line="262" w:lineRule="auto"/>
        <w:rPr>
          <w:sz w:val="20"/>
          <w:szCs w:val="20"/>
          <w:color w:val="auto"/>
        </w:rPr>
      </w:pPr>
      <w:r>
        <w:rPr>
          <w:rFonts w:ascii="Times New Roman" w:cs="Times New Roman" w:eastAsia="Times New Roman" w:hAnsi="Times New Roman"/>
          <w:sz w:val="17"/>
          <w:szCs w:val="17"/>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the impact of the COVID-19 pandemic and/or the potential impact of other health crises on the global financial markets may reduce our ability to access capital, which could negatively affect our liquidity and ability to continue as a going concern.</w:t>
      </w:r>
    </w:p>
    <w:p>
      <w:pPr>
        <w:spacing w:after="0" w:line="6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8"/>
          <w:szCs w:val="18"/>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81" w:lineRule="exact"/>
        <w:rPr>
          <w:sz w:val="20"/>
          <w:szCs w:val="20"/>
          <w:color w:val="auto"/>
        </w:rPr>
      </w:pPr>
    </w:p>
    <w:p>
      <w:pPr>
        <w:ind w:right="80" w:firstLine="509"/>
        <w:spacing w:after="0" w:line="236" w:lineRule="auto"/>
        <w:rPr>
          <w:sz w:val="20"/>
          <w:szCs w:val="20"/>
          <w:color w:val="auto"/>
        </w:rPr>
      </w:pPr>
      <w:r>
        <w:rPr>
          <w:rFonts w:ascii="Times New Roman" w:cs="Times New Roman" w:eastAsia="Times New Roman" w:hAnsi="Times New Roman"/>
          <w:sz w:val="18"/>
          <w:szCs w:val="18"/>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94" w:lineRule="exact"/>
        <w:rPr>
          <w:sz w:val="20"/>
          <w:szCs w:val="20"/>
          <w:color w:val="auto"/>
        </w:rPr>
      </w:pPr>
    </w:p>
    <w:p>
      <w:pPr>
        <w:ind w:right="360" w:firstLine="509"/>
        <w:spacing w:after="0" w:line="237" w:lineRule="auto"/>
        <w:rPr>
          <w:sz w:val="20"/>
          <w:szCs w:val="20"/>
          <w:color w:val="auto"/>
        </w:rPr>
      </w:pPr>
      <w:r>
        <w:rPr>
          <w:rFonts w:ascii="Times New Roman" w:cs="Times New Roman" w:eastAsia="Times New Roman" w:hAnsi="Times New Roman"/>
          <w:sz w:val="18"/>
          <w:szCs w:val="18"/>
          <w:color w:val="auto"/>
        </w:rPr>
        <w:t>Please read Note 2 to our condensed consolidated financial statements included in Part I of Item 1 of this Quarterly Report on Form 10-Q for a description of recent accounting pronouncements applicable to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Company Information</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3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Securities Exchange Act of 1934, as amended (the "Exchange Act") and are not required to provide the information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ind w:right="240" w:firstLine="50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to allow timely decisions regarding required disclosure.</w:t>
      </w:r>
    </w:p>
    <w:p>
      <w:pPr>
        <w:spacing w:after="0" w:line="6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54"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With respect to the quarter ended September 30,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w:t>
      </w:r>
    </w:p>
    <w:p>
      <w:pPr>
        <w:spacing w:after="0" w:line="61" w:lineRule="exact"/>
        <w:rPr>
          <w:sz w:val="20"/>
          <w:szCs w:val="20"/>
          <w:color w:val="auto"/>
        </w:rPr>
      </w:pPr>
    </w:p>
    <w:p>
      <w:pPr>
        <w:ind w:firstLine="509"/>
        <w:spacing w:after="0" w:line="250" w:lineRule="auto"/>
        <w:rPr>
          <w:sz w:val="20"/>
          <w:szCs w:val="20"/>
          <w:color w:val="auto"/>
        </w:rPr>
      </w:pPr>
      <w:r>
        <w:rPr>
          <w:rFonts w:ascii="Times New Roman" w:cs="Times New Roman" w:eastAsia="Times New Roman" w:hAnsi="Times New Roman"/>
          <w:sz w:val="18"/>
          <w:szCs w:val="18"/>
          <w:color w:val="auto"/>
        </w:rPr>
        <w:t>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September 30, 2022 which have materially affected, or are reasonably likely to materially affect, our internal control over financial reporting.</w:t>
      </w:r>
    </w:p>
    <w:p>
      <w:pPr>
        <w:spacing w:after="0" w:line="1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are subject to claims in legal proceedings arising in the normal course of business. To our knowledge, during the three months ended September 30, 2022, there were no, and as of the date of this Quarterly Report, there are no, threatened or pending legal actions that could reasonably be expected to have a material adverse effect on our business, financial condition, results of operations or cash flows.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You should carefully consider the risk factors described in our 2021 Annual Report under the caption “Item 1A. Risk Factors.” The risks described in our 2021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November 10, 2022, we entered into the ATM Agreement with Guggenheim Securities, LLC (“Guggenheim Securities”), in connection with the establishment of an “at-the-market” offering program under which we may sell up to an aggregate of $50.0 million of shares of our common stock (the “ATM Shares”) from time to time through Guggenheim Securities, as sales agent.</w:t>
      </w:r>
    </w:p>
    <w:p>
      <w:pPr>
        <w:spacing w:after="0" w:line="61" w:lineRule="exact"/>
        <w:rPr>
          <w:sz w:val="20"/>
          <w:szCs w:val="20"/>
          <w:color w:val="auto"/>
        </w:rPr>
      </w:pPr>
    </w:p>
    <w:p>
      <w:pPr>
        <w:ind w:right="140" w:firstLine="509"/>
        <w:spacing w:after="0" w:line="243" w:lineRule="auto"/>
        <w:rPr>
          <w:sz w:val="20"/>
          <w:szCs w:val="20"/>
          <w:color w:val="auto"/>
        </w:rPr>
      </w:pPr>
      <w:r>
        <w:rPr>
          <w:rFonts w:ascii="Times New Roman" w:cs="Times New Roman" w:eastAsia="Times New Roman" w:hAnsi="Times New Roman"/>
          <w:sz w:val="18"/>
          <w:szCs w:val="18"/>
          <w:color w:val="auto"/>
        </w:rPr>
        <w:t>[Under the ATM Agreement, we will set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pursuant to the ATM Agreement may be made in transactions that are deemed to be “at-the-market offerings” as defined in Rule 415 under the Securities Act of 1933, as amended. We will pay Guggenheim Securities a commission equal to 3.0% of the gross proceeds of any ATM Shares sold through Guggenheim Securities under the ATM Agreement and have agreed to reimburse Guggenheim Securities for certain specified expenses. The ATM Agreement contains customary representations, warranties and agreements by us, indemnification obligations of ourselves and Guggenheim Securities, other obligations of the parties and termination provisions. We have no obligation to sell any of the ATM Shares, and may at any time suspend offers under the ATM Agreement.]</w:t>
      </w:r>
    </w:p>
    <w:p>
      <w:pPr>
        <w:spacing w:after="0" w:line="92" w:lineRule="exact"/>
        <w:rPr>
          <w:sz w:val="20"/>
          <w:szCs w:val="20"/>
          <w:color w:val="auto"/>
        </w:rPr>
      </w:pPr>
    </w:p>
    <w:p>
      <w:pPr>
        <w:ind w:right="320" w:firstLine="509"/>
        <w:spacing w:after="0" w:line="250" w:lineRule="auto"/>
        <w:rPr>
          <w:sz w:val="20"/>
          <w:szCs w:val="20"/>
          <w:color w:val="auto"/>
        </w:rPr>
      </w:pPr>
      <w:r>
        <w:rPr>
          <w:rFonts w:ascii="Times New Roman" w:cs="Times New Roman" w:eastAsia="Times New Roman" w:hAnsi="Times New Roman"/>
          <w:sz w:val="18"/>
          <w:szCs w:val="18"/>
          <w:color w:val="auto"/>
        </w:rPr>
        <w:t>The ATM Shares will be offered and sold pursuant to our Registration Statement on Form S-3 filed by the Company on November 10, 2022 (the “Registration Statement”) and the sales agreement prospectus that forms a part of such Registration Statement, following such time, if ever, as the Registration Statement is declared effective by the SEC. As of the date of this Quarterly Report, no ATM Shares have been sold pursuant to the ATM Agreement.</w:t>
      </w:r>
    </w:p>
    <w:p>
      <w:pPr>
        <w:spacing w:after="0" w:line="69"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ATM Agreement is not complete and is qualified in its entirety by reference to the ATM Agreement, a copy of which will be filed with the SEC as an exhibit to the Registration Statement.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filed as part of this Quarterly Report are set forth on the Exhibit Index, which is incorporated herein by reference.</w:t>
      </w:r>
    </w:p>
    <w:p>
      <w:pPr>
        <w:spacing w:after="0" w:line="316" w:lineRule="exact"/>
        <w:rPr>
          <w:sz w:val="20"/>
          <w:szCs w:val="20"/>
          <w:color w:val="auto"/>
        </w:rPr>
      </w:pPr>
    </w:p>
    <w:tbl>
      <w:tblPr>
        <w:tblLayout w:type="fixed"/>
        <w:tblInd w:w="18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60" w:type="dxa"/>
            <w:vAlign w:val="bottom"/>
            <w:gridSpan w:val="6"/>
          </w:tcPr>
          <w:p>
            <w:pPr>
              <w:ind w:left="34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51"/>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8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22"/>
                <w:szCs w:val="22"/>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 or Rule 15d-14(a) of the Securities Exchange Act of 1934, as</w:t>
            </w: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60" w:type="dxa"/>
            <w:vAlign w:val="bottom"/>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 or Rule 15d-14(a) of the Securities Exchange Act of 1934, as</w:t>
            </w: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54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7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r>
      <w:tr>
        <w:trPr>
          <w:trHeight w:val="169"/>
        </w:trPr>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56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100" w:type="dxa"/>
            <w:vAlign w:val="bottom"/>
            <w:gridSpan w:val="2"/>
          </w:tcPr>
          <w:p>
            <w:pPr>
              <w:spacing w:after="0"/>
              <w:rPr>
                <w:sz w:val="14"/>
                <w:szCs w:val="14"/>
                <w:color w:val="auto"/>
              </w:rPr>
            </w:pPr>
          </w:p>
        </w:tc>
      </w:tr>
      <w:tr>
        <w:trPr>
          <w:trHeight w:val="20"/>
        </w:trPr>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60" w:type="dxa"/>
            <w:vAlign w:val="bottom"/>
            <w:tcBorders>
              <w:right w:val="single" w:sz="8" w:color="0000EE"/>
            </w:tcBorders>
            <w:shd w:val="clear" w:color="auto" w:fill="0000FF"/>
          </w:tcPr>
          <w:p>
            <w:pPr>
              <w:spacing w:after="0" w:line="20" w:lineRule="exact"/>
              <w:rPr>
                <w:sz w:val="1"/>
                <w:szCs w:val="1"/>
                <w:color w:val="auto"/>
              </w:rPr>
            </w:pPr>
          </w:p>
        </w:tc>
        <w:tc>
          <w:tcPr>
            <w:tcW w:w="6000" w:type="dxa"/>
            <w:vAlign w:val="bottom"/>
            <w:gridSpan w:val="5"/>
          </w:tcPr>
          <w:p>
            <w:pPr>
              <w:spacing w:after="0" w:line="20" w:lineRule="exact"/>
              <w:rPr>
                <w:sz w:val="1"/>
                <w:szCs w:val="1"/>
                <w:color w:val="auto"/>
              </w:rPr>
            </w:pP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80" w:type="dxa"/>
            <w:vAlign w:val="bottom"/>
          </w:tcPr>
          <w:p>
            <w:pPr>
              <w:spacing w:after="0"/>
              <w:rPr>
                <w:sz w:val="23"/>
                <w:szCs w:val="23"/>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 re</w:t>
            </w:r>
          </w:p>
        </w:tc>
      </w:tr>
      <w:tr>
        <w:trPr>
          <w:trHeight w:val="234"/>
        </w:trPr>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Document.</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180" w:type="dxa"/>
            <w:vAlign w:val="bottom"/>
          </w:tcPr>
          <w:p>
            <w:pPr>
              <w:spacing w:after="0"/>
              <w:rPr>
                <w:sz w:val="24"/>
                <w:szCs w:val="24"/>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72"/>
        </w:trPr>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80" w:type="dxa"/>
            <w:vAlign w:val="bottom"/>
          </w:tcPr>
          <w:p>
            <w:pPr>
              <w:spacing w:after="0"/>
              <w:rPr>
                <w:sz w:val="23"/>
                <w:szCs w:val="23"/>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 Document.</w:t>
            </w:r>
          </w:p>
        </w:tc>
      </w:tr>
    </w:tbl>
    <w:p>
      <w:pPr>
        <w:ind w:left="1420" w:hanging="1230"/>
        <w:spacing w:after="0"/>
        <w:tabs>
          <w:tab w:leader="none" w:pos="14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03"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20" w:right="49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171" w:lineRule="exact"/>
        <w:rPr>
          <w:sz w:val="20"/>
          <w:szCs w:val="20"/>
          <w:color w:val="auto"/>
        </w:rPr>
      </w:pPr>
    </w:p>
    <w:p>
      <w:pPr>
        <w:ind w:left="20"/>
        <w:spacing w:after="0"/>
        <w:tabs>
          <w:tab w:leader="none" w:pos="5400" w:val="left"/>
          <w:tab w:leader="none" w:pos="594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8890</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37" w:lineRule="auto"/>
        <w:rPr>
          <w:sz w:val="20"/>
          <w:szCs w:val="20"/>
          <w:color w:val="auto"/>
        </w:rPr>
      </w:pPr>
      <w:r>
        <w:rPr>
          <w:rFonts w:ascii="Times New Roman" w:cs="Times New Roman" w:eastAsia="Times New Roman" w:hAnsi="Times New Roman"/>
          <w:sz w:val="18"/>
          <w:szCs w:val="18"/>
          <w:color w:val="auto"/>
        </w:rPr>
        <w:t>Carole S. Ben-Maimon, M.D.</w:t>
      </w:r>
    </w:p>
    <w:p>
      <w:pPr>
        <w:ind w:left="5960"/>
        <w:spacing w:after="0" w:line="219" w:lineRule="auto"/>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40" w:lineRule="exact"/>
        <w:rPr>
          <w:sz w:val="20"/>
          <w:szCs w:val="20"/>
          <w:color w:val="auto"/>
        </w:rPr>
      </w:pPr>
    </w:p>
    <w:p>
      <w:pPr>
        <w:ind w:left="5420" w:right="3920" w:hanging="5952"/>
        <w:spacing w:after="0" w:line="238" w:lineRule="auto"/>
        <w:tabs>
          <w:tab w:leader="none" w:pos="5400" w:val="left"/>
        </w:tabs>
        <w:rPr>
          <w:sz w:val="20"/>
          <w:szCs w:val="20"/>
          <w:color w:val="auto"/>
        </w:rPr>
      </w:pPr>
      <w:r>
        <w:rPr>
          <w:rFonts w:ascii="Times New Roman" w:cs="Times New Roman" w:eastAsia="Times New Roman" w:hAnsi="Times New Roman"/>
          <w:sz w:val="18"/>
          <w:szCs w:val="18"/>
          <w:color w:val="auto"/>
        </w:rPr>
        <w:t>Date: November 10, 2022</w:t>
      </w:r>
      <w:r>
        <w:rPr>
          <w:sz w:val="20"/>
          <w:szCs w:val="20"/>
          <w:color w:val="auto"/>
        </w:rPr>
        <w:tab/>
      </w:r>
      <w:r>
        <w:rPr>
          <w:rFonts w:ascii="Times New Roman" w:cs="Times New Roman" w:eastAsia="Times New Roman" w:hAnsi="Times New Roman"/>
          <w:sz w:val="18"/>
          <w:szCs w:val="18"/>
          <w:color w:val="auto"/>
        </w:rPr>
        <w:t>By: /s/ Michael Celano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-120015</wp:posOffset>
            </wp:positionV>
            <wp:extent cx="335153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960"/>
        <w:spacing w:after="0" w:line="220"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59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Carole S. Ben-Maimon, M.D., certify that:</w:t>
      </w:r>
    </w:p>
    <w:p>
      <w:pPr>
        <w:spacing w:after="0" w:line="104"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103" w:lineRule="exact"/>
        <w:rPr>
          <w:rFonts w:ascii="Times New Roman" w:cs="Times New Roman" w:eastAsia="Times New Roman" w:hAnsi="Times New Roman"/>
          <w:sz w:val="18"/>
          <w:szCs w:val="18"/>
          <w:color w:val="auto"/>
        </w:rPr>
      </w:pPr>
    </w:p>
    <w:p>
      <w:pPr>
        <w:ind w:right="260" w:firstLine="8"/>
        <w:spacing w:after="0" w:line="313"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97"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ind w:right="20" w:firstLine="8"/>
        <w:spacing w:after="0" w:line="297"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ind w:left="1140" w:right="80" w:hanging="383"/>
        <w:spacing w:after="0" w:line="289"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Times New Roman" w:cs="Times New Roman" w:eastAsia="Times New Roman" w:hAnsi="Times New Roman"/>
          <w:sz w:val="18"/>
          <w:szCs w:val="18"/>
          <w:color w:val="auto"/>
        </w:rPr>
      </w:pPr>
    </w:p>
    <w:p>
      <w:pPr>
        <w:ind w:left="1140" w:right="220" w:hanging="383"/>
        <w:spacing w:after="0" w:line="289"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Times New Roman" w:cs="Times New Roman" w:eastAsia="Times New Roman" w:hAnsi="Times New Roman"/>
          <w:sz w:val="18"/>
          <w:szCs w:val="18"/>
          <w:color w:val="auto"/>
        </w:rPr>
      </w:pPr>
    </w:p>
    <w:p>
      <w:pPr>
        <w:jc w:val="both"/>
        <w:ind w:left="1140" w:right="380" w:hanging="383"/>
        <w:spacing w:after="0" w:line="339"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89"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Times New Roman" w:cs="Times New Roman" w:eastAsia="Times New Roman" w:hAnsi="Times New Roman"/>
          <w:sz w:val="18"/>
          <w:szCs w:val="18"/>
          <w:color w:val="auto"/>
        </w:rPr>
      </w:pPr>
    </w:p>
    <w:p>
      <w:pPr>
        <w:ind w:right="480" w:firstLine="8"/>
        <w:spacing w:after="0" w:line="297"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1140" w:right="620" w:hanging="383"/>
        <w:spacing w:after="0" w:line="313"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20" w:hanging="383"/>
        <w:spacing w:after="0" w:line="297"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Carole S. Ben-Maimon, M.D.</w:t>
      </w:r>
    </w:p>
    <w:p>
      <w:pPr>
        <w:ind w:left="20"/>
        <w:spacing w:after="0" w:line="219"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Celano, certify that:</w:t>
      </w:r>
    </w:p>
    <w:p>
      <w:pPr>
        <w:spacing w:after="0" w:line="104" w:lineRule="exact"/>
        <w:rPr>
          <w:sz w:val="20"/>
          <w:szCs w:val="20"/>
          <w:color w:val="auto"/>
        </w:rPr>
      </w:pPr>
    </w:p>
    <w:p>
      <w:pPr>
        <w:ind w:left="180" w:hanging="172"/>
        <w:spacing w:after="0"/>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Larimar Therapeutics, Inc.;</w:t>
      </w:r>
    </w:p>
    <w:p>
      <w:pPr>
        <w:spacing w:after="0" w:line="103" w:lineRule="exact"/>
        <w:rPr>
          <w:rFonts w:ascii="Times New Roman" w:cs="Times New Roman" w:eastAsia="Times New Roman" w:hAnsi="Times New Roman"/>
          <w:sz w:val="18"/>
          <w:szCs w:val="18"/>
          <w:color w:val="auto"/>
        </w:rPr>
      </w:pPr>
    </w:p>
    <w:p>
      <w:pPr>
        <w:ind w:right="260" w:firstLine="8"/>
        <w:spacing w:after="0" w:line="313"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Times New Roman" w:cs="Times New Roman" w:eastAsia="Times New Roman" w:hAnsi="Times New Roman"/>
          <w:sz w:val="18"/>
          <w:szCs w:val="18"/>
          <w:color w:val="auto"/>
        </w:rPr>
      </w:pPr>
    </w:p>
    <w:p>
      <w:pPr>
        <w:ind w:right="540" w:firstLine="8"/>
        <w:spacing w:after="0" w:line="297"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7" w:lineRule="exact"/>
        <w:rPr>
          <w:rFonts w:ascii="Times New Roman" w:cs="Times New Roman" w:eastAsia="Times New Roman" w:hAnsi="Times New Roman"/>
          <w:sz w:val="18"/>
          <w:szCs w:val="18"/>
          <w:color w:val="auto"/>
        </w:rPr>
      </w:pPr>
    </w:p>
    <w:p>
      <w:pPr>
        <w:ind w:right="20" w:firstLine="8"/>
        <w:spacing w:after="0" w:line="297"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Times New Roman" w:cs="Times New Roman" w:eastAsia="Times New Roman" w:hAnsi="Times New Roman"/>
          <w:sz w:val="18"/>
          <w:szCs w:val="18"/>
          <w:color w:val="auto"/>
        </w:rPr>
      </w:pPr>
    </w:p>
    <w:p>
      <w:pPr>
        <w:ind w:left="1140" w:right="80" w:hanging="383"/>
        <w:spacing w:after="0" w:line="289"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Times New Roman" w:cs="Times New Roman" w:eastAsia="Times New Roman" w:hAnsi="Times New Roman"/>
          <w:sz w:val="18"/>
          <w:szCs w:val="18"/>
          <w:color w:val="auto"/>
        </w:rPr>
      </w:pPr>
    </w:p>
    <w:p>
      <w:pPr>
        <w:ind w:left="1140" w:right="220" w:hanging="383"/>
        <w:spacing w:after="0" w:line="289"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Times New Roman" w:cs="Times New Roman" w:eastAsia="Times New Roman" w:hAnsi="Times New Roman"/>
          <w:sz w:val="18"/>
          <w:szCs w:val="18"/>
          <w:color w:val="auto"/>
        </w:rPr>
      </w:pPr>
    </w:p>
    <w:p>
      <w:pPr>
        <w:jc w:val="both"/>
        <w:ind w:left="1140" w:right="380" w:hanging="383"/>
        <w:spacing w:after="0" w:line="339" w:lineRule="auto"/>
        <w:tabs>
          <w:tab w:leader="none" w:pos="11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7"/>
          <w:szCs w:val="17"/>
          <w:color w:val="auto"/>
        </w:rPr>
      </w:pPr>
    </w:p>
    <w:p>
      <w:pPr>
        <w:ind w:left="1140" w:right="80" w:hanging="383"/>
        <w:spacing w:after="0" w:line="289"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5" w:lineRule="exact"/>
        <w:rPr>
          <w:rFonts w:ascii="Times New Roman" w:cs="Times New Roman" w:eastAsia="Times New Roman" w:hAnsi="Times New Roman"/>
          <w:sz w:val="18"/>
          <w:szCs w:val="18"/>
          <w:color w:val="auto"/>
        </w:rPr>
      </w:pPr>
    </w:p>
    <w:p>
      <w:pPr>
        <w:ind w:right="480" w:firstLine="8"/>
        <w:spacing w:after="0" w:line="297" w:lineRule="auto"/>
        <w:tabs>
          <w:tab w:leader="none" w:pos="1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7" w:lineRule="exact"/>
        <w:rPr>
          <w:rFonts w:ascii="Times New Roman" w:cs="Times New Roman" w:eastAsia="Times New Roman" w:hAnsi="Times New Roman"/>
          <w:sz w:val="18"/>
          <w:szCs w:val="18"/>
          <w:color w:val="auto"/>
        </w:rPr>
      </w:pPr>
    </w:p>
    <w:p>
      <w:pPr>
        <w:ind w:left="1140" w:right="620" w:hanging="383"/>
        <w:spacing w:after="0" w:line="313"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Times New Roman" w:cs="Times New Roman" w:eastAsia="Times New Roman" w:hAnsi="Times New Roman"/>
          <w:sz w:val="18"/>
          <w:szCs w:val="18"/>
          <w:color w:val="auto"/>
        </w:rPr>
      </w:pPr>
    </w:p>
    <w:p>
      <w:pPr>
        <w:ind w:left="1140" w:right="320" w:hanging="383"/>
        <w:spacing w:after="0" w:line="297" w:lineRule="auto"/>
        <w:tabs>
          <w:tab w:leader="none" w:pos="11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10, 2022</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1375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Michael Celano</w:t>
      </w:r>
    </w:p>
    <w:p>
      <w:pPr>
        <w:ind w:left="20"/>
        <w:spacing w:after="0" w:line="219" w:lineRule="auto"/>
        <w:rPr>
          <w:sz w:val="20"/>
          <w:szCs w:val="20"/>
          <w:color w:val="auto"/>
        </w:rPr>
      </w:pPr>
      <w:r>
        <w:rPr>
          <w:rFonts w:ascii="Times New Roman" w:cs="Times New Roman" w:eastAsia="Times New Roman" w:hAnsi="Times New Roman"/>
          <w:sz w:val="18"/>
          <w:szCs w:val="18"/>
          <w:color w:val="auto"/>
        </w:rPr>
        <w:t>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(Subsections (a) and (b) of Section 1350, Chapter 63 of Title 18, United States Code)</w:t>
      </w:r>
    </w:p>
    <w:p>
      <w:pPr>
        <w:spacing w:after="0" w:line="270"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each of the undersigned officers of Larimar Therapeutics, Inc. (the “Company”), does hereby certify, to the best of such officer’s knowledge, that:</w:t>
      </w:r>
    </w:p>
    <w:p>
      <w:pPr>
        <w:spacing w:after="0" w:line="136" w:lineRule="exact"/>
        <w:rPr>
          <w:sz w:val="20"/>
          <w:szCs w:val="20"/>
          <w:color w:val="auto"/>
        </w:rPr>
      </w:pPr>
    </w:p>
    <w:p>
      <w:pPr>
        <w:ind w:left="1500" w:right="420" w:hanging="690"/>
        <w:spacing w:after="0" w:line="313" w:lineRule="auto"/>
        <w:tabs>
          <w:tab w:leader="none" w:pos="11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September 30, 2022 (the “Report”) of the Company fully complies with the requirements of Section 13(a) or 15(d) of the Securities Exchange Act of 1934; and</w:t>
      </w:r>
    </w:p>
    <w:p>
      <w:pPr>
        <w:spacing w:after="0" w:line="121" w:lineRule="exact"/>
        <w:rPr>
          <w:rFonts w:ascii="Times New Roman" w:cs="Times New Roman" w:eastAsia="Times New Roman" w:hAnsi="Times New Roman"/>
          <w:sz w:val="18"/>
          <w:szCs w:val="18"/>
          <w:color w:val="auto"/>
        </w:rPr>
      </w:pPr>
    </w:p>
    <w:p>
      <w:pPr>
        <w:ind w:left="1500" w:right="400" w:hanging="690"/>
        <w:spacing w:after="0" w:line="313" w:lineRule="auto"/>
        <w:tabs>
          <w:tab w:leader="none" w:pos="11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10, 2022</w:t>
            </w: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Carole S. Ben-Maimon, M.D.</w:t>
            </w:r>
          </w:p>
        </w:tc>
      </w:tr>
      <w:tr>
        <w:trPr>
          <w:trHeight w:val="234"/>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Carole S. Ben-Maimon, M.D.</w:t>
            </w:r>
          </w:p>
        </w:tc>
      </w:tr>
      <w:tr>
        <w:trPr>
          <w:trHeight w:val="238"/>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3"/>
        </w:trPr>
        <w:tc>
          <w:tcPr>
            <w:tcW w:w="6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10, 2022</w:t>
            </w:r>
          </w:p>
        </w:tc>
        <w:tc>
          <w:tcPr>
            <w:tcW w:w="51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Michael Celano</w:t>
            </w:r>
          </w:p>
        </w:tc>
      </w:tr>
      <w:tr>
        <w:trPr>
          <w:trHeight w:val="234"/>
        </w:trPr>
        <w:tc>
          <w:tcPr>
            <w:tcW w:w="6140" w:type="dxa"/>
            <w:vAlign w:val="bottom"/>
          </w:tcPr>
          <w:p>
            <w:pPr>
              <w:spacing w:after="0"/>
              <w:rPr>
                <w:sz w:val="20"/>
                <w:szCs w:val="20"/>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Celano</w:t>
            </w:r>
          </w:p>
        </w:tc>
      </w:tr>
      <w:tr>
        <w:trPr>
          <w:trHeight w:val="252"/>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6140" w:type="dxa"/>
            <w:vAlign w:val="bottom"/>
          </w:tcPr>
          <w:p>
            <w:pPr>
              <w:spacing w:after="0"/>
              <w:rPr>
                <w:sz w:val="21"/>
                <w:szCs w:val="21"/>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33"/>
        </w:trPr>
        <w:tc>
          <w:tcPr>
            <w:tcW w:w="614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3"/>
    </w:lvl>
  </w:abstractNum>
  <w:abstractNum w:abstractNumId="7">
    <w:nsid w:val="7FDCC233"/>
    <w:multiLevelType w:val="hybridMultilevel"/>
    <w:lvl w:ilvl="0">
      <w:lvlJc w:val="left"/>
      <w:lvlText w:val="%1."/>
      <w:numFmt w:val="decimal"/>
      <w:start w:val="5"/>
    </w:lvl>
  </w:abstractNum>
  <w:abstractNum w:abstractNumId="8">
    <w:nsid w:val="1BEFD79F"/>
    <w:multiLevelType w:val="hybridMultilevel"/>
    <w:lvl w:ilvl="0">
      <w:lvlJc w:val="left"/>
      <w:lvlText w:val="%1."/>
      <w:numFmt w:val="decimal"/>
      <w:start w:val="7"/>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04"/>
    </w:lvl>
  </w:abstractNum>
  <w:abstractNum w:abstractNumId="17">
    <w:nsid w:val="257130A3"/>
    <w:multiLevelType w:val="hybridMultilevel"/>
    <w:lvl w:ilvl="0">
      <w:lvlJc w:val="left"/>
      <w:lvlText w:val="**"/>
      <w:numFmt w:val="bullet"/>
      <w:start w:val="1"/>
    </w:lvl>
    <w:lvl w:ilvl="1">
      <w:lvlJc w:val="left"/>
      <w:lvlText w:val="%2"/>
      <w:numFmt w:val="decimal"/>
      <w:start w:val="1"/>
    </w:lvl>
  </w:abstractNum>
  <w:abstractNum w:abstractNumId="18">
    <w:nsid w:val="62BBD95A"/>
    <w:multiLevelType w:val="hybridMultilevel"/>
    <w:lvl w:ilvl="0">
      <w:lvlJc w:val="left"/>
      <w:lvlText w:val="%1."/>
      <w:numFmt w:val="decimal"/>
      <w:start w:val="1"/>
    </w:lvl>
    <w:lvl w:ilvl="1">
      <w:lvlJc w:val="left"/>
      <w:lvlText w:val="%2."/>
      <w:numFmt w:val="decimal"/>
      <w:start w:val="1"/>
    </w:lvl>
  </w:abstractNum>
  <w:abstractNum w:abstractNumId="19">
    <w:nsid w:val="436C6125"/>
    <w:multiLevelType w:val="hybridMultilevel"/>
    <w:lvl w:ilvl="0">
      <w:lvlJc w:val="left"/>
      <w:lvlText w:val="%1."/>
      <w:numFmt w:val="decimal"/>
      <w:start w:val="1"/>
    </w:lvl>
    <w:lvl w:ilvl="1">
      <w:lvlJc w:val="left"/>
      <w:lvlText w:val="%2."/>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2022-11-10T08:25:57Z</dcterms:created>
  <dcterms:modified xsi:type="dcterms:W3CDTF">2022-11-10T08:25:57Z</dcterms:modified>
</cp:coreProperties>
</file>