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w:t>
      </w: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4260" w:right="3760" w:hanging="4243"/>
        <w:spacing w:after="0" w:line="258" w:lineRule="auto"/>
        <w:tabs>
          <w:tab w:leader="none" w:pos="457"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ind w:left="554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or</w:t>
      </w:r>
    </w:p>
    <w:p>
      <w:pPr>
        <w:spacing w:after="0" w:line="188" w:lineRule="exact"/>
        <w:rPr>
          <w:sz w:val="24"/>
          <w:szCs w:val="24"/>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001-36510</w:t>
      </w:r>
    </w:p>
    <w:p>
      <w:pPr>
        <w:spacing w:after="0" w:line="1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49"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3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980" w:type="dxa"/>
            <w:vAlign w:val="bottom"/>
          </w:tcPr>
          <w:p>
            <w:pPr>
              <w:jc w:val="center"/>
              <w:ind w:left="1529"/>
              <w:spacing w:after="0" w:line="151" w:lineRule="exact"/>
              <w:rPr>
                <w:sz w:val="20"/>
                <w:szCs w:val="20"/>
                <w:color w:val="auto"/>
              </w:rPr>
            </w:pPr>
            <w:r>
              <w:rPr>
                <w:rFonts w:ascii="Times New Roman" w:cs="Times New Roman" w:eastAsia="Times New Roman" w:hAnsi="Times New Roman"/>
                <w:sz w:val="14"/>
                <w:szCs w:val="14"/>
                <w:b w:val="1"/>
                <w:bCs w:val="1"/>
                <w:color w:val="auto"/>
              </w:rPr>
              <w:t>Delaware</w:t>
            </w: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tcPr>
          <w:p>
            <w:pPr>
              <w:jc w:val="right"/>
              <w:ind w:right="2348"/>
              <w:spacing w:after="0" w:line="151" w:lineRule="exact"/>
              <w:rPr>
                <w:sz w:val="20"/>
                <w:szCs w:val="20"/>
                <w:color w:val="auto"/>
              </w:rPr>
            </w:pPr>
            <w:r>
              <w:rPr>
                <w:rFonts w:ascii="Times New Roman" w:cs="Times New Roman" w:eastAsia="Times New Roman" w:hAnsi="Times New Roman"/>
                <w:sz w:val="14"/>
                <w:szCs w:val="14"/>
                <w:b w:val="1"/>
                <w:bCs w:val="1"/>
                <w:color w:val="auto"/>
              </w:rPr>
              <w:t>20-3857670</w:t>
            </w:r>
          </w:p>
        </w:tc>
        <w:tc>
          <w:tcPr>
            <w:tcW w:w="0" w:type="dxa"/>
            <w:vAlign w:val="bottom"/>
          </w:tcPr>
          <w:p>
            <w:pPr>
              <w:spacing w:after="0"/>
              <w:rPr>
                <w:sz w:val="1"/>
                <w:szCs w:val="1"/>
                <w:color w:val="auto"/>
              </w:rPr>
            </w:pPr>
          </w:p>
        </w:tc>
      </w:tr>
      <w:tr>
        <w:trPr>
          <w:trHeight w:val="149"/>
        </w:trPr>
        <w:tc>
          <w:tcPr>
            <w:tcW w:w="3980" w:type="dxa"/>
            <w:vAlign w:val="bottom"/>
          </w:tcPr>
          <w:p>
            <w:pPr>
              <w:jc w:val="center"/>
              <w:ind w:left="152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jc w:val="center"/>
              <w:ind w:right="168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980" w:type="dxa"/>
            <w:vAlign w:val="bottom"/>
          </w:tcPr>
          <w:p>
            <w:pPr>
              <w:jc w:val="center"/>
              <w:ind w:left="152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42"/>
        </w:trPr>
        <w:tc>
          <w:tcPr>
            <w:tcW w:w="3980" w:type="dxa"/>
            <w:vAlign w:val="bottom"/>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rPr>
              <w:t>Three Bala Plaza East, Suite 506</w:t>
            </w:r>
          </w:p>
        </w:tc>
        <w:tc>
          <w:tcPr>
            <w:tcW w:w="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80" w:type="dxa"/>
            <w:vAlign w:val="bottom"/>
            <w:vMerge w:val="restart"/>
          </w:tcPr>
          <w:p>
            <w:pPr>
              <w:jc w:val="right"/>
              <w:ind w:right="2528"/>
              <w:spacing w:after="0"/>
              <w:rPr>
                <w:sz w:val="20"/>
                <w:szCs w:val="20"/>
                <w:color w:val="auto"/>
              </w:rPr>
            </w:pPr>
            <w:r>
              <w:rPr>
                <w:rFonts w:ascii="Times New Roman" w:cs="Times New Roman" w:eastAsia="Times New Roman" w:hAnsi="Times New Roman"/>
                <w:sz w:val="14"/>
                <w:szCs w:val="14"/>
                <w:b w:val="1"/>
                <w:bCs w:val="1"/>
                <w:color w:val="auto"/>
              </w:rPr>
              <w:t>19004</w:t>
            </w:r>
          </w:p>
        </w:tc>
        <w:tc>
          <w:tcPr>
            <w:tcW w:w="0" w:type="dxa"/>
            <w:vAlign w:val="bottom"/>
          </w:tcPr>
          <w:p>
            <w:pPr>
              <w:spacing w:after="0"/>
              <w:rPr>
                <w:sz w:val="1"/>
                <w:szCs w:val="1"/>
                <w:color w:val="auto"/>
              </w:rPr>
            </w:pPr>
          </w:p>
        </w:tc>
      </w:tr>
      <w:tr>
        <w:trPr>
          <w:trHeight w:val="151"/>
        </w:trPr>
        <w:tc>
          <w:tcPr>
            <w:tcW w:w="3980" w:type="dxa"/>
            <w:vAlign w:val="bottom"/>
          </w:tcPr>
          <w:p>
            <w:pPr>
              <w:ind w:left="1920"/>
              <w:spacing w:after="0" w:line="151" w:lineRule="exact"/>
              <w:rPr>
                <w:sz w:val="20"/>
                <w:szCs w:val="20"/>
                <w:color w:val="auto"/>
              </w:rPr>
            </w:pPr>
            <w:r>
              <w:rPr>
                <w:rFonts w:ascii="Times New Roman" w:cs="Times New Roman" w:eastAsia="Times New Roman" w:hAnsi="Times New Roman"/>
                <w:sz w:val="14"/>
                <w:szCs w:val="14"/>
                <w:b w:val="1"/>
                <w:bCs w:val="1"/>
                <w:color w:val="auto"/>
              </w:rPr>
              <w:t>Bala Cynwyd, Pennsylvania</w:t>
            </w: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80" w:type="dxa"/>
            <w:vAlign w:val="bottom"/>
          </w:tcPr>
          <w:p>
            <w:pPr>
              <w:jc w:val="center"/>
              <w:ind w:left="15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80" w:type="dxa"/>
            <w:vAlign w:val="bottom"/>
            <w:gridSpan w:val="2"/>
            <w:vMerge w:val="restart"/>
          </w:tcPr>
          <w:p>
            <w:pPr>
              <w:jc w:val="center"/>
              <w:ind w:left="425"/>
              <w:spacing w:after="0"/>
              <w:rPr>
                <w:sz w:val="20"/>
                <w:szCs w:val="20"/>
                <w:color w:val="auto"/>
              </w:rPr>
            </w:pPr>
            <w:r>
              <w:rPr>
                <w:rFonts w:ascii="Times New Roman" w:cs="Times New Roman" w:eastAsia="Times New Roman" w:hAnsi="Times New Roman"/>
                <w:sz w:val="16"/>
                <w:szCs w:val="16"/>
                <w:b w:val="1"/>
                <w:bCs w:val="1"/>
                <w:color w:val="auto"/>
                <w:w w:val="99"/>
              </w:rPr>
              <w:t>(844) 511-9056</w:t>
            </w:r>
          </w:p>
        </w:tc>
        <w:tc>
          <w:tcPr>
            <w:tcW w:w="700" w:type="dxa"/>
            <w:vAlign w:val="bottom"/>
          </w:tcPr>
          <w:p>
            <w:pPr>
              <w:spacing w:after="0"/>
              <w:rPr>
                <w:sz w:val="16"/>
                <w:szCs w:val="16"/>
                <w:color w:val="auto"/>
              </w:rPr>
            </w:pPr>
          </w:p>
        </w:tc>
        <w:tc>
          <w:tcPr>
            <w:tcW w:w="378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4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80" w:type="dxa"/>
            <w:vAlign w:val="bottom"/>
            <w:tcBorders>
              <w:left w:val="single" w:sz="8" w:color="auto"/>
              <w:bottom w:val="single" w:sz="8" w:color="auto"/>
            </w:tcBorders>
          </w:tcPr>
          <w:p>
            <w:pPr>
              <w:jc w:val="center"/>
              <w:ind w:left="469"/>
              <w:spacing w:after="0" w:line="149" w:lineRule="exact"/>
              <w:rPr>
                <w:sz w:val="20"/>
                <w:szCs w:val="20"/>
                <w:color w:val="auto"/>
              </w:rPr>
            </w:pPr>
            <w:r>
              <w:rPr>
                <w:rFonts w:ascii="Times New Roman" w:cs="Times New Roman" w:eastAsia="Times New Roman" w:hAnsi="Times New Roman"/>
                <w:sz w:val="14"/>
                <w:szCs w:val="14"/>
                <w:color w:val="auto"/>
              </w:rPr>
              <w:t>Title of each class</w:t>
            </w:r>
          </w:p>
        </w:tc>
        <w:tc>
          <w:tcPr>
            <w:tcW w:w="52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Trading Symbol(s)</w:t>
            </w:r>
          </w:p>
        </w:tc>
        <w:tc>
          <w:tcPr>
            <w:tcW w:w="700" w:type="dxa"/>
            <w:vAlign w:val="bottom"/>
            <w:tcBorders>
              <w:bottom w:val="single" w:sz="8" w:color="auto"/>
            </w:tcBorders>
          </w:tcPr>
          <w:p>
            <w:pPr>
              <w:spacing w:after="0"/>
              <w:rPr>
                <w:sz w:val="14"/>
                <w:szCs w:val="14"/>
                <w:color w:val="auto"/>
              </w:rPr>
            </w:pPr>
          </w:p>
        </w:tc>
        <w:tc>
          <w:tcPr>
            <w:tcW w:w="3780" w:type="dxa"/>
            <w:vAlign w:val="bottom"/>
            <w:tcBorders>
              <w:bottom w:val="single" w:sz="8" w:color="auto"/>
              <w:right w:val="single" w:sz="8" w:color="auto"/>
            </w:tcBorders>
          </w:tcPr>
          <w:p>
            <w:pPr>
              <w:jc w:val="center"/>
              <w:ind w:right="648"/>
              <w:spacing w:after="0" w:line="149" w:lineRule="exact"/>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52"/>
        </w:trPr>
        <w:tc>
          <w:tcPr>
            <w:tcW w:w="3980" w:type="dxa"/>
            <w:vAlign w:val="bottom"/>
            <w:tcBorders>
              <w:left w:val="single" w:sz="8" w:color="auto"/>
              <w:bottom w:val="single" w:sz="8" w:color="auto"/>
            </w:tcBorders>
          </w:tcPr>
          <w:p>
            <w:pPr>
              <w:jc w:val="center"/>
              <w:ind w:left="449"/>
              <w:spacing w:after="0" w:line="15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52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920"/>
              <w:spacing w:after="0" w:line="152" w:lineRule="exact"/>
              <w:rPr>
                <w:sz w:val="20"/>
                <w:szCs w:val="20"/>
                <w:color w:val="auto"/>
              </w:rPr>
            </w:pPr>
            <w:r>
              <w:rPr>
                <w:rFonts w:ascii="Times New Roman" w:cs="Times New Roman" w:eastAsia="Times New Roman" w:hAnsi="Times New Roman"/>
                <w:sz w:val="14"/>
                <w:szCs w:val="14"/>
                <w:color w:val="auto"/>
              </w:rPr>
              <w:t>LRMR</w:t>
            </w:r>
          </w:p>
        </w:tc>
        <w:tc>
          <w:tcPr>
            <w:tcW w:w="700" w:type="dxa"/>
            <w:vAlign w:val="bottom"/>
            <w:tcBorders>
              <w:bottom w:val="single" w:sz="8" w:color="auto"/>
            </w:tcBorders>
          </w:tcPr>
          <w:p>
            <w:pPr>
              <w:spacing w:after="0"/>
              <w:rPr>
                <w:sz w:val="13"/>
                <w:szCs w:val="13"/>
                <w:color w:val="auto"/>
              </w:rPr>
            </w:pPr>
          </w:p>
        </w:tc>
        <w:tc>
          <w:tcPr>
            <w:tcW w:w="3780" w:type="dxa"/>
            <w:vAlign w:val="bottom"/>
            <w:tcBorders>
              <w:bottom w:val="single" w:sz="8" w:color="auto"/>
              <w:right w:val="single" w:sz="8" w:color="auto"/>
            </w:tcBorders>
          </w:tcPr>
          <w:p>
            <w:pPr>
              <w:jc w:val="center"/>
              <w:ind w:right="648"/>
              <w:spacing w:after="0" w:line="152" w:lineRule="exact"/>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8" w:lineRule="exact"/>
        <w:rPr>
          <w:sz w:val="24"/>
          <w:szCs w:val="24"/>
          <w:color w:val="auto"/>
        </w:rPr>
      </w:pPr>
    </w:p>
    <w:p>
      <w:pPr>
        <w:ind w:right="354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44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9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6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9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6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6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Emerging growth company</w:t>
            </w:r>
          </w:p>
        </w:tc>
        <w:tc>
          <w:tcPr>
            <w:tcW w:w="940" w:type="dxa"/>
            <w:vAlign w:val="bottom"/>
          </w:tcPr>
          <w:p>
            <w:pPr>
              <w:ind w:left="8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14"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58"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40"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38"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On the last business day of the most recently completed second fiscal quarter, the aggregate market value (based on the closing sale price of its common stock on that date) of the voting and non-voting stock held by non-affiliates of the registrant was $20,607,416.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13, 2023, the registrant had 43,269,200 shares of the registrant’s Common Stock, $0.001 par value per share, outstanding.</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200"/>
        <w:spacing w:after="0" w:line="302"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registrant’s proxy statement for the 2023 annual meeting of shareholders to be filed no later than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19"/>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20" w:type="dxa"/>
            <w:vAlign w:val="bottom"/>
          </w:tcPr>
          <w:p>
            <w:pPr>
              <w:spacing w:after="0"/>
              <w:rPr>
                <w:sz w:val="20"/>
                <w:szCs w:val="20"/>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0000EE"/>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3920" w:type="dxa"/>
            <w:vAlign w:val="bottom"/>
            <w:gridSpan w:val="12"/>
          </w:tcPr>
          <w:p>
            <w:pPr>
              <w:spacing w:after="0"/>
              <w:rPr>
                <w:sz w:val="14"/>
                <w:szCs w:val="14"/>
                <w:color w:val="auto"/>
              </w:rPr>
            </w:pPr>
          </w:p>
        </w:tc>
        <w:tc>
          <w:tcPr>
            <w:tcW w:w="14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w:t>
            </w:r>
          </w:p>
        </w:tc>
        <w:tc>
          <w:tcPr>
            <w:tcW w:w="880" w:type="dxa"/>
            <w:vAlign w:val="bottom"/>
            <w:gridSpan w:val="5"/>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w:t>
            </w:r>
          </w:p>
        </w:tc>
        <w:tc>
          <w:tcPr>
            <w:tcW w:w="740" w:type="dxa"/>
            <w:vAlign w:val="bottom"/>
            <w:gridSpan w:val="2"/>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7060" w:type="dxa"/>
            <w:vAlign w:val="bottom"/>
            <w:gridSpan w:val="2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1B.</w:t>
            </w:r>
          </w:p>
        </w:tc>
        <w:tc>
          <w:tcPr>
            <w:tcW w:w="760" w:type="dxa"/>
            <w:vAlign w:val="bottom"/>
            <w:gridSpan w:val="3"/>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120" w:type="dxa"/>
            <w:vAlign w:val="bottom"/>
            <w:tcBorders>
              <w:top w:val="single" w:sz="8" w:color="0000EE"/>
            </w:tcBorders>
            <w:gridSpan w:val="2"/>
          </w:tcPr>
          <w:p>
            <w:pPr>
              <w:spacing w:after="0"/>
              <w:rPr>
                <w:sz w:val="17"/>
                <w:szCs w:val="17"/>
                <w:color w:val="auto"/>
              </w:rPr>
            </w:pPr>
          </w:p>
        </w:tc>
        <w:tc>
          <w:tcPr>
            <w:tcW w:w="760" w:type="dxa"/>
            <w:vAlign w:val="bottom"/>
            <w:gridSpan w:val="3"/>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PROPERTIES</w:t>
            </w:r>
          </w:p>
        </w:tc>
        <w:tc>
          <w:tcPr>
            <w:tcW w:w="1760" w:type="dxa"/>
            <w:vAlign w:val="bottom"/>
            <w:tcBorders>
              <w:top w:val="single" w:sz="8" w:color="0000EE"/>
            </w:tcBorders>
            <w:gridSpan w:val="8"/>
          </w:tcPr>
          <w:p>
            <w:pPr>
              <w:spacing w:after="0"/>
              <w:rPr>
                <w:sz w:val="17"/>
                <w:szCs w:val="17"/>
                <w:color w:val="auto"/>
              </w:rPr>
            </w:pPr>
          </w:p>
        </w:tc>
        <w:tc>
          <w:tcPr>
            <w:tcW w:w="5500" w:type="dxa"/>
            <w:vAlign w:val="bottom"/>
            <w:gridSpan w:val="2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880" w:type="dxa"/>
            <w:vAlign w:val="bottom"/>
            <w:gridSpan w:val="5"/>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880" w:type="dxa"/>
            <w:vAlign w:val="bottom"/>
            <w:gridSpan w:val="5"/>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412"/>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6"/>
          </w:tcPr>
          <w:p>
            <w:pPr>
              <w:jc w:val="center"/>
              <w:ind w:right="390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1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w:t>
            </w:r>
          </w:p>
        </w:tc>
        <w:tc>
          <w:tcPr>
            <w:tcW w:w="1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880" w:type="dxa"/>
            <w:vAlign w:val="bottom"/>
            <w:gridSpan w:val="5"/>
          </w:tcPr>
          <w:p>
            <w:pPr>
              <w:spacing w:after="0"/>
              <w:rPr>
                <w:sz w:val="17"/>
                <w:szCs w:val="17"/>
                <w:color w:val="auto"/>
              </w:rPr>
            </w:pPr>
          </w:p>
        </w:tc>
        <w:tc>
          <w:tcPr>
            <w:tcW w:w="24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SELECTED FINANCIAL DATA</w:t>
            </w:r>
          </w:p>
        </w:tc>
        <w:tc>
          <w:tcPr>
            <w:tcW w:w="700" w:type="dxa"/>
            <w:vAlign w:val="bottom"/>
            <w:tcBorders>
              <w:top w:val="single" w:sz="8" w:color="0000EE"/>
            </w:tcBorders>
            <w:gridSpan w:val="4"/>
          </w:tcPr>
          <w:p>
            <w:pPr>
              <w:spacing w:after="0"/>
              <w:rPr>
                <w:sz w:val="17"/>
                <w:szCs w:val="17"/>
                <w:color w:val="auto"/>
              </w:rPr>
            </w:pPr>
          </w:p>
        </w:tc>
        <w:tc>
          <w:tcPr>
            <w:tcW w:w="5180" w:type="dxa"/>
            <w:vAlign w:val="bottom"/>
            <w:gridSpan w:val="1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880" w:type="dxa"/>
            <w:vAlign w:val="bottom"/>
            <w:gridSpan w:val="5"/>
          </w:tcPr>
          <w:p>
            <w:pPr>
              <w:spacing w:after="0"/>
              <w:rPr>
                <w:sz w:val="17"/>
                <w:szCs w:val="17"/>
                <w:color w:val="auto"/>
              </w:rPr>
            </w:pPr>
          </w:p>
        </w:tc>
        <w:tc>
          <w:tcPr>
            <w:tcW w:w="78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500" w:type="dxa"/>
            <w:vAlign w:val="bottom"/>
            <w:gridSpan w:val="3"/>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OPERATIONS</w:t>
            </w:r>
          </w:p>
        </w:tc>
        <w:tc>
          <w:tcPr>
            <w:tcW w:w="7200" w:type="dxa"/>
            <w:vAlign w:val="bottom"/>
            <w:gridSpan w:val="2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7A.</w:t>
            </w:r>
          </w:p>
        </w:tc>
        <w:tc>
          <w:tcPr>
            <w:tcW w:w="740" w:type="dxa"/>
            <w:vAlign w:val="bottom"/>
            <w:gridSpan w:val="2"/>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140" w:type="dxa"/>
            <w:vAlign w:val="bottom"/>
            <w:tcBorders>
              <w:top w:val="single" w:sz="8" w:color="0000EE"/>
            </w:tcBorders>
            <w:gridSpan w:val="3"/>
          </w:tcPr>
          <w:p>
            <w:pPr>
              <w:spacing w:after="0"/>
              <w:rPr>
                <w:sz w:val="17"/>
                <w:szCs w:val="17"/>
                <w:color w:val="auto"/>
              </w:rPr>
            </w:pPr>
          </w:p>
        </w:tc>
        <w:tc>
          <w:tcPr>
            <w:tcW w:w="740" w:type="dxa"/>
            <w:vAlign w:val="bottom"/>
            <w:gridSpan w:val="2"/>
          </w:tcPr>
          <w:p>
            <w:pPr>
              <w:spacing w:after="0"/>
              <w:rPr>
                <w:sz w:val="17"/>
                <w:szCs w:val="17"/>
                <w:color w:val="auto"/>
              </w:rPr>
            </w:pPr>
          </w:p>
        </w:tc>
        <w:tc>
          <w:tcPr>
            <w:tcW w:w="61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180" w:type="dxa"/>
            <w:vAlign w:val="bottom"/>
            <w:gridSpan w:val="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880" w:type="dxa"/>
            <w:vAlign w:val="bottom"/>
            <w:gridSpan w:val="5"/>
          </w:tcPr>
          <w:p>
            <w:pPr>
              <w:spacing w:after="0"/>
              <w:rPr>
                <w:sz w:val="17"/>
                <w:szCs w:val="17"/>
                <w:color w:val="auto"/>
              </w:rPr>
            </w:pPr>
          </w:p>
        </w:tc>
        <w:tc>
          <w:tcPr>
            <w:tcW w:w="79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w:t>
            </w:r>
          </w:p>
        </w:tc>
        <w:tc>
          <w:tcPr>
            <w:tcW w:w="32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DISCLOSURE</w:t>
            </w:r>
          </w:p>
        </w:tc>
        <w:tc>
          <w:tcPr>
            <w:tcW w:w="7200" w:type="dxa"/>
            <w:vAlign w:val="bottom"/>
            <w:gridSpan w:val="2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9A.</w:t>
            </w:r>
          </w:p>
        </w:tc>
        <w:tc>
          <w:tcPr>
            <w:tcW w:w="740" w:type="dxa"/>
            <w:vAlign w:val="bottom"/>
            <w:gridSpan w:val="2"/>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9B.</w:t>
            </w:r>
          </w:p>
        </w:tc>
        <w:tc>
          <w:tcPr>
            <w:tcW w:w="20" w:type="dxa"/>
            <w:vAlign w:val="bottom"/>
            <w:tcBorders>
              <w:top w:val="single" w:sz="8" w:color="0000EE"/>
            </w:tcBorders>
          </w:tcPr>
          <w:p>
            <w:pPr>
              <w:spacing w:after="0"/>
              <w:rPr>
                <w:sz w:val="17"/>
                <w:szCs w:val="17"/>
                <w:color w:val="auto"/>
              </w:rPr>
            </w:pPr>
          </w:p>
        </w:tc>
        <w:tc>
          <w:tcPr>
            <w:tcW w:w="740" w:type="dxa"/>
            <w:vAlign w:val="bottom"/>
            <w:gridSpan w:val="2"/>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OTHER INFORMATION</w:t>
            </w:r>
          </w:p>
        </w:tc>
        <w:tc>
          <w:tcPr>
            <w:tcW w:w="720" w:type="dxa"/>
            <w:vAlign w:val="bottom"/>
            <w:tcBorders>
              <w:top w:val="single" w:sz="8" w:color="0000EE"/>
            </w:tcBorders>
            <w:gridSpan w:val="4"/>
          </w:tcPr>
          <w:p>
            <w:pPr>
              <w:spacing w:after="0"/>
              <w:rPr>
                <w:sz w:val="17"/>
                <w:szCs w:val="17"/>
                <w:color w:val="auto"/>
              </w:rPr>
            </w:pPr>
          </w:p>
        </w:tc>
        <w:tc>
          <w:tcPr>
            <w:tcW w:w="5720" w:type="dxa"/>
            <w:vAlign w:val="bottom"/>
            <w:gridSpan w:val="2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1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9C</w:t>
            </w: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412"/>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EE"/>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2480" w:type="dxa"/>
            <w:vAlign w:val="bottom"/>
            <w:tcBorders>
              <w:top w:val="single" w:sz="8" w:color="0000FF"/>
            </w:tcBorders>
            <w:gridSpan w:val="4"/>
          </w:tcPr>
          <w:p>
            <w:pPr>
              <w:spacing w:after="0"/>
              <w:rPr>
                <w:sz w:val="24"/>
                <w:szCs w:val="24"/>
                <w:color w:val="auto"/>
              </w:rPr>
            </w:pPr>
          </w:p>
        </w:tc>
        <w:tc>
          <w:tcPr>
            <w:tcW w:w="1360" w:type="dxa"/>
            <w:vAlign w:val="bottom"/>
            <w:gridSpan w:val="5"/>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800" w:type="dxa"/>
            <w:vAlign w:val="bottom"/>
            <w:gridSpan w:val="4"/>
          </w:tcPr>
          <w:p>
            <w:pPr>
              <w:spacing w:after="0"/>
              <w:rPr>
                <w:sz w:val="17"/>
                <w:szCs w:val="17"/>
                <w:color w:val="auto"/>
              </w:rPr>
            </w:pPr>
          </w:p>
        </w:tc>
        <w:tc>
          <w:tcPr>
            <w:tcW w:w="24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3340" w:type="dxa"/>
            <w:vAlign w:val="bottom"/>
            <w:tcBorders>
              <w:top w:val="single" w:sz="8" w:color="0000EE"/>
            </w:tcBorders>
            <w:gridSpan w:val="15"/>
          </w:tcPr>
          <w:p>
            <w:pPr>
              <w:spacing w:after="0"/>
              <w:rPr>
                <w:sz w:val="17"/>
                <w:szCs w:val="17"/>
                <w:color w:val="auto"/>
              </w:rPr>
            </w:pPr>
          </w:p>
        </w:tc>
        <w:tc>
          <w:tcPr>
            <w:tcW w:w="2520" w:type="dxa"/>
            <w:vAlign w:val="bottom"/>
            <w:gridSpan w:val="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1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1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STOCKHOLDER MATTERS</w:t>
            </w:r>
          </w:p>
        </w:tc>
        <w:tc>
          <w:tcPr>
            <w:tcW w:w="5860" w:type="dxa"/>
            <w:vAlign w:val="bottom"/>
            <w:tcBorders>
              <w:top w:val="single" w:sz="8" w:color="0000EE"/>
            </w:tcBorders>
            <w:gridSpan w:val="23"/>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13.</w:t>
            </w:r>
          </w:p>
        </w:tc>
        <w:tc>
          <w:tcPr>
            <w:tcW w:w="800" w:type="dxa"/>
            <w:vAlign w:val="bottom"/>
            <w:gridSpan w:val="4"/>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14.</w:t>
            </w:r>
          </w:p>
        </w:tc>
        <w:tc>
          <w:tcPr>
            <w:tcW w:w="800" w:type="dxa"/>
            <w:vAlign w:val="bottom"/>
            <w:gridSpan w:val="4"/>
          </w:tcPr>
          <w:p>
            <w:pPr>
              <w:spacing w:after="0"/>
              <w:rPr>
                <w:sz w:val="17"/>
                <w:szCs w:val="17"/>
                <w:color w:val="auto"/>
              </w:rPr>
            </w:pPr>
          </w:p>
        </w:tc>
        <w:tc>
          <w:tcPr>
            <w:tcW w:w="76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20" w:type="dxa"/>
            <w:vAlign w:val="bottom"/>
            <w:gridSpan w:val="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86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15.</w:t>
            </w:r>
          </w:p>
        </w:tc>
        <w:tc>
          <w:tcPr>
            <w:tcW w:w="800" w:type="dxa"/>
            <w:vAlign w:val="bottom"/>
            <w:gridSpan w:val="4"/>
          </w:tcPr>
          <w:p>
            <w:pPr>
              <w:spacing w:after="0"/>
              <w:rPr>
                <w:sz w:val="17"/>
                <w:szCs w:val="17"/>
                <w:color w:val="auto"/>
              </w:rPr>
            </w:pPr>
          </w:p>
        </w:tc>
        <w:tc>
          <w:tcPr>
            <w:tcW w:w="8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2"/>
              </w:rPr>
              <w:t>ITEM 16.</w:t>
            </w:r>
          </w:p>
        </w:tc>
        <w:tc>
          <w:tcPr>
            <w:tcW w:w="800" w:type="dxa"/>
            <w:vAlign w:val="bottom"/>
            <w:gridSpan w:val="4"/>
          </w:tcPr>
          <w:p>
            <w:pPr>
              <w:spacing w:after="0"/>
              <w:rPr>
                <w:sz w:val="17"/>
                <w:szCs w:val="17"/>
                <w:color w:val="auto"/>
              </w:rPr>
            </w:pPr>
          </w:p>
        </w:tc>
        <w:tc>
          <w:tcPr>
            <w:tcW w:w="43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3980" w:type="dxa"/>
            <w:vAlign w:val="bottom"/>
            <w:gridSpan w:val="1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595"/>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760" w:right="12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with, and satisfactorily respond to, requests from the U.S. Food and Drug Administration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71" w:lineRule="exact"/>
        <w:rPr>
          <w:rFonts w:ascii="Times New Roman" w:cs="Times New Roman" w:eastAsia="Times New Roman" w:hAnsi="Times New Roman"/>
          <w:sz w:val="18"/>
          <w:szCs w:val="18"/>
          <w:color w:val="auto"/>
        </w:rPr>
      </w:pPr>
    </w:p>
    <w:p>
      <w:pPr>
        <w:ind w:left="760" w:right="240" w:hanging="378"/>
        <w:spacing w:after="0" w:line="289"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spacing w:after="0" w:line="49" w:lineRule="exact"/>
        <w:rPr>
          <w:rFonts w:ascii="Times New Roman" w:cs="Times New Roman" w:eastAsia="Times New Roman" w:hAnsi="Times New Roman"/>
          <w:sz w:val="17"/>
          <w:szCs w:val="17"/>
          <w:color w:val="auto"/>
        </w:rPr>
      </w:pPr>
    </w:p>
    <w:p>
      <w:pPr>
        <w:ind w:left="760" w:right="6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Friedrich's ataxia ("FA"),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CTI-1601, including those associated with COVID-19 and the efforts to mitigate it;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access and needs for additional financing;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w:t>
      </w:r>
    </w:p>
    <w:p>
      <w:pPr>
        <w:spacing w:after="0" w:line="117" w:lineRule="exact"/>
        <w:rPr>
          <w:rFonts w:ascii="Times New Roman" w:cs="Times New Roman" w:eastAsia="Times New Roman" w:hAnsi="Times New Roman"/>
          <w:sz w:val="18"/>
          <w:szCs w:val="18"/>
          <w:color w:val="auto"/>
        </w:rPr>
      </w:pPr>
    </w:p>
    <w:p>
      <w:pPr>
        <w:ind w:left="760" w:right="660" w:hanging="378"/>
        <w:spacing w:after="0" w:line="312"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31" w:lineRule="exact"/>
        <w:rPr>
          <w:rFonts w:ascii="Times New Roman" w:cs="Times New Roman" w:eastAsia="Times New Roman" w:hAnsi="Times New Roman"/>
          <w:sz w:val="17"/>
          <w:szCs w:val="17"/>
          <w:color w:val="auto"/>
        </w:rPr>
      </w:pPr>
    </w:p>
    <w:p>
      <w:pPr>
        <w:ind w:left="760" w:right="8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jc w:val="both"/>
        <w:ind w:left="760" w:right="1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relationships, and contracts with our key vendors and to identify and contract with alternate or secondary key vendors;</w:t>
      </w:r>
    </w:p>
    <w:p>
      <w:pPr>
        <w:spacing w:after="0" w:line="12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turmoil, health epidemics, unforeseen emergencies and other outbreaks of communicable diseases could disrupt our operations, the operations of third parties on which we rely or the operations of regulatory agencies we interact with in the development of CTI-1601;</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("IRA") of</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2022, and measures being taken worldwide designed to reduce healthcare costs and limit the overall level of government expenditures; and</w:t>
      </w:r>
    </w:p>
    <w:p>
      <w:pPr>
        <w:spacing w:after="0" w:line="9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under the section titled “Risk Factors.”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2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commercial revenue and may never become profitable.</w:t>
      </w:r>
    </w:p>
    <w:p>
      <w:pPr>
        <w:spacing w:after="0" w:line="117"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raise additional funding in order to continue our planned operations. This funding may not be available on acceptable terms, or at all. Failure to obtain this necessary capital when needed would force us to delay, limit or terminate our product development efforts or other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21" w:lineRule="exact"/>
        <w:rPr>
          <w:sz w:val="20"/>
          <w:szCs w:val="20"/>
          <w:color w:val="auto"/>
        </w:rPr>
      </w:pPr>
    </w:p>
    <w:p>
      <w:pPr>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has placed a partial clinical hold on CTI-1601 and there is uncertainty as to when, or if, the FDA will lift the partial clinical hold on our CTI-1601 program, if it will allow additional cohorts of the dose exploration study or if it will ever allow further clinical development of CTI-1601.</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currently dependent upon the success of our lead product candidate, CTI-1601 for which</w:t>
      </w:r>
    </w:p>
    <w:p>
      <w:pPr>
        <w:spacing w:after="0" w:line="27" w:lineRule="exact"/>
        <w:rPr>
          <w:sz w:val="20"/>
          <w:szCs w:val="20"/>
          <w:color w:val="auto"/>
        </w:rPr>
      </w:pPr>
    </w:p>
    <w:p>
      <w:pPr>
        <w:ind w:left="760" w:right="200" w:firstLine="45"/>
        <w:spacing w:after="0" w:line="253" w:lineRule="auto"/>
        <w:rPr>
          <w:sz w:val="20"/>
          <w:szCs w:val="20"/>
          <w:color w:val="auto"/>
        </w:rPr>
      </w:pPr>
      <w:r>
        <w:rPr>
          <w:rFonts w:ascii="Times New Roman" w:cs="Times New Roman" w:eastAsia="Times New Roman" w:hAnsi="Times New Roman"/>
          <w:sz w:val="18"/>
          <w:szCs w:val="18"/>
          <w:color w:val="auto"/>
        </w:rPr>
        <w:t>we have completed two Phase 1 clinical trials in patients with FA and are currently working to complete a Phase 2 dose exploration study. Clinical development of CTI-1601 is currently under a partial clinical hold by the FDA. We cannot be certain that the data from the first cohort of our current dose exploration study will provide the FDA with adequate data to allow the CTI-1601 development program to proceed as planned in part or in full, and even if so, or that we will ultimately be successful with our clinical development or that we will ever be able to obtain regulatory approval for CTI-1601.</w:t>
      </w:r>
    </w:p>
    <w:p>
      <w:pPr>
        <w:spacing w:after="0" w:line="79" w:lineRule="exact"/>
        <w:rPr>
          <w:sz w:val="20"/>
          <w:szCs w:val="20"/>
          <w:color w:val="auto"/>
        </w:rPr>
      </w:pPr>
    </w:p>
    <w:p>
      <w:pPr>
        <w:ind w:left="760" w:right="10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identifying and enrolling patients in our clinical trials given the limited number of patients who have the disease for which CTI-1601 is being studied or for any other product candidate. Difficulty in enrolling patients could delay or prevent clinical trials of CTI-1601 or any future product candidate. There is also a competing approved FA therapeutic, other competing studies and potentially other FA therapeutics that could be approved that may also limit the availability of participants for CTI-1601 clinical trials.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competing technologies could emerge, adversely affecting our opportunity to generate revenue from the sale of CTI-1601.</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completion of our clinical trials could result in increased costs and could delay, prevent or limit our ability to generate revenue and continue our business.</w:t>
      </w:r>
    </w:p>
    <w:p>
      <w:pPr>
        <w:spacing w:after="0" w:line="53" w:lineRule="exact"/>
        <w:rPr>
          <w:rFonts w:ascii="Times New Roman" w:cs="Times New Roman" w:eastAsia="Times New Roman" w:hAnsi="Times New Roman"/>
          <w:sz w:val="18"/>
          <w:szCs w:val="18"/>
          <w:color w:val="auto"/>
        </w:rPr>
      </w:pPr>
    </w:p>
    <w:p>
      <w:pPr>
        <w:ind w:left="760" w:right="120" w:hanging="378"/>
        <w:spacing w:after="0" w:line="312" w:lineRule="auto"/>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CTI-1601 may cause adverse events or undesirable side effects in non-clinical or clinical trials, that could delay or prevent its regulatory approval, limit the commercial profile of an approved label, or result in significant negative consequences following regulatory approval, if any.</w:t>
      </w:r>
    </w:p>
    <w:p>
      <w:pPr>
        <w:spacing w:after="0" w:line="31" w:lineRule="exact"/>
        <w:rPr>
          <w:rFonts w:ascii="Times New Roman" w:cs="Times New Roman" w:eastAsia="Times New Roman" w:hAnsi="Times New Roman"/>
          <w:sz w:val="17"/>
          <w:szCs w:val="17"/>
          <w:color w:val="auto"/>
        </w:rPr>
      </w:pPr>
    </w:p>
    <w:p>
      <w:pPr>
        <w:ind w:left="760" w:right="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FDA guidance, guidance from other regulatory authorities or unanticipated events during our non-clinical or clinical trials of CTI-1601 or future product candidates may result in changes to clinical trial protocols or additional non-clinical or clinical trial requirements, which could result in increased costs to us and could delay our development timeline.</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CTI-1601, if approved, we may not be able to generate any revenue.</w:t>
      </w:r>
    </w:p>
    <w:p>
      <w:pPr>
        <w:spacing w:after="0" w:line="53"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for CTI-1601, we may not achieve broad market acceptance, which would limit the revenue that we generate from our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and marketing approval for a product candidate, our product candidates will remain subject to regulatory oversight.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760" w:right="2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expected growth in the scale and complexity of our operations, including attracting and hiring additional qualified management, our performance may suffer.</w:t>
      </w:r>
    </w:p>
    <w:p>
      <w:pPr>
        <w:spacing w:after="0" w:line="53"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products, or form strategic alliances, in the future, and we may not realize the benefits of such acquisitions or alliances.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and/or other outbreaks of communicable diseases, which could significantly disrupt our operations and may materially and adversely affect our business and financial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760" w:right="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conducting or supervising clinical trials and must outsource all clinical trials. As a result, many important aspects of our drug development programs are outside of our direct control.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21" w:lineRule="exact"/>
        <w:rPr>
          <w:sz w:val="20"/>
          <w:szCs w:val="20"/>
          <w:color w:val="auto"/>
        </w:rPr>
      </w:pPr>
    </w:p>
    <w:p>
      <w:pPr>
        <w:ind w:left="760" w:right="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United States and other countries,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key patent, which we license related to CTI-1601, will expire in 2040 and we will lose our ability to rely upon this patent to prevent competing products from entering the market.</w:t>
      </w:r>
    </w:p>
    <w:p>
      <w:pPr>
        <w:spacing w:after="0" w:line="53"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time-consuming and unsuccessful.</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licensed intellectual property for CTI-1601. If we were to lose our rights to licensed intellectual property, we may not be able to continue developing or commercializing CTI-1601, if approved.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be highly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common stock is highly concentrated, and it may prevent other stockholders from influencing significant corporate decisions.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sole product candidate that has currently progressed beyond discovery, CTI-1601, is a subcutaneously administered, recombinant fusion protein intended to deliver human frataxin ("FXN") an essential protein, to the mitochondria of patients with FA. FA is a rare, progressive and fatal disease in which patients are unable to produce sufficient FXN due to a genetic abnormality. Currently, there are no treatment options that address the core deficit of FA, low levels of FXN. CTI-1601 represents the first potential therapy designed to increase FXN levels in patients with FA.</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completed two Phase 1 clinical trials in patients with FA and are in the process of conducting a Phase 2 dose exploration clinical trial. We have received an orphan drug designation, fast track designation and rare pediatric disease designation, from the FDA for CTI-1601. In addition, we received orphan drug designation for CTI-1601 from the European Commission and a Priority Medicines ("PRIME") designation from the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SAD or MAD trials.</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Also in May 2021, the FDA placed a clinical hold on our CTI-1601 clinical program after we notified the agency of mortalities at the highest dose levels of the 26-week non-human primate ("NHP") toxicology study that was designed to support extended dosing of patients with CTI-1601. At the time the clinical hold was placed, the toxicology study was still ongoing and we had no interventional clinical trials with patients enrolling or enrolled.</w:t>
      </w:r>
    </w:p>
    <w:p>
      <w:pPr>
        <w:spacing w:after="0" w:line="68"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In February 2022, in response to the complete response we submitted, the FDA stated that it was maintaining the clinical hold and that additional data were needed to resolve the clinical hold. We subsequently submitted a request to the FDA for a Type C meeting, which was granted and was held in July 2022. We submitted a complete response to the FDA incorporating additional information requested by the FDA at the meeting as well as information on a proposed dose exploration study in August 2022.</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pharmacodynamics ("PD") and pharmacokinetics ("PK") profiles to provide information about the preferred long-term dose and dose regimen.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 We expect to initiate the Phase 2 trial’s second cohort in the second quarter of 2023 should the FDA and the independent data monitoring committee allow the second cohort of the Phase 2 dose exploration study to proceed as planned.</w:t>
      </w:r>
    </w:p>
    <w:p>
      <w:pPr>
        <w:spacing w:after="0" w:line="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of whom has over 20 years of pharmaceutical industry experience. Our management team and consultants have significant expertise in discovery, non-clinical and clinical development, regulatory affairs and the development of manufacturing processes utilizing current good manufacturing practices (cGMPs") for biologics and small molecules. We believe that our management team’s diverse mix of skills provides for the implementation of effective approaches to drug and biologic development.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strategy is to become a leader in the treatment of rare diseases by leveraging our technology platform and applying our management team’s know how and expertise to the development of CTI-1601 and other future pipeline programs. Key elements of our strategy include:</w:t>
      </w:r>
    </w:p>
    <w:p>
      <w:pPr>
        <w:spacing w:after="0" w:line="50" w:lineRule="exact"/>
        <w:rPr>
          <w:sz w:val="20"/>
          <w:szCs w:val="20"/>
          <w:color w:val="auto"/>
        </w:rPr>
      </w:pPr>
    </w:p>
    <w:p>
      <w:pPr>
        <w:ind w:left="760" w:hanging="378"/>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CTI-1601 through clinical development and regulatory approval in the United States the European Union and other foreign jurisdictions. </w:t>
      </w:r>
      <w:r>
        <w:rPr>
          <w:rFonts w:ascii="Times New Roman" w:cs="Times New Roman" w:eastAsia="Times New Roman" w:hAnsi="Times New Roman"/>
          <w:sz w:val="18"/>
          <w:szCs w:val="18"/>
          <w:color w:val="auto"/>
        </w:rPr>
        <w:t>We have completed two Phase 1 clinical trials of CTI-1601 in patients with Friedreich’s ataxia in the United States.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under a partial clinical hold for the CTI-1601 program, but we are currently conducting the first cohort of a Phase 2 dose exploration clinical trial. While our current plan is to initiate the second cohort of this trial in the second quarter of 2023, the initiation of the second cohort and/or other clinical trials is contingent upon the FDA’s agreement based on its the review of the first cohort data as well as on review by the study's independent data monitoring committee. We do not know if, or when, the FDA will lift the partial clinical hold on our CTI-1601 program, if it will allow additional cohorts of this dose exploration study or if it will ever allow further clinical development of CTI-1601. We are continuing to collaborate with key opinion leaders and seek guidance from regulatory authorities to develop and execute a clinical development plan for regulatory approval of CTI-1601 in the United States, the European Union, the United Kingdom ("UK"), Australia, Canada and potentially other countries.</w:t>
      </w:r>
    </w:p>
    <w:p>
      <w:pPr>
        <w:spacing w:after="0" w:line="77"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CTI-1601 receives regulatory approvals, commercialize CTI-1601 in the United States, the European Union, and other relevant countries independently or with third parties</w:t>
      </w:r>
      <w:r>
        <w:rPr>
          <w:rFonts w:ascii="Times New Roman" w:cs="Times New Roman" w:eastAsia="Times New Roman" w:hAnsi="Times New Roman"/>
          <w:sz w:val="18"/>
          <w:szCs w:val="18"/>
          <w:color w:val="auto"/>
        </w:rPr>
        <w:t>. We intend to evaluate commercialization options in the United States, the European Union, and in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jurisdictions throughout the world where Friedreich’s ataxia patients can benefit, if we are successful in obtaining regulatory approval. We may build our own internal sales force; partner with a contract sales organization, and/or enter into a joint marketing partnership with another pharmaceutical or biotechnology company, whereby we may jointly sell and market CTI-1601, if approved; or we may seek to out-license CTI-1601, whereby other pharmaceutical or biotechnology companies sell and market CTI-1601 and pay us milestone and/or royalty payments on sales.</w:t>
      </w:r>
    </w:p>
    <w:p>
      <w:pPr>
        <w:spacing w:after="0" w:line="7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Product Candidate Pipeline to Treat a Variety of Rare Diseases</w:t>
      </w:r>
      <w:r>
        <w:rPr>
          <w:rFonts w:ascii="Times New Roman" w:cs="Times New Roman" w:eastAsia="Times New Roman" w:hAnsi="Times New Roman"/>
          <w:sz w:val="18"/>
          <w:szCs w:val="18"/>
          <w:color w:val="auto"/>
        </w:rPr>
        <w:t>. We intend to expand our pipeline to treat additional rare diseases.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68" w:lineRule="exact"/>
        <w:rPr>
          <w:rFonts w:ascii="Times New Roman" w:cs="Times New Roman" w:eastAsia="Times New Roman" w:hAnsi="Times New Roman"/>
          <w:sz w:val="18"/>
          <w:szCs w:val="18"/>
          <w:color w:val="auto"/>
        </w:rPr>
      </w:pPr>
    </w:p>
    <w:p>
      <w:pPr>
        <w:ind w:left="760" w:right="80" w:hanging="378"/>
        <w:spacing w:after="0" w:line="25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Improve Our Novel Protein Replacement Therapy Platform</w:t>
      </w:r>
      <w:r>
        <w:rPr>
          <w:rFonts w:ascii="Times New Roman" w:cs="Times New Roman" w:eastAsia="Times New Roman" w:hAnsi="Times New Roman"/>
          <w:sz w:val="18"/>
          <w:szCs w:val="18"/>
          <w:color w:val="auto"/>
        </w:rPr>
        <w:t>. We continue to improve the scientific understanding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and develop other therapeutics with potentially disease modifying therapeutic action. We also plan to continue to build our intellectual property portfolio to improve our protein replacement therapy platform.</w:t>
      </w:r>
    </w:p>
    <w:p>
      <w:pPr>
        <w:spacing w:after="0" w:line="74" w:lineRule="exact"/>
        <w:rPr>
          <w:rFonts w:ascii="Times New Roman" w:cs="Times New Roman" w:eastAsia="Times New Roman" w:hAnsi="Times New Roman"/>
          <w:sz w:val="18"/>
          <w:szCs w:val="18"/>
          <w:color w:val="auto"/>
        </w:rPr>
      </w:pPr>
    </w:p>
    <w:p>
      <w:pPr>
        <w:ind w:left="760" w:right="160" w:hanging="378"/>
        <w:spacing w:after="0" w:line="25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Opportunistically evaluate enabling, adjacent or potential competing technologies, and where advantageous, seek licenses or collaborations regarding those technologies, to advance our platform. </w:t>
      </w:r>
      <w:r>
        <w:rPr>
          <w:rFonts w:ascii="Times New Roman" w:cs="Times New Roman" w:eastAsia="Times New Roman" w:hAnsi="Times New Roman"/>
          <w:sz w:val="18"/>
          <w:szCs w:val="18"/>
          <w:color w:val="auto"/>
        </w:rPr>
        <w:t>We will continue to evaluate technologies that may enable or enhance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or our rare disease focus. To facilitate the advancement of our CPP platform, we periodically engage in partnering and licensing discussions with a range of biotechnology or pharmaceutical companies and academic institutions and maintain awareness of complementary technologies, synergistic opportunities and "tuck-in" options.</w:t>
      </w:r>
    </w:p>
    <w:p>
      <w:pPr>
        <w:spacing w:after="0" w:line="71" w:lineRule="exact"/>
        <w:rPr>
          <w:rFonts w:ascii="Times New Roman" w:cs="Times New Roman" w:eastAsia="Times New Roman" w:hAnsi="Times New Roman"/>
          <w:sz w:val="18"/>
          <w:szCs w:val="18"/>
          <w:color w:val="auto"/>
        </w:rPr>
      </w:pPr>
    </w:p>
    <w:p>
      <w:pPr>
        <w:ind w:left="760" w:right="24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Strengthen Key Relationships</w:t>
      </w:r>
      <w:r>
        <w:rPr>
          <w:rFonts w:ascii="Times New Roman" w:cs="Times New Roman" w:eastAsia="Times New Roman" w:hAnsi="Times New Roman"/>
          <w:sz w:val="18"/>
          <w:szCs w:val="18"/>
          <w:color w:val="auto"/>
        </w:rPr>
        <w:t>. We partner with experts in every aspect of development. We believe this expertise, along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will provide us with the ability to develop and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left="760" w:right="40"/>
        <w:spacing w:after="0" w:line="254" w:lineRule="auto"/>
        <w:rPr>
          <w:sz w:val="20"/>
          <w:szCs w:val="20"/>
          <w:color w:val="auto"/>
        </w:rPr>
      </w:pPr>
      <w:r>
        <w:rPr>
          <w:rFonts w:ascii="Times New Roman" w:cs="Times New Roman" w:eastAsia="Times New Roman" w:hAnsi="Times New Roman"/>
          <w:sz w:val="18"/>
          <w:szCs w:val="18"/>
          <w:color w:val="auto"/>
        </w:rPr>
        <w:t>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Technology for Treatment of Rare Genetic Diseases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estimated to be between 5,000 and 7,000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CTI-1601 For the Treatment of Friedreich’s ataxia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Friedreich’s ataxia</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in the European Union. Friedreich’s ataxia results from a deficiency of the mitochondrial protein, FXN. FXN is an essential and phylogenetically conserved protein that is found in cells throughout the body, with the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On February 28, 2023, the FDA approved omaveloxolone, the first drug indicated for the treatment of Friedreich’s ataxia.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CTI-1601</w:t>
      </w:r>
    </w:p>
    <w:p>
      <w:pPr>
        <w:spacing w:after="0" w:line="11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CTI-1601, a biologic fusion protein that is administered subcutaneously, consists of a CPP genetically fused to human FXN, and includes a mitochondrial targeting sequence. Using our proprietary peptide delivery technology,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ind w:right="440"/>
        <w:spacing w:after="0" w:line="282" w:lineRule="auto"/>
        <w:rPr>
          <w:sz w:val="20"/>
          <w:szCs w:val="20"/>
          <w:color w:val="auto"/>
        </w:rPr>
      </w:pPr>
      <w:r>
        <w:rPr>
          <w:rFonts w:ascii="Times New Roman" w:cs="Times New Roman" w:eastAsia="Times New Roman" w:hAnsi="Times New Roman"/>
          <w:sz w:val="18"/>
          <w:szCs w:val="18"/>
          <w:color w:val="auto"/>
        </w:rPr>
        <w:t>CTI-1601 carries the molecule from the intravascular space across the cell membrane and into the mitochondria where the CPP and the mitochondrial targeting sequence are cleaved off to yield mature FXN. See Figure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88265</wp:posOffset>
            </wp:positionV>
            <wp:extent cx="4320540" cy="1611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have completed two Phase 1 CTI-1601 clinical trials and are currently conducting a Phase 2 dose exploration study. The CTI-1601 program remains under a partial clinical hold imposed by the FDA, and further clinical development of CTI-1601 is contingent upon FDA agreement based on its review of the data from the 25 mg cohort we are currently studying. Based on the results of our non-clinical development program as well as results from our Phase 1 clinical trials, we believe that administering CTI-1601 may increase FXN levels in the mitochondria of patients with Friedreich’s ataxia and patients could potentially experience:</w:t>
      </w:r>
    </w:p>
    <w:p>
      <w:pPr>
        <w:spacing w:after="0" w:line="7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cellular function;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positive impact on Friedreich’s ataxia symptoms;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slowing of progression of the disease, potentially prolonging life.</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our Phase 1 clinical trials, CTI-1601 appeared to increase FXN levels in the peripheral tissues that were tested (buccal cells, skin biopsies and platelets). Based on this,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CTI-1601 to improve mitochondrial function in other rare diseases that demonstrate evidence of mitochondrial dysfunction is also being explored.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CTI-1601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Non-clinical Development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Knock-Out Mice and Other Non-clinical Studies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CTI-1601 has been demonstrated to prolong the life of knock-out mice ("KO") mice whose heart and skeletal muscles were deficient in FXN. These mice, when untreated, develop a severe hypertrophic cardiomyopathy similar to patients with Friedreich’s ataxia and, like many Friedreich’s ataxia patients, die early in life. In non-clinical studies of CTI-1601, the median survival in animals treated with vehicle of 98 days was extended to a median survival of 166 days in animals treated with CTI-1601 subcutaneously three times per week (p=0.0001).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ind w:right="100"/>
        <w:spacing w:after="0" w:line="282" w:lineRule="auto"/>
        <w:rPr>
          <w:sz w:val="20"/>
          <w:szCs w:val="20"/>
          <w:color w:val="auto"/>
        </w:rPr>
      </w:pPr>
      <w:r>
        <w:rPr>
          <w:rFonts w:ascii="Times New Roman" w:cs="Times New Roman" w:eastAsia="Times New Roman" w:hAnsi="Times New Roman"/>
          <w:sz w:val="18"/>
          <w:szCs w:val="18"/>
          <w:color w:val="auto"/>
        </w:rPr>
        <w:t>Furthermore, 87.5% of mice treated with CTI-1601 survived beyond the mean age of death in the vehicle treated group (107.5 days) whereas only 33% of vehicle treated animals survived. Results are reflected in Figure 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88265</wp:posOffset>
            </wp:positionV>
            <wp:extent cx="2486025" cy="1731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3 and 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88265</wp:posOffset>
            </wp:positionV>
            <wp:extent cx="2400300" cy="1568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88265</wp:posOffset>
            </wp:positionV>
            <wp:extent cx="2245995" cy="145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 w:name="page12"/>
    <w:bookmarkEnd w:id="11"/>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Another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4-week period. See Figures 5 and 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88265</wp:posOffset>
            </wp:positionV>
            <wp:extent cx="4371975" cy="1654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719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88265</wp:posOffset>
            </wp:positionV>
            <wp:extent cx="4243070" cy="169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Using a neurologic mouse model, treatment with CTI-1601 prevented the development of ataxia in mice whose nervous system was deficient in FXN compared to those treated with placebo.</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multiple non-clinical studies in rodents and non-human primates ("NHPs"), human FXN was found to be distributed into all tissues tested following CTI-1601 dosing. See Figure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7.</w:t>
      </w:r>
    </w:p>
    <w:p>
      <w:pPr>
        <w:spacing w:after="0" w:line="200" w:lineRule="exact"/>
        <w:rPr>
          <w:sz w:val="20"/>
          <w:szCs w:val="20"/>
          <w:color w:val="auto"/>
        </w:rPr>
      </w:pPr>
    </w:p>
    <w:p>
      <w:pPr>
        <w:spacing w:after="0" w:line="2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Observed hFXN across all tissue and cell types tested: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0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Brain</w:t>
            </w:r>
          </w:p>
        </w:tc>
        <w:tc>
          <w:tcPr>
            <w:tcW w:w="9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Spinal Cord</w:t>
            </w:r>
          </w:p>
        </w:tc>
        <w:tc>
          <w:tcPr>
            <w:tcW w:w="11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Skin</w:t>
            </w:r>
          </w:p>
        </w:tc>
      </w:tr>
      <w:tr>
        <w:trPr>
          <w:trHeight w:val="283"/>
        </w:trPr>
        <w:tc>
          <w:tcPr>
            <w:tcW w:w="120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Heart</w:t>
            </w:r>
          </w:p>
        </w:tc>
        <w:tc>
          <w:tcPr>
            <w:tcW w:w="9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Cardiac Mitochondria</w:t>
            </w:r>
          </w:p>
        </w:tc>
        <w:tc>
          <w:tcPr>
            <w:tcW w:w="11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Buccal Cells</w:t>
            </w:r>
          </w:p>
        </w:tc>
      </w:tr>
      <w:tr>
        <w:trPr>
          <w:trHeight w:val="283"/>
        </w:trPr>
        <w:tc>
          <w:tcPr>
            <w:tcW w:w="120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Liver</w:t>
            </w:r>
          </w:p>
        </w:tc>
        <w:tc>
          <w:tcPr>
            <w:tcW w:w="9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CSF (Cerebrospinal Fluid)</w:t>
            </w:r>
          </w:p>
        </w:tc>
        <w:tc>
          <w:tcPr>
            <w:tcW w:w="11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Platelets</w:t>
            </w:r>
          </w:p>
        </w:tc>
      </w:tr>
      <w:tr>
        <w:trPr>
          <w:trHeight w:val="284"/>
        </w:trPr>
        <w:tc>
          <w:tcPr>
            <w:tcW w:w="120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Dorsal Root Ganglia</w:t>
            </w:r>
          </w:p>
        </w:tc>
        <w:tc>
          <w:tcPr>
            <w:tcW w:w="9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Skeletal Muscle</w:t>
            </w:r>
          </w:p>
        </w:tc>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628"/>
        </w:trPr>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Tissues Examined, By Study</w:t>
      </w:r>
    </w:p>
    <w:p>
      <w:pPr>
        <w:spacing w:after="0" w:line="2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2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Study</w:t>
            </w:r>
          </w:p>
        </w:tc>
        <w:tc>
          <w:tcPr>
            <w:tcW w:w="120" w:type="dxa"/>
            <w:vAlign w:val="bottom"/>
            <w:tcBorders>
              <w:top w:val="single" w:sz="8" w:color="auto"/>
            </w:tcBorders>
          </w:tcPr>
          <w:p>
            <w:pPr>
              <w:spacing w:after="0"/>
              <w:rPr>
                <w:sz w:val="15"/>
                <w:szCs w:val="15"/>
                <w:color w:val="auto"/>
              </w:rPr>
            </w:pPr>
          </w:p>
        </w:tc>
        <w:tc>
          <w:tcPr>
            <w:tcW w:w="23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Study Vehicle</w:t>
            </w:r>
          </w:p>
        </w:tc>
        <w:tc>
          <w:tcPr>
            <w:tcW w:w="120" w:type="dxa"/>
            <w:vAlign w:val="bottom"/>
            <w:tcBorders>
              <w:top w:val="single" w:sz="8" w:color="auto"/>
            </w:tcBorders>
          </w:tcPr>
          <w:p>
            <w:pPr>
              <w:spacing w:after="0"/>
              <w:rPr>
                <w:sz w:val="15"/>
                <w:szCs w:val="15"/>
                <w:color w:val="auto"/>
              </w:rPr>
            </w:pPr>
          </w:p>
        </w:tc>
        <w:tc>
          <w:tcPr>
            <w:tcW w:w="46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Human Frataxin Distribution</w:t>
            </w:r>
          </w:p>
        </w:tc>
      </w:tr>
      <w:tr>
        <w:trPr>
          <w:trHeight w:val="191"/>
        </w:trPr>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TOX-1601-01</w:t>
            </w:r>
          </w:p>
        </w:tc>
        <w:tc>
          <w:tcPr>
            <w:tcW w:w="120" w:type="dxa"/>
            <w:vAlign w:val="bottom"/>
          </w:tcPr>
          <w:p>
            <w:pPr>
              <w:spacing w:after="0"/>
              <w:rPr>
                <w:sz w:val="16"/>
                <w:szCs w:val="16"/>
                <w:color w:val="auto"/>
              </w:rPr>
            </w:pPr>
          </w:p>
        </w:tc>
        <w:tc>
          <w:tcPr>
            <w:tcW w:w="2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Rats</w:t>
            </w:r>
          </w:p>
        </w:tc>
        <w:tc>
          <w:tcPr>
            <w:tcW w:w="12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Brain, Heart, Liver</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PHARM-1601-02</w:t>
            </w:r>
          </w:p>
        </w:tc>
        <w:tc>
          <w:tcPr>
            <w:tcW w:w="1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 KO Mice</w:t>
            </w:r>
          </w:p>
        </w:tc>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Brain, Dorsal Root Ganglia, Spinal Cord</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PHARM-1601-03/04</w:t>
            </w:r>
          </w:p>
        </w:tc>
        <w:tc>
          <w:tcPr>
            <w:tcW w:w="1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Cardiac KO Mice</w:t>
            </w:r>
          </w:p>
        </w:tc>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Mitochondria of Skeletal Muscle and Cardiomyocytes</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PK-1601-08</w:t>
            </w:r>
          </w:p>
        </w:tc>
        <w:tc>
          <w:tcPr>
            <w:tcW w:w="1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Cynomolgus Monkey</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CSF, Skin, Buccal Cells, Platelets</w:t>
            </w:r>
          </w:p>
        </w:tc>
      </w:tr>
    </w:tbl>
    <w:p>
      <w:pPr>
        <w:spacing w:after="0" w:line="9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Since CTI-1601 is intended to increase FXN levels in patients with Friedreich’s ataxia who are deficient in FXN, it is important to be able to measure changes in human FXN in the clinic in easily accessible tissues. To accomplish this, we have developed a proprietary assay that can measure and quantify human FXN in buccal swabs, skin biopsies and platelets. This process is designed to allow repeated analysis of changes in human FXN in patients over time as they are dosed with CTI-1601. The effectiveness of this assay was first demonstrated by its ability to detect the presence of human FXN in those tissues in cynomolgus monkeys. In an exploratory study, NHPs were dosed for 14 days with 15 mg/kg twice a day of CTI-1601. Buccal swabs skin biopsies and platelets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demonstrated that CTI-1601 delivers human FXN to NHPs when administered subcutaneously and that we can use our proprietary assay to evaluate changes in FXN levels in patients with Friedreich’s ataxia.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88265</wp:posOffset>
            </wp:positionV>
            <wp:extent cx="4997450" cy="1962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745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Non-Human Primate and Rat Toxicology Studies</w:t>
      </w:r>
    </w:p>
    <w:p>
      <w:pPr>
        <w:spacing w:after="0" w:line="11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We previously conducted 28-day and 13-week GLP toxicology studies of CTI-1601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 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support extended dosing of patients with CTI-1601, we conducted a 26-week NHP toxicology study in 2021. In May 2021, we notified the FDA of certain mortalities which occurred at the two highest dose levels in the then-ongoing study. On May 25, 2021, the FDA placed a clinical hold on the CTI-1601 clinical program. In the clinical hold letter, the FDA stated that it needed to review a full study report from the then-ongoing NHP study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ind w:right="420"/>
        <w:spacing w:after="0" w:line="282" w:lineRule="auto"/>
        <w:rPr>
          <w:sz w:val="20"/>
          <w:szCs w:val="20"/>
          <w:color w:val="auto"/>
        </w:rPr>
      </w:pPr>
      <w:r>
        <w:rPr>
          <w:rFonts w:ascii="Times New Roman" w:cs="Times New Roman" w:eastAsia="Times New Roman" w:hAnsi="Times New Roman"/>
          <w:sz w:val="18"/>
          <w:szCs w:val="18"/>
          <w:color w:val="auto"/>
        </w:rPr>
        <w:t>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spacing w:after="0" w:line="54"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w:t>
      </w:r>
    </w:p>
    <w:p>
      <w:pPr>
        <w:spacing w:after="0" w:line="32" w:lineRule="exact"/>
        <w:rPr>
          <w:sz w:val="20"/>
          <w:szCs w:val="20"/>
          <w:color w:val="auto"/>
        </w:rPr>
      </w:pPr>
    </w:p>
    <w:p>
      <w:pPr>
        <w:jc w:val="both"/>
        <w:ind w:right="140" w:firstLine="509"/>
        <w:spacing w:after="0" w:line="312" w:lineRule="auto"/>
        <w:rPr>
          <w:sz w:val="20"/>
          <w:szCs w:val="20"/>
          <w:color w:val="auto"/>
        </w:rPr>
      </w:pPr>
      <w:r>
        <w:rPr>
          <w:rFonts w:ascii="Times New Roman" w:cs="Times New Roman" w:eastAsia="Times New Roman" w:hAnsi="Times New Roman"/>
          <w:sz w:val="17"/>
          <w:szCs w:val="17"/>
          <w:color w:val="auto"/>
        </w:rPr>
        <w:t>In February 2022, we received feedback from the FDA following our submission of the complete response which included a comprehensive study report from the 26-week NHP toxicology study. The FDA stated that it was maintaining its clinical hold at that time and requested additional information.</w:t>
      </w:r>
    </w:p>
    <w:p>
      <w:pPr>
        <w:spacing w:after="0" w:line="3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subsequently submitted a request for an FDA Type C meeting, which was granted and was held in July 2022. Following the Type C meeting, we submitted a complete response to the FDA.</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PD and PK profiles to provide information about the preferred long-term dose and dose regimen.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Non-Interventional Studies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conducted non-interventional studies to examine the range of tissue FXN concentrations in individuals who are homozygous for the normal FXN gene. Tissue samples in these studies were collected using the same sampling techniques and proprietary assay used in the interventional studies. In a 2020 study we obtained data from 8 healthy adults, but the study was then terminated early by the study site due to competing priorities during the COVID-19 pandemic. In 2021 we initiated a second study that enrolled approximately 60 healthy adults. Enrollment in this study was completed in 2022 and data is currently being evaluated.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Completed Initial Phase 1 Clinical Studies in Adults with Friedreich’s ataxia</w:t>
      </w:r>
    </w:p>
    <w:p>
      <w:pPr>
        <w:spacing w:after="0" w:line="11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submitted our IND application for CTI-1601 and began Phase 1 clinical trials in 2019 in patients with FA. We completed two clinical studies of CTI-1601 in adult subjects with FA, a SAD study (completed in 2020) and a MAD study (completed in 2021). The primary objective for the SAD and MAD studies was to assess the tolerability of CTI-1601 at doses ranging from 25 mg to 100 mg administered via subcutaneous injection. The secondary objectives were to establish the PK of CTI-1601 administration in humans and to explore the pharmacodynamics PD of CTI-1601 administration by measuring tissue FXN concentrations in accessible tissues, namely buccal and skin cells, and in platelets. Administration of CTI-1601 via subcutaneous {"SC"} injection appeared to be well tolerated up to doses of 100 mg administered daily for up to 13 days. No SAEs were reported in either study. The most common treatment emergent adverse events ("TEAEs") were injection site reactions ("ISRs") that were generally mild, self-limited, and usually resolved within approximately 1 hour. There was rapid uptake of CTI-1601 into the circulation following subcutaneous injection, and exposure appears to be proportional to dose. Data from the MAD study demonstrated that after 7 days of daily dosing of 50 mg and 100 mg of CTI-1601 in subjects with FA, mean tissue FXN concentrations increased in the tissues studied by approximately 2- to 3-fold to levels that are similar to or exceed levels we would expect to see in asymptomatic heterozygous carriers (See Figure 9).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(see Figure 10). The study was designed in this fashion to ensure that the PK of CTI-1601 in patients with FA were characterized at the lower doses before the dose was escalated. This is typical of first in human studies such as multiple-ascending dose trials that evaluate a study drug’s clinical safety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ind w:right="220"/>
        <w:spacing w:after="0" w:line="282" w:lineRule="auto"/>
        <w:rPr>
          <w:sz w:val="20"/>
          <w:szCs w:val="20"/>
          <w:color w:val="auto"/>
        </w:rPr>
      </w:pPr>
      <w:r>
        <w:rPr>
          <w:rFonts w:ascii="Times New Roman" w:cs="Times New Roman" w:eastAsia="Times New Roman" w:hAnsi="Times New Roman"/>
          <w:sz w:val="18"/>
          <w:szCs w:val="18"/>
          <w:color w:val="auto"/>
        </w:rPr>
        <w:t>profile. We believe the data provide preliminary clinical evidence of the potential of CTI-1601 as a treatment for patients with FA and warrant continued evaluation of the potential benefits of sustained treatment.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88265</wp:posOffset>
            </wp:positionV>
            <wp:extent cx="3642995" cy="3162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4299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58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Phase 2 Clinical Trial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the FDA lifted the full clinical hold, it imposed a partial clinical hold. We have since initiated the Phase 2 dose exploration trial, with top-line data expected in the second half of 2023. The initiation of a second cohort and/or other CTI-1601 clinical trials is contingent on the FDA's agreement based on its review of the study’s 25 mg cohort data and on review by the study's independent data monitoring committee. We expect to provide an update 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 w:name="page16"/>
    <w:bookmarkEnd w:id="15"/>
    <w:p>
      <w:pPr>
        <w:ind w:right="120"/>
        <w:spacing w:after="0" w:line="266" w:lineRule="auto"/>
        <w:rPr>
          <w:sz w:val="20"/>
          <w:szCs w:val="20"/>
          <w:color w:val="auto"/>
        </w:rPr>
      </w:pPr>
      <w:r>
        <w:rPr>
          <w:rFonts w:ascii="Times New Roman" w:cs="Times New Roman" w:eastAsia="Times New Roman" w:hAnsi="Times New Roman"/>
          <w:sz w:val="18"/>
          <w:szCs w:val="18"/>
          <w:color w:val="auto"/>
        </w:rPr>
        <w:t>the study in the second quarter of 2023 and anticipate reporting top-line data in the second half of 2023. We do not know if, or when, the FDA will lift the partial clinical hold on our CTI-1601 program, if it will allow additional cohorts of this dose exploration study or if it will ever allow further clinical development of CTI-1601.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CTI-1601 Clinical Development Plan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in the process of evaluating the timeline of an open label extension ("OLE") study which we refer to as the Jive study and a pediatric MAD placebo-controlled study. The Jive study is a clinical trial that will enroll patients who participated in the SAD or MAD study, as well as the currently ongoing dose exploration study if they are eligible and is designed to gather long-term data to assess safety and tolerability, dose, PK and PD, and potential efficacy of SC administration of CTI-1601 in subjects with FA. The pediatric MAD placebo-controlled study is currently planned to be in patients from two to seventeen years of age. These patients may also be eligible to enroll in the Jive study after completing participation in the MAD study. We expect to initiate a global registration study once sufficient data is available to inform decisions regarding dosing and trial design. The design and protocol of the study will be based on the results of the earlier studies and will incorporate feedback from regulatory authorities in various countries. The progression of the Jive study and the global registration study will be subject to FDA review of our CTI-1601 Phase 2 cohort 1 data, and possibly other data.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package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February 1, 2023, our intellectual property portfolio was composed of numerous international (PCT). foreign, and United States non-provisional applications and United States provisional patent applications that we own or co-own, six issued United States patents and additional non-provisional patent applications in the United States and in certain foreign jurisdictions that we license from academic institutions. The issued patents in the United States licensed by us, which include issued patents covering the composition of matter for CTI-1601 and methods for treating FA, have expiration dates between 2024 and 2040 without taking potential patent term extension into consideration. The international and the United States non-provisional patent applications licensed by us relate to composition of matter and methods of use for CTI-1601.</w:t>
      </w:r>
    </w:p>
    <w:p>
      <w:pPr>
        <w:spacing w:after="0" w:line="79"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additional patent applications we own or co-own which include international (PCT), foreign and United States non-provisional patent applications and United States provisional patent applications are related to the development of CTI-1601 and to our peptide-delivery platform technology.</w:t>
      </w:r>
    </w:p>
    <w:p>
      <w:pPr>
        <w:spacing w:after="0" w:line="32"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2043, without taking potential patent term adjustment or patent term extension into consideration.</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CTI-1601 is covered by licensed issued patents (composition of matter and methods of use) in the United States which, if properly maintained, will expire in 2024, 2025 and 2040, excluding any patent term extensions that might be available following the grant of marketing authorizations. We also possess an exclusive license to non-provisional applications in the United States and certain countries outside the United States for CTI-1601 (composition of matter and methods of use).). If these patent applications in the United States and other countries result in issued patents, those patents would be expected to expire in 2040. This estimated expiration excludes any patent term adjustment that might be available following the grant of the patent and any patent term extensions that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68"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CTI-1601, where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 Agreements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party to a License Agreement dated November 30, 2016 with Wake Forest University Health Sciences ("WFUHS") and a License Agreement dated November 30, 2016, as amended, with Indiana University ("IU"). Such agreements provide for a transferable, worldwide license to certain patent rights regarding technology used by us with respect to the development of CTI-1601.</w:t>
      </w:r>
    </w:p>
    <w:p>
      <w:pPr>
        <w:spacing w:after="0" w:line="68"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 event that we dispute the validity of any of the licensed patents, the royalty rate would be tripled during such dispute. We are also obligated to pay to IU a minimum annual royalty of less than $0.1 million per annum starting in the 2020 calendar year for the term of the agreement.</w:t>
      </w:r>
    </w:p>
    <w:p>
      <w:pPr>
        <w:spacing w:after="0" w:line="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we are required to pay IU consideration, then we may deduct 20% of such IU consideration on a dollar-for-dollar basis from the consideration due to WFUHS. In the event that we are required to pay WFUHS consideration, then we may deduct 60% of such WFUHS consideration on a dollar-for-dollar basis from the consideration due to IU.</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 We expect to compete with Reata Pharmaceuticals’ SKYCLARYS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(omaveloxolone), which was recently approved by the FDA for the treatment of Friedreich’s ataxia in adults and adolescents aged 16 and older. Other competitors currently developing therapeutics to treat Friedrich's ataxia include, but are not limited to PTC Therapeutics, Inc., Design Therapeutics, Inc., Novartis, Pfizer, Voyager/Neocrine, and Takeda/StrideBio.</w:t>
      </w:r>
    </w:p>
    <w:p>
      <w:pPr>
        <w:spacing w:after="0" w:line="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CTI-1601 is a biologic fusion protein that is produced in E. coli. We have worked with contract manufacturers to develop, in accordance with cGMPs a manufacturing process and analytical methods for drug substance to support clinical trials. We also use third party manufacturers for the clinical packaging, storage and distribution of CTI-1601. We rely on third parties to store the CTI-1601 master cell bank and working cell bank, each stored at a different location. We continue to advance the manufacturing of CTI-1601, obtain stability data, and produce drug product for future clinical trials. We are continually trying to optimize our manufacturing process to increase yields, decrease costs and increase reliability in supply chains. The final process will need to be successfully scaled up to support commercial manufacturing.</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drug substance which is in frozen liquid form for CTI-1601 is currently manufactured for us by KBI Biopharma, Inc. ("KBI"). We are party to a Master Services Agreement, as amended, with KBI, pursuant to which KBI provides biological development and clinical manufacturing services with respect to CTI-1601. We currently produce a frozen liquid form of drug product at another manufacturer. We expect to undertake a program with a third-party manufacturer to begin to produce a lyophilized version of the drug product from the same KBI drug substance, that, once available, we intend to use in certain of our future planned clinical trials.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Employees and Compensation</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employed 26 full-time employees in the United States, of which 20 are directly engaged in research and development with the rest providing administrative, business and operations support. None of our employees are represented by a labor organization or under any collective-bargaining arrangements. We consider our employee relations to be good.</w:t>
      </w:r>
    </w:p>
    <w:p>
      <w:pPr>
        <w:spacing w:after="0" w:line="68"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Diversity and Inclusion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value the diversity of our employees and take pride in our commitment to diversity and inclusion across all levels of our organizational structure and with respect to our board of directors. We value diversity and inclusion across our entire workforce. We are committed to developing strategies for building diverse teams and promoting the advancement of employees from diverse backgrounds.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scientific advisors are set forth in the table below:</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802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Rusty Clayton, DO</w:t>
            </w:r>
          </w:p>
        </w:tc>
        <w:tc>
          <w:tcPr>
            <w:tcW w:w="220" w:type="dxa"/>
            <w:vAlign w:val="bottom"/>
            <w:shd w:val="clear" w:color="auto" w:fill="CCEEFF"/>
          </w:tcPr>
          <w:p>
            <w:pPr>
              <w:spacing w:after="0"/>
              <w:rPr>
                <w:sz w:val="21"/>
                <w:szCs w:val="21"/>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Consultant, Scientific Advisory Board Chair</w:t>
            </w:r>
          </w:p>
        </w:tc>
        <w:tc>
          <w:tcPr>
            <w:tcW w:w="100" w:type="dxa"/>
            <w:vAlign w:val="bottom"/>
            <w:shd w:val="clear" w:color="auto" w:fill="CCEEFF"/>
          </w:tcPr>
          <w:p>
            <w:pPr>
              <w:spacing w:after="0"/>
              <w:rPr>
                <w:sz w:val="21"/>
                <w:szCs w:val="21"/>
                <w:color w:val="auto"/>
              </w:rPr>
            </w:pPr>
          </w:p>
        </w:tc>
      </w:tr>
      <w:tr>
        <w:trPr>
          <w:trHeight w:val="211"/>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Marni Joy Falk, MD</w:t>
            </w:r>
          </w:p>
        </w:tc>
        <w:tc>
          <w:tcPr>
            <w:tcW w:w="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Director, Mitochondrial Medicine Frontier Program at Children’s Hospital of Philadelphia;</w:t>
            </w: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Professor, Department of Human Genetics and Department of Pediatrics, University of Pennsylvania Perelman</w:t>
            </w: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School of Medicine</w:t>
            </w:r>
          </w:p>
        </w:tc>
        <w:tc>
          <w:tcPr>
            <w:tcW w:w="100" w:type="dxa"/>
            <w:vAlign w:val="bottom"/>
          </w:tcPr>
          <w:p>
            <w:pPr>
              <w:spacing w:after="0"/>
              <w:rPr>
                <w:sz w:val="20"/>
                <w:szCs w:val="20"/>
                <w:color w:val="auto"/>
              </w:rPr>
            </w:pPr>
          </w:p>
        </w:tc>
      </w:tr>
      <w:tr>
        <w:trPr>
          <w:trHeight w:val="21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Giovanni Manfredi, MD, PhD</w:t>
            </w:r>
          </w:p>
        </w:tc>
        <w:tc>
          <w:tcPr>
            <w:tcW w:w="220" w:type="dxa"/>
            <w:vAlign w:val="bottom"/>
            <w:shd w:val="clear" w:color="auto" w:fill="CCEEFF"/>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Finbar and Marianne Kenny Professor of Clinical and Research Neurology, Weill Cornell Medicine; Professor</w:t>
            </w:r>
          </w:p>
        </w:tc>
        <w:tc>
          <w:tcPr>
            <w:tcW w:w="100" w:type="dxa"/>
            <w:vAlign w:val="bottom"/>
            <w:shd w:val="clear" w:color="auto" w:fill="CCEEFF"/>
          </w:tcPr>
          <w:p>
            <w:pPr>
              <w:spacing w:after="0"/>
              <w:rPr>
                <w:sz w:val="18"/>
                <w:szCs w:val="18"/>
                <w:color w:val="auto"/>
              </w:rPr>
            </w:pPr>
          </w:p>
        </w:tc>
      </w:tr>
      <w:tr>
        <w:trPr>
          <w:trHeight w:val="248"/>
        </w:trPr>
        <w:tc>
          <w:tcPr>
            <w:tcW w:w="2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Neuroscience, Weil Cornell Medicine</w:t>
            </w:r>
          </w:p>
        </w:tc>
        <w:tc>
          <w:tcPr>
            <w:tcW w:w="100" w:type="dxa"/>
            <w:vAlign w:val="bottom"/>
            <w:shd w:val="clear" w:color="auto" w:fill="CCEEFF"/>
          </w:tcPr>
          <w:p>
            <w:pPr>
              <w:spacing w:after="0"/>
              <w:rPr>
                <w:sz w:val="21"/>
                <w:szCs w:val="21"/>
                <w:color w:val="auto"/>
              </w:rPr>
            </w:pPr>
          </w:p>
        </w:tc>
      </w:tr>
      <w:tr>
        <w:trPr>
          <w:trHeight w:val="211"/>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Ostrem, MD</w:t>
            </w:r>
          </w:p>
        </w:tc>
        <w:tc>
          <w:tcPr>
            <w:tcW w:w="22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director and division chief of University of California San Francisco (UCSF) Movement Disorders</w:t>
            </w: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Neuromodulation Center. Carlin and Ellen Wiegner Endowed Professor of Neurology.</w:t>
            </w:r>
          </w:p>
        </w:tc>
        <w:tc>
          <w:tcPr>
            <w:tcW w:w="100" w:type="dxa"/>
            <w:vAlign w:val="bottom"/>
          </w:tcPr>
          <w:p>
            <w:pPr>
              <w:spacing w:after="0"/>
              <w:rPr>
                <w:sz w:val="20"/>
                <w:szCs w:val="20"/>
                <w:color w:val="auto"/>
              </w:rPr>
            </w:pPr>
          </w:p>
        </w:tc>
      </w:tr>
      <w:tr>
        <w:trPr>
          <w:trHeight w:val="25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Payne, MD</w:t>
            </w:r>
          </w:p>
        </w:tc>
        <w:tc>
          <w:tcPr>
            <w:tcW w:w="220" w:type="dxa"/>
            <w:vAlign w:val="bottom"/>
            <w:shd w:val="clear" w:color="auto" w:fill="CCEEFF"/>
          </w:tcPr>
          <w:p>
            <w:pPr>
              <w:spacing w:after="0"/>
              <w:rPr>
                <w:sz w:val="21"/>
                <w:szCs w:val="21"/>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Professor of Pediatrics, Indiana University School of Medicine</w:t>
            </w:r>
          </w:p>
        </w:tc>
        <w:tc>
          <w:tcPr>
            <w:tcW w:w="1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lease office and laboratory space, which consists of approximately 5,000 square feet and 1,750 square feet located in Bala Cynwyd, PA and Philadelphia, PA, respectively. Our office lease expires in August 2023 with an option to extend for three years, and our laboratory lease expires in December 2023. We believe that we will need to increase our leased square footage in the near and intermediate term. We believe that appropriate space will be readily available on commercially reasonable terms.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part of the Merger (as defined below) with Zafgen, Inc ("Zafgen"),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9" w:name="page20"/>
    <w:bookmarkEnd w:id="19"/>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code of ethics, other corporate policies and procedures, and the charters of our Audit Committee, Compensation Committee and Nominating and Corporate Governance Committee are available through our website at www.larimartx.com. We intend to post information regarding any amendments to, or waivers from, our code of ethics on our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drug and biologic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FDCA, with the exception that the section of the FDCA that governs the approval of drugs via new drug applications (“NDAs”), does not apply to the approval of biologics. In contrast, biologics are approved for marketing under provisions of the Public Health Service Act (“PHS Act”), via a Biologics License Application (“BLA”). However, the application process and requirements for approval of BLAs are very similar to those for NDAs. FDA approval or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Development Process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product may be marketed in the United States generally involves the following:</w:t>
      </w:r>
    </w:p>
    <w:p>
      <w:pPr>
        <w:spacing w:after="0" w:line="117" w:lineRule="exact"/>
        <w:rPr>
          <w:sz w:val="20"/>
          <w:szCs w:val="20"/>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("GLPs"),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cGMPs;</w:t>
      </w:r>
    </w:p>
    <w:p>
      <w:pPr>
        <w:spacing w:after="0" w:line="117"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("IND") application,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w:t>
      </w:r>
    </w:p>
    <w:p>
      <w:pPr>
        <w:spacing w:after="0" w:line="6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for marketing approval that includes substantive evidence of safety, purity, potency, and efficacy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prior to NDA or BLA approval of the manufacturing facility or facilities where the drug or biological product is produced to assess compliance with cGMPs,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NDA or BLA;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and including a vote by external committee members;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NDA or BLA, and payment of associated user fees, when applicable; and</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 approval requirements, including the potential requirement to implement a Risk Evaluation and Mitigation Strategies ("REMS") and the potential requirement to conduct post approval studies.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enters the non-clinical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places the clinical trial on a clinical hold within that 30-day time period. In such a case, the IND sponsor must resolve any deficiencies to the satisfaction of the FDA, and the FDA must lift the clinical hold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ind w:left="760" w:right="80" w:hanging="378"/>
        <w:spacing w:after="0" w:line="28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drug or biological product is initially introduced into healthy human subjects and tested for safety. In the case of some products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rare diseases, the initial human testing is often conducted in patients.</w:t>
      </w:r>
    </w:p>
    <w:p>
      <w:pPr>
        <w:spacing w:after="0" w:line="46" w:lineRule="exact"/>
        <w:rPr>
          <w:rFonts w:ascii="Times New Roman" w:cs="Times New Roman" w:eastAsia="Times New Roman" w:hAnsi="Times New Roman"/>
          <w:sz w:val="18"/>
          <w:szCs w:val="18"/>
          <w:color w:val="auto"/>
        </w:rPr>
      </w:pPr>
    </w:p>
    <w:p>
      <w:pPr>
        <w:ind w:left="760" w:right="320" w:hanging="378"/>
        <w:spacing w:after="0" w:line="26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drug or biological product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color w:val="auto"/>
        </w:rPr>
      </w:pPr>
    </w:p>
    <w:p>
      <w:pPr>
        <w:ind w:left="760" w:right="120" w:hanging="378"/>
        <w:spacing w:after="0" w:line="25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product and provide an adequate basis for product labeling. In most cases, the FDA requires two adequate and well-controlled Phase 3 clinical trials to demonstrate the safety and efficacy of the drug or biologic.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other confirmatory evidence. In drugs and biologics for rare diseases where patient populations are small, Phase 3 trials might not be required if an acceptable adequate risk/benefit profile can be demonstrated from Phase 2 trials.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 OLE study may also be conducted. An OLE study typically enrolls participants from previous clinical trials and is designed to gather the long-term safety and tolerability data on a potential new medicine beyond the time period of the original studies.</w:t>
      </w:r>
    </w:p>
    <w:p>
      <w:pPr>
        <w:spacing w:after="0" w:line="5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 In certain instances, the FDA may mandate the performance of Phase 4 clinical trials as a condition of approval of an NDA or BLA.</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as amended, ("PDUFA") each NDA or BLA may be accompanied by a significant application fee. The applicant for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ind w:firstLine="509"/>
        <w:spacing w:after="0" w:line="253"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agency files it.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files it. Once the submission is filed, the FDA begins an in-depth substantive review of the NDA or BLA. The FDA reviews the NDA or BLA to determine, among other things, whether the proposed product is safe and effective (for drugs) or safe, potent, and effective (for biologics), for its intended use, and has an acceptable purity profile, and whether the product is being manufactured in accordance with cGMPs to assure and preserve the product’s identity, safety, strength, quality, potency and purity. One of the performance goals agreed to by the FDA under the PDUFA is to review standard NDAs or BLAs in 10 months from filing and priority NDAs or BLAs in six months from filing, whereupon a review decision is to be made. The review process may be extended by three months if the FDA classifies a response to an FDA request for additional information or clarification as a major amendment.</w:t>
      </w:r>
    </w:p>
    <w:p>
      <w:pPr>
        <w:spacing w:after="0" w:line="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review, the FDA will also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Before approving an NDA or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Post-Approval Requirements</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3" w:name="page24"/>
    <w:bookmarkEnd w:id="23"/>
    <w:p>
      <w:pPr>
        <w:ind w:firstLine="509"/>
        <w:spacing w:after="0" w:line="255" w:lineRule="auto"/>
        <w:rPr>
          <w:sz w:val="20"/>
          <w:szCs w:val="20"/>
          <w:color w:val="auto"/>
        </w:rPr>
      </w:pPr>
      <w:r>
        <w:rPr>
          <w:rFonts w:ascii="Times New Roman" w:cs="Times New Roman" w:eastAsia="Times New Roman" w:hAnsi="Times New Roman"/>
          <w:sz w:val="18"/>
          <w:szCs w:val="18"/>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Manufacturers must also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Orphan Drug Designation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("ODD")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showing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our products for seven years if a competitor obtains approval before we do for the same product as defined by the FDA for the same indication we are seeking approval, or if our product is determined to be contained within the competitor’s scope of product for the same indication or disease. If we pursue marketing approval for an indication broader than the orphan drug designation we have received, we may not be entitled to orphan drug exclusivity.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Expedited Review and Approval Programs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may give a priority review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drug and biological products studied for their safety and effectiveness in treating serious or life-threatening illnesses and that provide meaningful therapeutic benefit over existing treatments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Food and Drug Omnibus Reform Act (“FDORA”) was recently enacted,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enables the FDA to initiate enforcement actions for the failure to conduct with due diligence a required post-approval study, including a failure to meet any required conditions specified by the FDA or to submit timely reports.</w:t>
      </w:r>
    </w:p>
    <w:p>
      <w:pPr>
        <w:spacing w:after="0" w:line="8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Moreover,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Pediatric Disease Vouchers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Rare Pediatric Disease Voucher Program is intended to encourage development of new drug and biological products for prevention and treatment of certain rare pediatric diseases. Although there are existing incentive programs to encourage the development and study of drugs and biologics for rare diseases, pediatric populations, and unmet medical needs, this program provides an additional incentive for the development of drugs and biologics for rare pediatric diseases, which may be used alone or in combination with other incentive programs. A rare pediatric disease is defined as a disease that is a serious or life-threatening disease in which the serious or life-threatening manifestations primarily affect individuals aged from birth to 18 years, including age groups often called neonates, infants, children, and adolescents; and is a rare disease or condition as defined in the FDCA, which includes diseases and conditions that affect fewer than 200,000 persons in the United States and diseases and conditions that affect a larger number of persons and for which there is no reasonable expectation that the costs of developing and making available the product in the United States can be recovered from sales of the product in the United States.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sponsor of an application for a drug product that obtains rare pediatric disease designation may be eligible for a voucher that can be used or sold to obtain a priority review for a subsequent application submitted under section 505(b)(1) of the FDCA or section 351 of the PHS Act. A rare pediatric disease drug product must meet certain eligibility requirements for a priority voucher at the time the sponsor seeks approval. The rare pediatric disease priority review voucher program was most recently re-authorized by Congress through September 30, 2024, with the potential for priority review vouchers to be granted through September 30,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Pediatric Information and Pediatric Exclusivity</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(“FDASIA”),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8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Biologics Price Competition and Innovation Act</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that are demonstrated to be "biosimilar" or "interchangeable" with an FDA-licensed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t>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 Outside of the United States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(“CTIS”), for clinical trial authorization in up to 30 European Union/European Economic Area ("EU/EEA") countries at the same time and with a single set of documentation.</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7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To obtain regulatory approval of product under the European Union's regulatory system, we are mandated to submit a Marketing Authorization Application ("MAA"), to be assessed in the Centralized Procedure. The centralized procedure, which came into operation in 1995, allows applicants to obtain a marketing authorization that is valid throughout the European Union and the additional Member States of the European Area (Iceland, Liechtenstein and Norway) ("EEA"). It is compulsory for medicinal products manufactured using biotechnological processes, for orphan medicinal products, for advance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line="256" w:lineRule="auto"/>
        <w:rPr>
          <w:sz w:val="20"/>
          <w:szCs w:val="20"/>
          <w:color w:val="auto"/>
        </w:rPr>
      </w:pPr>
      <w:r>
        <w:rPr>
          <w:rFonts w:ascii="Times New Roman" w:cs="Times New Roman" w:eastAsia="Times New Roman" w:hAnsi="Times New Roman"/>
          <w:sz w:val="18"/>
          <w:szCs w:val="18"/>
          <w:color w:val="auto"/>
        </w:rPr>
        <w:t>requirements, and whether the product has a positive risk/benefit/risk profile. The procedure results in a European Commission decision, which is valid in all European Union Member States. Centrally authorized products may be marketed in all Member States. Full copies of the MAA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Marketing Approval ("MA") has been granted.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 There are two other procedures in the European Union for the grant of an MAA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 Where a product has already received a marketing authorization in one Member State, another Member State can recognize that marketing authorization under the mutual recognition procedure.</w:t>
      </w:r>
    </w:p>
    <w:p>
      <w:pPr>
        <w:spacing w:after="0" w:line="8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Applications from persons or companies seeking "orphan medicinal product designation" for products they intend to develop for the diagnosis, prevention, or treatment of life-threatening or chronically debilitating conditions that affect not more than 5 in 10,000 persons in the European Union are reviewed by the Committee for Orphan Medicinal Products, ("COMP"). In addition, orphan drug designation can be granted if the drug is intended for a life threatening, seriously debilitating, or serious and chronic condition in the European Union where without incentives it is unlikely that sales of the product in the European Union would be sufficient to justify the necessary investment in its development. Orphan designation is only available if there is no other satisfactory method approved in the European Union of diagnosing, preventing, or treating the condition, or if such a method exists, the proposed orphan product will be of significant benefit to patients. We have obtained orphan drug designation for CTI-1601.</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Orphan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which has an orphan drug designation subsequently receives EMA marketing approval for the indication for which it has such designation, the product is entitled to orphan market exclusivity, which means the EMA may not approve any other application to market a similar drug for the same indication for a period of 10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Additionally, an MA may be granted to a similar medicinal product for the same indication if:</w:t>
      </w:r>
    </w:p>
    <w:p>
      <w:pPr>
        <w:spacing w:after="0" w:line="84" w:lineRule="exact"/>
        <w:rPr>
          <w:sz w:val="20"/>
          <w:szCs w:val="20"/>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to the authorized orphan product, is safer, more effective or otherwise clinically superior;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orphan product consents to a second orphan medicinal product application;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orphan product cannot supply enough orphan medicinal product</w:t>
      </w:r>
    </w:p>
    <w:p>
      <w:pPr>
        <w:spacing w:after="0" w:line="1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EMA offers a scheme to facilitate development of product candidates in indications, often rare, for which few or no therapies currently exist. The PRIority MEdicines, or PRIME, scheme is intended to encourage drug development in areas of unmet medical need and is intended to reinforce early dialogue with, and regulatory support from, EMA in order to stimulate innovation, optimize development and enable accelerated assessment of such product candidates. It is intended to build upon the scientific advice scheme and accelerated assessment procedure offered by the EMA. The scheme is voluntary and eligibility criteria must be met for a medicine to qualify for PRIME.</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EMA:</w:t>
      </w:r>
    </w:p>
    <w:p>
      <w:pPr>
        <w:spacing w:after="0" w:line="117" w:lineRule="exact"/>
        <w:rPr>
          <w:sz w:val="20"/>
          <w:szCs w:val="20"/>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Committee for Advanced Therapies ("CAT") to provide continuous support and to build up knowledge of the medicine in advance of the filing of an MAA;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 Provides a dedicated EMA contact person;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4"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3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Agency are free of charge for questions relating to the development of pediatric medicines.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color w:val="auto"/>
        </w:rPr>
        <w:t>The aforementioned European Union rules are generally applicable in the EEA.</w:t>
      </w:r>
    </w:p>
    <w:p>
      <w:pPr>
        <w:spacing w:after="0" w:line="11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UK left the European Union on January 31, 2020 and the UK and the European Union concluded a trade and cooperation agreement (“TCA”), which was provisionally applicable since January 1, 2021 and has been formally applicable since May 1, 2021. The TCA includes specific provisions concerning pharmaceuticals, which include the mutual recognition of cGMP, inspections of manufacturing facilities for medicinal products and cGMP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Except in respect of the new European Union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UK and European Union pharmaceutical legislation. However, notwithstanding that there is no wholesale recognition of European Union pharmaceutical legislation under the TCA, under the new framework mentioned below which will be put in place by the Medicines and Healthcare products Regulatory Agency (“MHRA”), the UK’s medicines regulator, from January 1, 2024, the MHRA has stated that it will take into account decisions on the approval of MAs from the EMA (and certain other regulators) when considering an application for a Great Britain MA. 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Once the Windsor Framework is approved by the EU-UK Joint Committee, the UK Government and the European Union will enact legislative measures to enact it into law. 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MAs for centrally authorized products were automatically converted (grand fathered) into UK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9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is now no pre-marketing authorization orphan designation in Great Britain. Instead, the MHRA will review applications for orphan designation in parallel to the corresponding MA application. The criteria are essentially the same, but have been tailored for the GB market, i.e. the prevalence of the condition in GB (rather than the EU) must not be more than 5 in 10,000. Should an orphan designation be granted, the period or market exclusivity will be set from the date of first approval of the product in GB or EU/European Economic Area, wherever is earliest.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Healthcare Laws and Regulations</w:t>
      </w:r>
    </w:p>
    <w:p>
      <w:pPr>
        <w:spacing w:after="0" w:line="11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68" w:lineRule="exact"/>
        <w:rPr>
          <w:sz w:val="20"/>
          <w:szCs w:val="20"/>
          <w:color w:val="auto"/>
        </w:rPr>
      </w:pPr>
    </w:p>
    <w:p>
      <w:pPr>
        <w:ind w:left="760" w:right="2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0" w:name="page31"/>
    <w:bookmarkEnd w:id="30"/>
    <w:p>
      <w:pPr>
        <w:ind w:left="760" w:right="28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6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implementing regulations, impose obligations on certain types of individuals;</w:t>
      </w:r>
    </w:p>
    <w:p>
      <w:pPr>
        <w:spacing w:after="0" w:line="53"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53"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the agency that administers the Medicare and Medicaid programs ("CMS") information related to payments or other transfers of value made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Affordable Care Act substantially changed the way healthcare is financed by both governmental and private insurers, included provisions that affected the pharmaceutical industry. Among other things, the Affordable Care Act expanded manufacturers’ rebate liability under the Medicaid Drug Rebate Program, expanded the 340B program, and increased the amount of Medicaid drug rebates manufacturers are required to pay to states. Since that time, there have been significant ongoing legislative and executive efforts to modify or eliminate the Affordable Care Act. The Tax Act of 2017, for example, repealed the shared responsibility payment provisions commonly referred to as the individual mandate.</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Affordable Care Act. The Budget Control Act of 2011 and subsequent legislation has resulted in reductions to Medicare payments to healthcare providers of up to 2.0% per fiscal year which will remain in effect through 2031 unless additional Congressional action is taken.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75" w:lineRule="exact"/>
        <w:rPr>
          <w:sz w:val="20"/>
          <w:szCs w:val="20"/>
          <w:color w:val="auto"/>
        </w:rPr>
      </w:pPr>
    </w:p>
    <w:p>
      <w:pPr>
        <w:ind w:left="60" w:right="3340" w:firstLine="464"/>
        <w:spacing w:after="0" w:line="270" w:lineRule="auto"/>
        <w:rPr>
          <w:sz w:val="20"/>
          <w:szCs w:val="20"/>
          <w:color w:val="auto"/>
        </w:rPr>
      </w:pPr>
      <w:r>
        <w:rPr>
          <w:rFonts w:ascii="Times New Roman" w:cs="Times New Roman" w:eastAsia="Times New Roman" w:hAnsi="Times New Roman"/>
          <w:sz w:val="17"/>
          <w:szCs w:val="17"/>
          <w:color w:val="auto"/>
        </w:rPr>
        <w:t>The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w:t>
      </w:r>
    </w:p>
    <w:p>
      <w:pPr>
        <w:spacing w:after="0" w:line="3" w:lineRule="exact"/>
        <w:rPr>
          <w:sz w:val="20"/>
          <w:szCs w:val="20"/>
          <w:color w:val="auto"/>
        </w:rPr>
      </w:pPr>
    </w:p>
    <w:p>
      <w:pPr>
        <w:ind w:right="40" w:firstLine="45"/>
        <w:spacing w:after="0" w:line="250" w:lineRule="auto"/>
        <w:rPr>
          <w:sz w:val="20"/>
          <w:szCs w:val="20"/>
          <w:color w:val="auto"/>
        </w:rPr>
      </w:pPr>
      <w:r>
        <w:rPr>
          <w:rFonts w:ascii="Times New Roman" w:cs="Times New Roman" w:eastAsia="Times New Roman" w:hAnsi="Times New Roman"/>
          <w:sz w:val="18"/>
          <w:szCs w:val="18"/>
          <w:color w:val="auto"/>
        </w:rPr>
        <w:t>or biosimilar competition, require companies to pay rebates to Medicare for certain drug prices that increase faster than inflation, and delay the rebate rule that would limit the fees that pharmacy benefit managers can</w:t>
      </w:r>
    </w:p>
    <w:p>
      <w:pPr>
        <w:spacing w:after="0" w:line="1" w:lineRule="exact"/>
        <w:rPr>
          <w:sz w:val="20"/>
          <w:szCs w:val="20"/>
          <w:color w:val="auto"/>
        </w:rPr>
      </w:pPr>
    </w:p>
    <w:p>
      <w:pPr>
        <w:ind w:left="60" w:right="3300"/>
        <w:spacing w:after="0" w:line="255" w:lineRule="auto"/>
        <w:rPr>
          <w:sz w:val="20"/>
          <w:szCs w:val="20"/>
          <w:color w:val="auto"/>
        </w:rPr>
      </w:pPr>
      <w:r>
        <w:rPr>
          <w:rFonts w:ascii="Times New Roman" w:cs="Times New Roman" w:eastAsia="Times New Roman" w:hAnsi="Times New Roman"/>
          <w:sz w:val="18"/>
          <w:szCs w:val="18"/>
          <w:color w:val="auto"/>
        </w:rPr>
        <w:t>charge. Further, under the IRA, orphan drugs are exempted from the Medicare drug price negotiation program, but only if they have one rare disease designation and for which the only approved indication is for that disease or condition.</w:t>
      </w:r>
    </w:p>
    <w:p>
      <w:pPr>
        <w:spacing w:after="0" w:line="7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expect that changes to the Affordable Care Act, the Medicare and Medicaid programs, including recent changes that allow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 Analysis of Financial Condition and Results of Operation.” If any of the following risks occur, our business, financial condition and results of operations 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incur continued losses for the foreseeable future.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the development of CTI-1601. We have incurred significant losses in each year of operation since our inception in 2016. For the years ended December 31, 2022 and 2021, we had net losses of $35.4 million and $50.6 million, respectively, and, as of December 31, 2022, we had an accumulated deficit of $151.6 million and we expect to continue to incur significant expenses and net operating losses ("NOLs") for the foreseeable future.</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CTI-1601.</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if and as we:</w:t>
      </w:r>
    </w:p>
    <w:p>
      <w:pPr>
        <w:spacing w:after="0" w:line="11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efforts for CTI-1601;</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in the United States and in foreign jurisdictions for our product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various products for which we may obtain marketing approval, if any;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the manufacture of larger quantities of product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manufacturing, quality control, regulatory and finance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our sales, marketing and distribution infrastructure, assuming CT-1601 is approved for marketing;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33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sales, marketing. medical affairs infrastructure and have no experience in the sales, marketing, or distribution of pharmaceutical products. Assuming CTI-1601 ultimately is approved for marketing in the US and elsewhere, we will need to establish sales and marketing capabilities as well as customer service and support, logistics, and other related functions, or make arrangements with third parties to perform these services;</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losses and negative cash flows have had, and will continue to have, an adverse effect on our liquidity and potentially the ability for us to raise capital due to our unfavorable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commercial revenue and may never become profitable.</w:t>
      </w:r>
    </w:p>
    <w:p>
      <w:pPr>
        <w:spacing w:after="0" w:line="121" w:lineRule="exact"/>
        <w:rPr>
          <w:sz w:val="20"/>
          <w:szCs w:val="20"/>
          <w:color w:val="auto"/>
        </w:rPr>
      </w:pPr>
    </w:p>
    <w:p>
      <w:pPr>
        <w:jc w:val="both"/>
        <w:ind w:right="100" w:firstLine="509"/>
        <w:spacing w:after="0" w:line="312" w:lineRule="auto"/>
        <w:rPr>
          <w:sz w:val="20"/>
          <w:szCs w:val="20"/>
          <w:color w:val="auto"/>
        </w:rPr>
      </w:pPr>
      <w:r>
        <w:rPr>
          <w:rFonts w:ascii="Times New Roman" w:cs="Times New Roman" w:eastAsia="Times New Roman" w:hAnsi="Times New Roman"/>
          <w:sz w:val="17"/>
          <w:szCs w:val="17"/>
          <w:color w:val="auto"/>
        </w:rPr>
        <w:t>To date, we have not generated any commercial revenue. Our ability to generate revenue and become profitable depends upon our ability to obtain regulatory approval for, and to successfully commercialize, CTI-1601 or other product candidates that we may develop, in-license or acquire in the future.</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3" w:name="page34"/>
    <w:bookmarkEnd w:id="33"/>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This will require success in a range of challenging activities, including completing numerous clinical trials of CTI-1601 or any future product candidates, obtaining marketing approval for CTI-1601 and any future product candidates, manufacturing, marketing and selling those products for which we, or any future collaborators or partners, may obtain marketing approval, satisfying any post-marketing requirements and obtaining reimbursement for our products from private insurance and/or government payors. Even if we are able to successfully achieve the above, we do not know what the reimbursement status of CTI-1601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8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ability to generate revenue from CTI-1601 or any future product candidates also depends on a number of additional factors, including our ability to:</w:t>
      </w:r>
    </w:p>
    <w:p>
      <w:pPr>
        <w:spacing w:after="0" w:line="5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remaining non-clinical studies and planned clinical trials for our product candidates;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NDAs and BLAs to the FDA and MAAs to the EMA and obtain regulatory approval for indications for which there is a commercial market;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other foreign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any approved products in commercial quantities and on commercially reasonable terms;</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or find suitable partners, to market, sell and distribute approved products in the markets in which we have retained commercialization rights;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among patients, clinicians and advocacy groups for any products we develop;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payors;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any products for which we may receive approval.</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CTI-1601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raise additional funding in order to continue our planned operations. This funding may not be available on acceptable terms, or at 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this necessary capital when needed would force us to delay, limit or terminate our product development efforts or other operations.</w:t>
      </w:r>
    </w:p>
    <w:p>
      <w:pPr>
        <w:spacing w:after="0" w:line="9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spend substantial and increasing amounts to conduct clinical trials of CTI-1601 and further research and development activities for CTI-1601, and for any additional product candidates that we may develop, in-license or acquire in the future. In addition, raising funds in the current economic environment may present substantial challenges, and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 collaborator. Accordingly, we will need to obtain additional funding in connection with our continuing operations.</w:t>
      </w:r>
    </w:p>
    <w:p>
      <w:pPr>
        <w:spacing w:after="0" w:line="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our existing cash, cash equivalents and marketable securities were $118.4 million, excluding restricted cash of $1.3 million. This amount will not be sufficient to fund all of the efforts that we plan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4" w:name="page35"/>
    <w:bookmarkEnd w:id="34"/>
    <w:p>
      <w:pPr>
        <w:ind w:right="140"/>
        <w:spacing w:after="0" w:line="256" w:lineRule="auto"/>
        <w:rPr>
          <w:sz w:val="20"/>
          <w:szCs w:val="20"/>
          <w:color w:val="auto"/>
        </w:rPr>
      </w:pPr>
      <w:r>
        <w:rPr>
          <w:rFonts w:ascii="Times New Roman" w:cs="Times New Roman" w:eastAsia="Times New Roman" w:hAnsi="Times New Roman"/>
          <w:sz w:val="18"/>
          <w:szCs w:val="18"/>
          <w:color w:val="auto"/>
        </w:rPr>
        <w:t>undertake or to fund the completion of the development of CTI-1601. Accordingly, we will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financial condition and prospects. In addition, geopolitical unrest including, for example, the broader impact of the Russian invasion of Ukraine, the possibility that the conflict could expand beyond eastern Europe, and the impact of a possible resurgence of vaccine resistant, more deadly or more contagious variant of COVID-19 or other health crisis or recent liquidity constraints, failures and instability in U.S. and international financial banking systems on the global financial markets may reduce our ability to access capital, which could negatively affect our liquidity.</w:t>
      </w:r>
    </w:p>
    <w:p>
      <w:pPr>
        <w:spacing w:after="0" w:line="8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CTI-1601 or other product candidates that we may develop, in-license or acquire in the future.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strategic partnerships and alliances and licensing arrangements with third parties, we may have to relinquish valuable rights, including future revenue streams, to CTI-1601 or other product candidates that we may develop, in-license or acquire in the future, or grant licenses on terms that are not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NOLs and certain other tax attributes may be limited.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2022 we had NOL carryforwards that expire for U.S. federal income tax purposes of $167.4 million, a portion of which begin to expire in 2026. Our net operating losses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As of December 31, 2022, the Company had federal net operating loss carryforwards that were generated after December 31, 2017 of $128.7 million that do not expire, however these carryforwards are limited to 80% of the taxable income in any one tax period.</w:t>
      </w:r>
    </w:p>
    <w:p>
      <w:pPr>
        <w:spacing w:after="0" w:line="81"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In general, under Section 382 of the Internal Revenue Code (the "Code") if a corporation undergoes an “ownership change,” generally defined as a greater than 50% change (by value) in its equity ownership over a three-year period, the corporation’s ability to use its pre-change NOLs and other pre-change tax attributes (such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ind w:right="60"/>
        <w:spacing w:after="0" w:line="255" w:lineRule="auto"/>
        <w:rPr>
          <w:sz w:val="20"/>
          <w:szCs w:val="20"/>
          <w:color w:val="auto"/>
        </w:rPr>
      </w:pPr>
      <w:r>
        <w:rPr>
          <w:rFonts w:ascii="Times New Roman" w:cs="Times New Roman" w:eastAsia="Times New Roman" w:hAnsi="Times New Roman"/>
          <w:sz w:val="18"/>
          <w:szCs w:val="18"/>
          <w:color w:val="auto"/>
        </w:rPr>
        <w:t>capitalized research and development costs and research tax credits) to offset its post-change income may be limited. We believe that as a result of our merger with Zafgen, our ability to utilize NOLs acquired in the transaction and our other NOLs is expected to be severely limited by Section 382 of the Code. Additionally, our July 2021 and September 2022 equity transactions could also limit our ability to utilize NOLs in the future.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have a material adverse effect on our business, financial condition and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under Section 174 of the code, in taxable years beginning after December 31, 2021, expenses that are incurred for research and development in the U.S. are capitalized and amortized, which may have an adverse effect on our cash flow.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17" w:lineRule="exact"/>
        <w:rPr>
          <w:sz w:val="20"/>
          <w:szCs w:val="20"/>
          <w:color w:val="auto"/>
        </w:rPr>
      </w:pPr>
    </w:p>
    <w:p>
      <w:pPr>
        <w:jc w:val="both"/>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has placed a partial clinical hold on CTI-1601 and there is uncertainty as to when, or if, the FDA will lift the partial clinical hold on our CTI-1601 program, if it will allow additional cohorts of the dose exploration study or if it will ever allow further clinical development of CTI-1601.</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May 2021, the FDA placed a clinical hold on our CTI-1601 clinical program after we notified the agency of mortalities at the two highest dose levels of the 26-week NHP toxicology study that was designed to support extended dosing of patients with CTI-1601. This NHP study included four dose groups in addition to vehicle and the mortalities were seen in the two highest dose groups. At the time the hold was placed, we had no interventional clinical trials with patients enrolling or enrolled.</w:t>
      </w:r>
    </w:p>
    <w:p>
      <w:pPr>
        <w:spacing w:after="0" w:line="7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 July 2021, we completed dosing in the NHP toxicology study. Data from the study were collected throughout the second half of 2021 and included in the complete response submitted to the FDA</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February 2022, in response to our complete response to the clinical hold discussed above, the FDA stated that it was maintaining the clinical hold and that additional data were needed to resolve the clinical hold.</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subsequently submitted a request to the FDA for a Type C meeting, which was granted and was held in July 2022. We submitted a complete response to the FDA incorporating additional information requested by the FDA at the meeting as well as information on a proposed dose exploration study in August 2022.</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7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business may be adversely affected if the FDA does not lift the partial clinical hold in a timely manner, if it places a full clinical hold on the development of CTI-1601, or, if additional non-clinical or clinical studies are required. This may cause significant delays or expense in developing CTI-1601.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is currently dependent upon the success of our lead product candidate, CTI-1601, for which we have completed two Phase 1 clinical trials in patients with FA and are currently conducting a Phase 2 dose exploration study. We cannot be certain that data from the first cohort of our current dose exploration study will provide the FDA with adequate data to allow the CTI-1601 development program to proceed as planned in part or in full, or that we will ultimately be successful with our clinical development or that we will be ever able to obtain regulatory approval for CTI-1601.</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drug products for sale and our business is currently wholly dependent on our successful clinical development, regulatory approval and commercialization of CTI-1601, our lead product candidate and our only product candidate in clinical development, for which we have completed two Phase 1 clinical trials in patients with FA and are currently working to complete a Phase 2 dose exploration under an FDA partial clinical hold. The study’s first cohort (25 mg ) is proceeding in line with our planned timeline with dosing completed. Additional cohorts and/or other clinical trials are contingent on the review of the study’s 25 mg cohort data by the FDA and the data monitoring committee. We expect to provide an update on the study in the second quarter of 2023 and anticipate reporting top-line data in the second half of 2023.</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our efforts to develop and commercialize CTI-1601 for the treatment of FA are unsuccessful, or we experience significant delays in doing so, our business could also be substantially harmed. The success of CTI-1601 will depend on several factors, including the following:</w:t>
      </w:r>
    </w:p>
    <w:p>
      <w:pPr>
        <w:spacing w:after="0" w:line="54" w:lineRule="exact"/>
        <w:rPr>
          <w:sz w:val="20"/>
          <w:szCs w:val="20"/>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IND application with the FDA in order to continue to conduct clinical trials in the United States, including our ability to have the clinical hold lifted by the FDA on a timely basis, if at all;</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recruiting, enrolling and retaining patients in and completing any clinical trials, if allowed to continue, including trials in pediatric patients;</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all necessary toxicology studies to support clinical development and regulatory approval for CTI-1601;</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for CTI-1601, including developing, validating and maintaining a commercially viable manufacturing process that is compliant with cGMPs;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our product candidates and technology;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United States and other countries;</w:t>
      </w:r>
    </w:p>
    <w:p>
      <w:pPr>
        <w:spacing w:after="0" w:line="11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following any marketing approval, including establishing a specialty sales organization, or successfully partnering with another organization, if applicable;</w:t>
      </w:r>
    </w:p>
    <w:p>
      <w:pPr>
        <w:spacing w:after="0" w:line="53"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 candidates,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other therapies.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CTI-1601 for sale and marketing, and even if CTI-1601 is ultimately approved, regulatory approval may be delayed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ind w:right="80"/>
        <w:spacing w:after="0" w:line="258" w:lineRule="auto"/>
        <w:rPr>
          <w:sz w:val="20"/>
          <w:szCs w:val="20"/>
          <w:color w:val="auto"/>
        </w:rPr>
      </w:pPr>
      <w:r>
        <w:rPr>
          <w:rFonts w:ascii="Times New Roman" w:cs="Times New Roman" w:eastAsia="Times New Roman" w:hAnsi="Times New Roman"/>
          <w:sz w:val="18"/>
          <w:szCs w:val="18"/>
          <w:color w:val="auto"/>
        </w:rPr>
        <w:t>limited in the United States or in other jurisdictions. Even if we are authorized to sell and market CTI-1601 in one or more markets, there is no assurance that we will be able to successfully market CTI-1601 or that CTI-1601 will achieve market acceptance sufficient to generate profits. If we are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our business, financial condition, and results of operations as CTI-1601 is currently our sole product candidate.</w:t>
      </w:r>
    </w:p>
    <w:p>
      <w:pPr>
        <w:spacing w:after="0" w:line="7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ongoing toxicology studies in animals for CTI-1601 and cannot provide assurance that the findings from such studies or any ongoing or future clinical trials will not adversely affect the clinical development of CTI-1601. For the foregoing reasons, we cannot be certain that our ongoing and planned non-clinical studies and clinical trials will be successful. If non-clinical studies or clinical trials for CTI-1601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do not know whether any ongoing or future clinical trials for CTI-1601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institutional review boards (IRBs") or ethics committees, an independent data monitoring committee, or safety review committee, overseeing the clinical trial at issue or other regulatory authorities due to a number of factors, including, among others:</w:t>
      </w:r>
    </w:p>
    <w:p>
      <w:pPr>
        <w:spacing w:after="0" w:line="75"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prior or future toxicology studies, adverse events or lack of effectiveness;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FDA-approved therapeutics for FA, other clinical trial programs for similar indications, and the resurgence of vaccine resistant, more deadly or more contagious variants of COVID-19 and the efforts to mitigate those effects;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or recruiting clinical investigators in our ongoing or future clinical trials;</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serious or unexpected drug-related adverse events experienced by patients in clinical trials;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subjects may deviate from trial protocol or drop out of a trial;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studies or clinical testing of other therapies that raise safety or efficacy concerns.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our lead product candidate CTI-1601, we have completed two Phase 1 clinical trials in patients with FA and are currently conducting the first cohort of a Phase 2, four-week, placebo-controlled, dose exploration trial of CTI-1601 in FA patients. Additional cohorts and/or the initiation of other clinical trials are contingent on agreement by the FDA based on its review of the data from the 25 mg cohort and on review by the study's independent data monitoring committee. We expect to provide an update that will outline the next steps for the study in the second quarter of 2023 and anticipate reporting top-line data in the second half of 2023. We do not know if, or when, the FDA will lift the partial clinical hold on our CTI-1601 program, if it will allow additional cohorts of this dose exploration study or if it will ever allow further clinical development of CTI-1601.</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safety issues in non-clinical or clinical trials, ambiguous or negative interim results or events outside of our control.</w:t>
      </w:r>
    </w:p>
    <w:p>
      <w:pPr>
        <w:spacing w:after="0" w:line="54"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If future clinical trials of CTI-1601 fail or further delays occur in the United States and or other countries, we may not be able to develop and commercialize CTI-1601 and could fail to realize the potential advantages of doing so, and it could materially adversely affect our business, financial condition and results of operations.</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disruptions caused by health crises, such as the recent COVID-19 pandemic may increase the likelihood that we encounter such difficulties or delays in initiating, enrolling, conducting or completing our planned and ongoing clinical trials. Further, FA is a rare disease, there are a limited number of patients in close proximity to clinical trial sites and clinical trial patients may need to travel from other countries to the clinical trial sites in order to participate. In addition, given the limited number of FA patients, the recent approval of a competing therapy for the treatment of FA may make patients less likely to enroll in our clinical trials or less likely to be eligible for our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discover or acquire additional product candidates.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We currently only have one product candidate CTI-1601 in clinical development, although we have other product candidates in pre-clinical development.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6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marketed proprietary products and have not yet advanced a product candidate beyond Phase 2 clinical trials, which makes it difficult to assess our ability to develop CTI-1601 or any future product candidates and commercialize any resulting products independently.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no experience in later stage clinical development, and related regulatory requirements or the commercialization of products. As a result, we have not yet demonstrated our ability to independently and repeatedly conduct clinical development after Phase 1,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pacing w:after="0" w:line="79"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FDA's permission to continue with the clinical development of CTI-1601;</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clinical development plans for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in each jurisdiction in which we will seek to commercialize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appropriate sales, distribution and marketing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including reimbursement, for our future products, if any;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 activities.</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successfully complete clinical trials for CTI-1601 or any other product candidates.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advanced only one product candidate into clinical development, CTI-1601. Our business currently depends primarily on CTI-1601’s successful clinical development, regulatory approval and commercialization. We submitted our IND and it was accepted, permitting the conduct of clinical trials. We completed two Phase 1 clinical trials but, as a result of certain mortalities in a non-clinical study of NHPs, the FDA issued a clinical hold. We responded to the clinical hold in January 2022. Following review of our response, the FDA maintained the clinical hold.</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and PD and PK profiles to provide information about the preferred long-term dose and dose regimen. We have since initiated the 25 mg cohort of the Phase 2 dose exploration trial. Initiation of the second cohort and/or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0" w:name="page41"/>
    <w:bookmarkEnd w:id="4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do not know if, or when, the FDA will lift the partial clinical hold on our CTI-1601 program, if it will allow additional cohorts of the dose exploration study or if it will ever allow further clinical development of CTI-1601. If the FDA does not lift the clinical hold in a timely manner, or at all, our development timelines and our business may be adversely affected and our stock price may decline. Further, even if the FDA lifts the partial clinical hold, or if the FDA or other regulatory agencies continue to express safety concerns after the partial clinical hold is lifted, future CTI-1601 non-clinical or clinical studies may be required. In such instances, our progress in the development of CTI-1601 may be significantly slowed and the associated costs may be significantly increased, adversely affecting our business, which could impair our ability to ultimately obtain FDA or other regulatory approval for CTI-1601.</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trials do not necessarily predict success in those or future clinical trials. Success in adult clinical trials may not predict the outcome of pediatric clinical trials.</w:t>
      </w:r>
    </w:p>
    <w:p>
      <w:pPr>
        <w:spacing w:after="0" w:line="72"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CTI-1601 is the only protein replacement therapy being developed for the treatment of FA and therefore non-clinical studies may not be adequate to predict efficacy in a clinical trial due to our novel protein replacement therapy platform.</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CTI-1601, the development timeline and regulatory approval and commercialization prospects for CTI-1601, and, correspondingly, our business, financial prospects and results of operation would be negatively impacted.</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 CTI-1601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we may request or may grant approval contingent on the performance of costly post-marketing clinical trials.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identifying and enrolling patients in our clinical trials given the limited number of patients who have the disease for which CTI-1601 is being studied or for any other product candidate we may study in the future. Difficulty in enrolling patients could delay or prevent clinical trials of CTI-1601 or any future product candidate. There are also competing FA therapeutics, other competing studies and potentially other FA therapeutics that could be approved that may also limit the availability of prospective participants in CTI-1601 clinical trials.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CTI-1601 is critical to our success. The timing of our clinical trials depends in part on the speed at which we can recruit patients to participate in testing CTI-1601, and we may experience delays in our clinical trials if we encounter difficulties in enrollment, such as difficulties with enrollment in pediatric clinical trials.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conditions for which we are planning to evaluate CTI-1601 and any product candidates we may evaluate in the future, are rare genetic diseases. Accordingly, there are limited patient pools from which to draw for clinical trials. Arranging for investigative sites and recruiting patients for clinical trials in this disease may be very difficult. The recent FDA approval of a product for the treatment of FA may impact our ability to enroll patients in our clinical trials as patients using other FA treatments may be excluded from participation in our CTI-1601 studies or may be less likely to participate in our CTI-1601 clinical trials due to the availability of another FA therapy. If other companies are studying their investigational products in Friedreich’s ataxia and/or if other companies have their products approved for the treatment of FA, it may be more difficult to enroll eligible patients into our clinical trials. Competing priorities at sites and participation of subjects in other studies may limit our ability to execute clinical trials in a timely fashion, if at all.</w:t>
      </w:r>
    </w:p>
    <w:p>
      <w:pPr>
        <w:spacing w:after="0" w:line="8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rarity of FA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approved and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CTI-1601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CTI-1601, which could cause the value of our company to decline and limit our ability to obtain additional financing, if needed. Any of these occurrences may harm our business, financial condition, and prospects significantly.</w:t>
      </w:r>
    </w:p>
    <w:p>
      <w:pPr>
        <w:spacing w:after="0" w:line="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 has no FDA-approved therapies that address frataxin deficiency, which is the underlying cause of the disease, and clinical endpoints required to obtain approval are not well defined.</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are currently no FDA-approved products to treat FA that are designed to increase frataxin levels. We have concentrated our research and development efforts on developing a novel, FA therapy designed to address frataxin deficiency, which is the underlying cause of the disease,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FA, we may have to devise novel clinical endpoints to be tested in our clinical trials, which can lead to some subjectivity in interpreting trial results and could result in regulatory agencies not agreeing with the validity of our endpoints, or our interpretation of the clinical data, and therefore denying approval, which would materially adversely affect our business, financial condition and results of operations. As a result, the design and conduct of clinical trials for a therapeutic product candidate such as CTI-1601 that is intended to deliver FXN through a subcutaneously administered, recombinant fusion protein in FA patients are subject to unknown risks, and we may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2" w:name="page43"/>
    <w:bookmarkEnd w:id="42"/>
    <w:p>
      <w:pPr>
        <w:ind w:right="320"/>
        <w:spacing w:after="0" w:line="282" w:lineRule="auto"/>
        <w:rPr>
          <w:sz w:val="20"/>
          <w:szCs w:val="20"/>
          <w:color w:val="auto"/>
        </w:rPr>
      </w:pPr>
      <w:r>
        <w:rPr>
          <w:rFonts w:ascii="Times New Roman" w:cs="Times New Roman" w:eastAsia="Times New Roman" w:hAnsi="Times New Roman"/>
          <w:sz w:val="18"/>
          <w:szCs w:val="18"/>
          <w:color w:val="auto"/>
        </w:rPr>
        <w:t>experience setbacks with our planned clinical trials of CTI-1601 in FA because of the limited clinical experience with our mechanism of action in these patients.</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particular, regulatory authorities in the United States and the European Union have not issued definitive guidance as to how to measure and achieve efficacy in treatments for FA. As a result, the design and conduct of clinical trials of CTI-1601 may take longer, be more costly or be less effective as part of the novelty of development in FA. We may use new or novel endpoints or methodologies,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CTI-1601 may cause adverse events or undesirable side effects in non-clinical or clinical trials that could delay or prevent its regulatory approval, limit the commercial profile of approved labeling, or result in significant negative consequences following regulatory approval, if any.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adverse events or undesirable side effects caused by, or other unexpected properties of, CTI-1601 in non-clinical or clinical studies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Should the FDA permit us to continue with the clinical development of CTI-1601, it is possible that as we progress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may be reported by patients. If such side effects become known later in development or after approval, such findings may harm our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our ability to develop or commercialize CTI-1601, if approved.</w:t>
      </w:r>
    </w:p>
    <w:p>
      <w:pPr>
        <w:spacing w:after="0" w:line="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Further, if CTI-1601 were to receive marketing approval and we or others identify undesirable side effects caused by the product (or any other product) after the approval, a number of potentially significant negative consequences could result, including:</w:t>
      </w:r>
    </w:p>
    <w:p>
      <w:pPr>
        <w:spacing w:after="0" w:line="54" w:lineRule="exact"/>
        <w:rPr>
          <w:sz w:val="20"/>
          <w:szCs w:val="20"/>
          <w:color w:val="auto"/>
        </w:rPr>
      </w:pPr>
    </w:p>
    <w:p>
      <w:pPr>
        <w:ind w:left="760" w:right="4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recall or withdraw the product from the market or may limit the approval of the product through labeling or other means;</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or a precaution, or labeling restrictions based on patient population;</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remove the product from the marketplace;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or held liable for injury caused to individuals exposed to or taking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conduct expensive post-marketing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commercial market opportunity and our revenues could decrease substantially;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public perception of the safety of CTI-1601; and</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physicians or patients might be less likely to use our product or may refer patients to products produced by our competitors.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financial condition, results of operations and prospects.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discover and develop fusion proteins for delivering proteins is novel and may never lead to marketable products.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CTI-1601 uses a novel and unproven approach and mechanism to treat FA and therefore its efficacy and safety are difficult to predict, and there is no guarantee that CTI-1601 will be approved by the FDA, the EMA, or any other regulatory authorities.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CTI-1601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ind w:right="100"/>
        <w:spacing w:after="0" w:line="266" w:lineRule="auto"/>
        <w:rPr>
          <w:sz w:val="20"/>
          <w:szCs w:val="20"/>
          <w:color w:val="auto"/>
        </w:rPr>
      </w:pPr>
      <w:r>
        <w:rPr>
          <w:rFonts w:ascii="Times New Roman" w:cs="Times New Roman" w:eastAsia="Times New Roman" w:hAnsi="Times New Roman"/>
          <w:sz w:val="18"/>
          <w:szCs w:val="18"/>
          <w:color w:val="auto"/>
        </w:rPr>
        <w:t>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68"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2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or any future designations may not lead to a faster development, regulatory review or approval process and it does not increase the likelihood that any of our product candidates will receive marketing approval.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received fast track therapy designation for CTI-1601 for the treatment of FA. We may, in the future, apply for other designations from the FDA (such as breakthrough therapy or accelerated approval) for CTI-1601 or future product candidates. Designation for these programs is within the discretion of the FDA. Accordingly, even if we believe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obtained fast track designation, the FDA may later decide that it no longer meets the criteria for designation and revoke it. Approval of other therapies for the treatment Friedreich’s ataxia could negatively impact our continued fast track therapy designation for CTI-1601 for the treatment of FA. In addition, if we apply to the FDA for other designations for CTI-1601 or future product candidates, the FDA might not grant such designations. If we apply for any similar programs in foreign countries for CTI-1601 or future product candidates, those designations also might not be granted by the regulatory authorities of those countries. Any of the above could adversely affect our business, financial condition and results of operations.</w:t>
      </w:r>
    </w:p>
    <w:p>
      <w:pPr>
        <w:spacing w:after="0" w:line="8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decide to pursue accelerated approval for any of our product candidates, it may not lead to a faster development or regulatory review or approval process and does not increase the likelihood that it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decide to pursue accelerated approval for one or more of our product candidates.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of other therapies for the treatment Friedreich’s ataxia, including the recent approval of omaveloxolone for the treatment of FA, could negatively impact our ability to demonstrate a benefit over existing treatments and therefore utilize the accelerated approval pathway.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the FDA may withdraw approval of any product candidate approved under the accelerated approval pathway if, for example:</w:t>
      </w:r>
    </w:p>
    <w:p>
      <w:pPr>
        <w:spacing w:after="0" w:line="131" w:lineRule="exact"/>
        <w:rPr>
          <w:sz w:val="20"/>
          <w:szCs w:val="20"/>
          <w:color w:val="auto"/>
        </w:rPr>
      </w:pPr>
    </w:p>
    <w:p>
      <w:pPr>
        <w:ind w:left="1020" w:right="2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the product candidate fails to verify such benefit or do not demonstrate sufficient clinical benefit to justify the risks associated with such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5" w:name="page46"/>
    <w:bookmarkEnd w:id="45"/>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Congress recently enacted the Food and Drug Omnibus Reform Act (“FDORA”),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spacing w:after="0" w:line="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orphan drug designation or other regulatory exclusivity for CTI-1601 or obtain such exclusivity for any of our other product candidates in the future, our competitive position would be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received orphan drug designation from the FDA for CTI-1601 for the treatment of FA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or BLA,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In the case of a biological product, whether a drug is the same drug is based on the principal molecular structural features of the product. Orphan drug designation neither shortens the development time or regulatory review time of a drug nor gives the drug any advantage in the regulatory review or approval process.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Further, even after an orphan drug is approved, the FDA or comparable foreign regulatory authority can subsequently approve another drug for the same condition if such regulatory authority concludes that the later drug is clinically superior, if it is shown to be safer, more effective or makes a major contribution to patient care.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also received orphan drug designation for CTI-1601 in the European Union. In the European Union, the European Medicines Agency, or EMA’s Committee for Orphan Medicinal Products grants orphan drug designation to promote the development of products that are intended for the diagnosis, prevention or treatment of life threatening or chronically debilitating conditions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also entitles a party to financial incentives such as reduction of fees or fee waivers and ten years of market exclusivity following drug approval. This period may be reduced to six years if the orphan drug designation criteria are no longer met, including where it is shown that the product is sufficiently profitable so that market exclusivity is no longer justified. Loss of orphan drug designation for CTI-1601 or the failure to obtain such designation in other countries or for any future product candidates could adversely affect our business, financial condition and results of operation.</w:t>
      </w:r>
    </w:p>
    <w:p>
      <w:pPr>
        <w:spacing w:after="0" w:line="86"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If another product has received approval in the indications for which we have received orphan drug designation, we may still receive approval in that indication if we can demonstrate that our product candidate is clinically superior to the existing orphan product. This demonstration of clinical superiority may be done at the time of initial approval or in post-approval studies, depending on the type of marketing authorization granted. Having to comply with these additional requirements to obtain orphan drug exclusivity could adversely affect our business, financial condition and results of operation.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46" w:name="page47"/>
    <w:bookmarkEnd w:id="46"/>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rare pediatric disease designation for CTI-1601, we may not be eligible to receive a priority review voucher in the event the FDA determines we no longer meet the criteria for designation, revokes the designation or that FDA approval does not occur prior to September 30, 2026.</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sponsor of an application for a rare pediatric disease drug product may be eligible for a voucher that can be used or sold to obtain a priority review for a subsequent application submitted under section 505(b)(1) of the FDCA or section 351 of the PHS Act. The rare pediatric disease priority review voucher program was most recently reauthorized by Congress through September 30, 2024, with the potential for priority review vouchers to be granted through September 30, 2026. We received rare pediatric disease designation from the FDA for CTI-1601 in 2019. We may, in the future, apply for rare pediatric disease designation from the FDA for future product candidates that may qualify for designation. Vouchers for rare pediatric disease drugs are awarded for qualifying applications when the drug receives approval.</w:t>
      </w:r>
    </w:p>
    <w:p>
      <w:pPr>
        <w:spacing w:after="0" w:line="7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Although CTI-1601 has received rare pediatric disease designation, CTI-1601 may not receive a priority review voucher for a number of reasons: CTI-1601 may not receive approval; CTI-1601 may receive approval in adults, but not pediatric patients; CTI-1601 may not meet the eligibility requirements for a priority voucher at the time we seek approval for CTI-1601; or we may not meet the current deadline for receiving a priority review voucher (September 30, 2026), in which case we would not be able to obtain a voucher unless Congress further reauthorizes the program. Finally, a rare pediatric disease designation does not necessarily lead to faster development or regulatory review of the product or increase the likelihood that it will receive marketing approval. If we apply for designation for future product candidates as drugs for rare pediatric diseases, the FDA may not grant the designation. The failure to maintain rare pediatric disease designation for CTI-1601 or if FDA approval does not occur prior to September 30, 2026 could result in the inability to receive a priority review voucher which could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PRIME designation in the European Union for CTI-1601, our competitive position would be harmed.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initial MAA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the EMA:</w:t>
      </w:r>
    </w:p>
    <w:p>
      <w:pPr>
        <w:spacing w:after="0" w:line="117" w:lineRule="exact"/>
        <w:rPr>
          <w:sz w:val="20"/>
          <w:szCs w:val="20"/>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CAT to provide continuous support and to build up knowledge of the medicine in advance of the filing of an MMA;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 contact person;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4"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3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auto"/>
        </w:rPr>
        <w:t>development, a medicine no longer meets the eligibility criteria, or if a medicine granted early access to the PRIME scheme cannot later demonstrate proof of concept, support under the PRIME scheme may be withdrawn. Approval of other therapies for the treatment Friedreich’s ataxia, including the recent approval of omaveloxolone could negatively impact our continued access to this and similar programs. Loss of PRIME designation for CTI-1601 or the failure to obtain such designation for any future product candidates could adversely affect our business, financial condition and results of operation.</w:t>
      </w:r>
    </w:p>
    <w:p>
      <w:pPr>
        <w:spacing w:after="0" w:line="6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guidance from other regulatory authorities or unanticipated events during our non-clinical or clinical trials of CTI-1601 or future product candidates may result in changes to clinical trial protocols or additional non-clinical or clinical trial requirements, which could result in increased costs to us and could delay our development timeline.</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FDA guidance or guidance from EMA or unanticipated events during our non-clinical or clinical trials may force us to terminate or adjust our clinical programs. The FDA, or other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or non-clinical studies and/or post-market studies, the commercial prospects for CTI-1601 or any other potential product candidates may be harmed and our ability to generate product revenue will be delayed or eliminated, and it would materially adversely affect our business, financial condition and results of operations.</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must comply with numerous and varying regulatory requirements of other countries regarding drug development and commercialization. The approval processes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CTI-1601 in the United States, we may never receive regulatory approval to market CTI-1601 outside of the United States.</w:t>
      </w:r>
    </w:p>
    <w:p>
      <w:pPr>
        <w:spacing w:after="0" w:line="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Regulatory authorities outside the United States may adopt similar restrictions or other policy measures in response to a resurgence of COVID-19, and/or other outbreaks of communicable diseases.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8" w:name="page49"/>
    <w:bookmarkEnd w:id="48"/>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spacing w:after="0" w:line="6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Regulatory requirements governing biologic drug products are evolving and may continue to change in the future. As a result, it is difficult to determine how long it will take or how much it will cost to obtain regulatory approvals for CTI-1601 for the treatment of FA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Delays, failure or unexpected costs in obtaining, the regulatory approval necessary to bring our product candidates to market could have a material adverse effect on our business, results of operations, financial condition and prospects.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68"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CTI-1601, and it is possible that this product candidate or any product candidates we may seek to develop in the future will never obtain regulatory approval. If marketing approval is obtained, it will likely include post-marketing studies, and other post-marketing requirements, and surveillance such as REMS which will require the expenditure of substantial resources beyond the proceeds we currently have on hand.</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Furthermore, we are not permitted to market CTI-1601 in the United States or the European Union until we receive approval of a BLA from the FDA or a MAA from the EMA, or in any other foreign countries until we receive the requisite marketing approval from such countries. The development of drugs for FA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72" w:lineRule="exact"/>
        <w:rPr>
          <w:sz w:val="20"/>
          <w:szCs w:val="20"/>
          <w:color w:val="auto"/>
        </w:rPr>
      </w:pPr>
    </w:p>
    <w:p>
      <w:pPr>
        <w:ind w:right="140" w:firstLine="554"/>
        <w:spacing w:after="0" w:line="266" w:lineRule="auto"/>
        <w:rPr>
          <w:sz w:val="20"/>
          <w:szCs w:val="20"/>
          <w:color w:val="auto"/>
        </w:rPr>
      </w:pPr>
      <w:r>
        <w:rPr>
          <w:rFonts w:ascii="Times New Roman" w:cs="Times New Roman" w:eastAsia="Times New Roman" w:hAnsi="Times New Roman"/>
          <w:sz w:val="18"/>
          <w:szCs w:val="18"/>
          <w:color w:val="auto"/>
        </w:rPr>
        <w:t>CTI-1601 requires substantial further clinical development before we can submit a BLA to the FDA. Development and/or regulatory programs for CTI-1601 in any countries other than the United States (such as a MAA to the EMA) are only in very preliminary stages and may require substantial further development in those countries prior to regulatory submissions seeking regulatory approval for marketing.</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FDA and certain European regulatory authorities may delay, limit or deny testing or approval of CTI-1601 for many reasons, including, among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9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CTI-1601 is safe and effective to the satisfaction of the FDA or the EMA;</w:t>
      </w:r>
    </w:p>
    <w:p>
      <w:pPr>
        <w:spacing w:after="0" w:line="11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the EMA for marketing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the number, design, size, duration, conduct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require that we conduct additional non-clinical studies and/or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approve the formulation, manufacturing, labeling or specifications of CTI-1601;</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and/our clinical trials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the data from non-clinical studies and clinical trials insufficient to demonstrate that CTI-1601’s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our interpretation of data from our non-clinical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accept data generated at our clinical trial sites;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760" w:right="120" w:hanging="378"/>
        <w:spacing w:after="0" w:line="312"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the EMA could require development of a REMS as a condition of approval or post-approval, or may not agree with our proposed REMS, or may impose additional requirements, including requirements that limit the promotion, advertising, distribution, or sales of CTI-1601;</w:t>
      </w:r>
    </w:p>
    <w:p>
      <w:pPr>
        <w:spacing w:after="0" w:line="31" w:lineRule="exact"/>
        <w:rPr>
          <w:rFonts w:ascii="Times New Roman" w:cs="Times New Roman" w:eastAsia="Times New Roman" w:hAnsi="Times New Roman"/>
          <w:sz w:val="17"/>
          <w:szCs w:val="17"/>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deficiencies with or not approve the manufacturing processes or facilities of third-party manufacturers with which we contract;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change their approval policies or adopt new regulations rendering our clinical data insufficient for approval.</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and/or maintain regulatory approval for and successfully market CTI-1601.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ensure that CTI-1601, or any other of our potential product candidates will be successfully developed or commercialized.</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CTI-1601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CTI-1601 or potential product candidates, if we obtain marketing approval. In addition, we may be subject to patient privacy regulation by both the federal government and the states or other countries in which we conduct our business. Restrictions under applicable federal and state healthcare laws and regulations include the following:</w:t>
      </w:r>
    </w:p>
    <w:p>
      <w:pPr>
        <w:spacing w:after="0" w:line="79" w:lineRule="exact"/>
        <w:rPr>
          <w:sz w:val="20"/>
          <w:szCs w:val="20"/>
          <w:color w:val="auto"/>
        </w:rPr>
      </w:pPr>
    </w:p>
    <w:p>
      <w:pPr>
        <w:ind w:left="760" w:right="20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18"/>
          <w:szCs w:val="18"/>
          <w:color w:val="auto"/>
        </w:rPr>
        <w:t>service, for which payment may be made under federal healthcare programs such as Medicare and Medicaid;</w:t>
      </w:r>
    </w:p>
    <w:p>
      <w:pPr>
        <w:spacing w:after="0" w:line="117" w:lineRule="exact"/>
        <w:rPr>
          <w:sz w:val="20"/>
          <w:szCs w:val="20"/>
          <w:color w:val="auto"/>
        </w:rPr>
      </w:pPr>
    </w:p>
    <w:p>
      <w:pPr>
        <w:ind w:left="760" w:right="140" w:hanging="378"/>
        <w:spacing w:after="0" w:line="26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HITECH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Affordable Care Act, require manufacturers of drugs, devices, biologics, and medical supplies to report to CMS information related to payments and other transfers of value provided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which could have a material adverse effect on our business, results of operations, financial condition and prospects.</w:t>
      </w:r>
    </w:p>
    <w:p>
      <w:pPr>
        <w:spacing w:after="0" w:line="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ind w:right="140"/>
        <w:spacing w:after="0" w:line="282" w:lineRule="auto"/>
        <w:rPr>
          <w:sz w:val="20"/>
          <w:szCs w:val="20"/>
          <w:color w:val="auto"/>
        </w:rPr>
      </w:pPr>
      <w:r>
        <w:rPr>
          <w:rFonts w:ascii="Times New Roman" w:cs="Times New Roman" w:eastAsia="Times New Roman" w:hAnsi="Times New Roman"/>
          <w:sz w:val="18"/>
          <w:szCs w:val="18"/>
          <w:color w:val="auto"/>
        </w:rPr>
        <w:t>growth of government-paid healthcare costs, including price controls, restrictions on reimbursement and requirements for substitution of generic products for branded prescription drugs.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Affordable Care Act. For example, the Tax Act enacted on December 22, 2017, repealed the shared responsibility payment for individuals who fail to maintain minimum essential coverage under section 5000A of the Internal Revenue Code, commonly referred to as the individual mandate. Other legislative changes have been proposed and adopted since the passage of the Affordable Care Act. The Budget Control Act of 2011,and subsequent legislation triggered reductions to Medicare payments to healthcare providers of up to 2.0% per fiscal year, which will remain in effect through 2031 unless additional Congressional action is taken. The American Taxpayer Relief Act was signed into law in 2013,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Most recently, the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B and Part D for certain drug prices that increase faster than inflation, and delay the rebate rule that would limit the fees that pharmacy benefit managers can charge.</w:t>
      </w:r>
    </w:p>
    <w:p>
      <w:pPr>
        <w:spacing w:after="0" w:line="7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product candidates that we elect to sell on our own.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CTI-1601, if approved, or future product candidates that we elect to sell on our own and, if reimbursement is available, the level of such reimbursement. Reimbursement may impact the demand for, or the price of, product candidates that we elect to. If reimbursement is not available or is available only at limited levels, we may not be able to successfully commercialize product candidates that we elect to sell.</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ind w:right="80"/>
        <w:spacing w:after="0" w:line="282" w:lineRule="auto"/>
        <w:rPr>
          <w:sz w:val="20"/>
          <w:szCs w:val="20"/>
          <w:color w:val="auto"/>
        </w:rPr>
      </w:pPr>
      <w:r>
        <w:rPr>
          <w:rFonts w:ascii="Times New Roman" w:cs="Times New Roman" w:eastAsia="Times New Roman" w:hAnsi="Times New Roman"/>
          <w:sz w:val="18"/>
          <w:szCs w:val="18"/>
          <w:color w:val="auto"/>
        </w:rPr>
        <w:t>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and marketing approval for a product candidate, our product candidates will remain subject to regulatory oversight.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receive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or our contractors fail to comply with applicable regulatory requirements following approval of CTI-1601, a regulatory authority may:</w:t>
      </w:r>
    </w:p>
    <w:p>
      <w:pPr>
        <w:spacing w:after="0" w:line="11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or untitled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voluntary product recalls;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NDA or comparable foreign marketing application (or any supplements thereto) submitted by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may inhibit our ability to commercialize CTI-1601, if approved, and adversely affect our business, financial condition, results of operations and prospects.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CTI-1601.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CTI-1601 in the United States, we may never receive regulatory approval to market CTI-1601 outside of the United States.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pursue marketing approval for CTI-1601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5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prevalence of FA is estimated to be approximately three times greater in the European Union than in the United States, and, therefore, represents our largest potential market for CTI-1601. Our future profitability will depend, in part, on our ability to commercialize CTI-1601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72"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a product candidate in foreign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may need to rely on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Sales in the European Union and other foreign markets of a product candidate could also be adversely affected by the imposition of governmental controls, political and economic instability, trade restrictions and changes in tariffs.</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CTI-1601, if approved, we may not be able to generate any revenue.</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CTI-1601, we may not achieve broad market acceptance, which would limit the revenue that we generate from our sales.</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CTI-1601, if developed and approved for marketing by the FDA or EMA or other applicable regulatory authorities, will depend upon the market size for, and the awareness and acceptance of CTI-1601 among the medical community, including physicians, patients, advocacy groups and healthcare payors. Market acceptance of CTI-1601, if approved, will depend on a number of factors, including, among others:</w:t>
      </w:r>
    </w:p>
    <w:p>
      <w:pPr>
        <w:spacing w:after="0" w:line="68"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number of patients with FA is lower than we believe;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subcutaneous injections as the necessary method of administration;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CTI-1601;</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CTI-1601 by the FDA, EMA, or other regulatory authorities, such as a “boxed” warning or if any approval that we obtain is based on a narrower definition of possible patient populations;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any competitive FA therapies approved or in development that have been or could be approved or commercially launched prior to approval of CTI-1601;</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acceptance of the cost and inconvenience associated with refrigerated storage for CTI-1601;</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acceptance;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political pressure on pharmaceutical pricing;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orphan drug pricing for affected patient groups;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changes in U.S. healthcare, including medical financial assistance or a transition to a single-payor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CTI-1601 through marketing efforts;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5" w:name="page56"/>
    <w:bookmarkEnd w:id="55"/>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patients to pay out-of-pocket in the absence of third-party coverage; and</w:t>
      </w:r>
    </w:p>
    <w:p>
      <w:pPr>
        <w:spacing w:after="0" w:line="117" w:lineRule="exact"/>
        <w:rPr>
          <w:rFonts w:ascii="Times New Roman" w:cs="Times New Roman" w:eastAsia="Times New Roman" w:hAnsi="Times New Roman"/>
          <w:sz w:val="18"/>
          <w:szCs w:val="18"/>
          <w:color w:val="auto"/>
        </w:rPr>
      </w:pPr>
    </w:p>
    <w:p>
      <w:pPr>
        <w:ind w:left="760" w:right="320" w:hanging="378"/>
        <w:spacing w:after="0" w:line="312" w:lineRule="auto"/>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3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CTI-1601 is approved but does not achieve an adequate level of acceptance by patients, advocacy groups, physicians and payors, we may not generate sufficient revenue from CTI-1601 to become or remain profitable and our business, financial condition and results of operations could be materially adversely affected. Our efforts to educate the medical community and third-party payors about the benefits of CTI-1601 may require significant resources and may never be successful.</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CTI-1601 or any potential product candidates, if approved. If we receive marketing approval for CTI-1601,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CTI-1601 or any potential product candidates, if approved, we could become subject to significant liability, which would materially adversely affect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competing technologies could emerge, adversely affecting our opportunity to generate revenue from the sale of CTI-1601, if approved.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For example, the FDA recently approved omaveloxolone for the treatment of FA in adults and adolescents aged 16 and older. CTI-1601 will compete with omaveloxolone and other new, future approved products and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CTI-1601 or any other potential product candidates, resulting in CTI-1601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designations or eligibility for expedited regulatory pathways, and to commercialize current and future product candidates. Given that we are still in a relatively early phase of development for CTI-1601, the recent approval and commercialization of omaveloxolone and the approval of any future competing technologies could provide competitors with a significant competitive advantage and may create an additional barrier to market acceptance of CTI-1601. If we are not able to compete effectively against our current and future competitors, our business will not grow and our financial condition and results of operations will be adversely affected.</w:t>
      </w:r>
    </w:p>
    <w:p>
      <w:pPr>
        <w:spacing w:after="0" w:line="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and may face increasing competition over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the European Union,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Affordable Care Act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CTI-1601, thereby adding barriers to access. This additional competition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7" w:name="page58"/>
    <w:bookmarkEnd w:id="57"/>
    <w:p>
      <w:pPr>
        <w:ind w:right="80"/>
        <w:spacing w:after="0" w:line="282" w:lineRule="auto"/>
        <w:rPr>
          <w:sz w:val="20"/>
          <w:szCs w:val="20"/>
          <w:color w:val="auto"/>
        </w:rPr>
      </w:pPr>
      <w:r>
        <w:rPr>
          <w:rFonts w:ascii="Times New Roman" w:cs="Times New Roman" w:eastAsia="Times New Roman" w:hAnsi="Times New Roman"/>
          <w:sz w:val="18"/>
          <w:szCs w:val="18"/>
          <w:color w:val="auto"/>
        </w:rPr>
        <w:t>allegations that they have been improperly solicited or that they have divulged proprietary or other confidential information, or that their former employers own their research output.</w:t>
      </w:r>
    </w:p>
    <w:p>
      <w:pPr>
        <w:spacing w:after="0" w:line="5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competition for talent, particularly with the limited number of individuals in our industry with the breadth of skills and experience required to successfully develop, gain regulatory approval of and commercialize products. In addition, a possible resurgence of vaccine resistant or more highly contagious or deadly variants of COVID-19 or other health epidemics may pose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spacing w:after="0" w:line="8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A possible resurgence of vaccine resistant, more contagious or more highly contagious variants of COVID-19 or other health epidemics may pose may also affect our ability to attract and successfully recruit these personnel, for one or more reasons.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8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Further, if we fail to expand and enhance our operational, financial and management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6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vendors, contractors or consultants, may fail or suffer security breaches, which could result in a material disruption of our product development programs.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The prevalent use of mobile devices that access confidential information also increases the risk of lost or stolen devices, security incidents and data security breaches, which could lead to the loss of confidential information or other intellectual property. Any system failure, accident or security breach that causes interruptions in our operations could result in a material disruption of our product development programs and business operations, in addition to possibly requiring substantial expenditures of resources to remedy. For example, the loss of clinical trial data from completed clinical trials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liabilities and the further development of our product candidates may be delayed. In addition, we may not have adequate insurance coverage to provide compensation for any losses associated with such events.</w:t>
      </w:r>
    </w:p>
    <w:p>
      <w:pPr>
        <w:spacing w:after="0" w:line="8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including personal information of our employees. In addition, outside parties may attempt to penetrate our systems or those of our vendors or fraudulently induce our employees or employees of our vendors to disclose sensitive information in order to gain access to our data. Like other companies, we may experience threats to our data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ind w:right="180"/>
        <w:spacing w:after="0" w:line="254" w:lineRule="auto"/>
        <w:rPr>
          <w:sz w:val="20"/>
          <w:szCs w:val="20"/>
          <w:color w:val="auto"/>
        </w:rPr>
      </w:pPr>
      <w:r>
        <w:rPr>
          <w:rFonts w:ascii="Times New Roman" w:cs="Times New Roman" w:eastAsia="Times New Roman" w:hAnsi="Times New Roman"/>
          <w:sz w:val="18"/>
          <w:szCs w:val="18"/>
          <w:color w:val="auto"/>
        </w:rPr>
        <w:t>systems, including malicious codes and viruses, and other cyber-attacks. The number and complexity of these threats continue to increase over time. If a material breach of our security or that of one or more of our vendors, contractors or consultants occurs, the market perception of the effectiveness of our security measures could be harmed, we could lose business and our reputation and credibility could be damaged, all of which would materially adversely affect our business, financial condition and results of operations. We could be required to expend significant amounts of money and other resources to repair or replace information systems or networks. Although we develop and maintain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6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6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5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development programs and the potential commercialization of our product candidates will require substantial additional cash to fund expenses. For CTI-1601, and any future product candidates, we may decide to collaborate with pharmaceutical and/or biotechnology companies for the development and potential commercialization of those product candidates in some or all markets.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for CTI-1601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if at all. If we do not have sufficient funds,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9" w:name="page60"/>
    <w:bookmarkEnd w:id="5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and/or other outbreaks of communicable diseases, which could significantly disrupt our operations and may materially and adversely affect our business and financial conditions.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a global health epidemics, such as, for example, a possible resurgence of vaccine resistant or more highly contagious or deadly variants of COVID-19 and the efforts to mitigate such outbreaks. Such global outbreaks of communicable diseases globally could materially and adversely impact our operations, including without limitation, our manufacturing and supply chain for CTI-1601 and our planned clinical trials, which have faced, and could continue to face, enrollment difficulties as hospitals or clinical trials sites experience closures. Because FA is a rare disease, there are a limited number of patients in close proximity to clinical trial sites and clinical trial patients travel from throughout the United States to clinical trial sites to participate. Any travel advisories or infection risks could present increased risks to patients traveling to a clinical trial site for dosing if clinical trials are allowed to continue.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Future pandemics could adversely affect global economies and financial markets resulting in an economic downturn that could have a material adverse effect on our business and prospects.</w:t>
      </w:r>
    </w:p>
    <w:p>
      <w:pPr>
        <w:spacing w:after="0" w:line="8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may operate has established its own data security and privacy frameworks with which we must comply. For example, the European Union’s General Data Protection Regulation 2016/679 ("EU GDPR"), the UK General Data Protection Regulation (“UK GDPR”, together with the EU GDPR, the “GDPR”) and UK Data Protection Act 2018, which impose strict obligations on the processing of personal data, including personal health data, and the free movement of such data. The GDPR applies to any company established in the European Economic Area/ United Kingdom ("EEA/UK") as well as any company outside the EEA/UK Union that processes personal data in connection with the offering of goods or services to individuals in the EEA/UK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strict rules and restrictions on the international transfers of personal data.</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GDPR prohibits the transfer of personal data to countries outside the EEA/UK, which are not considered by the European Commission and UK government as providing an “adequate” protection of personal data, including the United States, unless a valid GDPR transfer mechanism (for example, the European Commission approved Standard Contractual Clauses (“SCCs”) and the UK International Data Transfer Agreement/Addendum (“UK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 Although the UK is regarded as a third country under the EU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8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GDPR imposes additional obligations and risks upon our business and substantially increases the penalties to which we could be subject in the event of any non-compliance, including fines of up to €20 million or 4% of total worldwide annual revenue,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we are required to comply with the GDPR’s requirements, we will be required to spend significant time and resources to review our technologies, systems and practices, as well as those of any third-party service providers, contractors or consultants that process or transfer personal data collected in the EEA/UK.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fines and penalties against us, reputational harm and could have a material adverse effect on our business, financial condition or results of operations.</w:t>
      </w:r>
    </w:p>
    <w:p>
      <w:pPr>
        <w:spacing w:after="0" w:line="76"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supply chain cyber-attacks or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Companies have, in general, experienced an increase in phishing and social engineering attacks from third parties, and the increase in remote working further increases security threats. To the extent that any disruption or security incident were to result in any loss, destruction, unavailability, alteration, disclosure, or dissemination of, or damage or unauthorized access to,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1" w:name="page62"/>
    <w:bookmarkEnd w:id="61"/>
    <w:p>
      <w:pPr>
        <w:ind w:right="60"/>
        <w:spacing w:after="0" w:line="254" w:lineRule="auto"/>
        <w:rPr>
          <w:sz w:val="20"/>
          <w:szCs w:val="20"/>
          <w:color w:val="auto"/>
        </w:rPr>
      </w:pPr>
      <w:r>
        <w:rPr>
          <w:rFonts w:ascii="Times New Roman" w:cs="Times New Roman" w:eastAsia="Times New Roman" w:hAnsi="Times New Roman"/>
          <w:sz w:val="18"/>
          <w:szCs w:val="18"/>
          <w:color w:val="auto"/>
        </w:rPr>
        <w:t>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86"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use of CTI-1601 and other potential product candidates in clinical trials, if any, and the sale of CTI-1601 and other potential product candidates, if developed and approved, exposes us to the risk of product liability claims. Product liability claims might be brought against us by patients, healthcare providers or others selling or otherwise coming into contact with CTI-1601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84"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or clinical investigators from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CTI-1601 or our other potential product candidates following marketing approval, if obtained;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or ethics committees;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CTI-1601 or other potential product candidates, if approved.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CTI-1601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data management organizations and consultants to design, conduct, supervise and monitor our non-clinical studies and clinical trials. We and our CROs are required to comply with various regulations, including the FDA’s regulations regarding current Good Clinical Practices ("cGCPs")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 not control does not relieve us of these responsibilities and requirements. If we or any of our CROs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ensure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8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ind w:right="40"/>
        <w:spacing w:after="0" w:line="254" w:lineRule="auto"/>
        <w:rPr>
          <w:sz w:val="20"/>
          <w:szCs w:val="20"/>
          <w:color w:val="auto"/>
        </w:rPr>
      </w:pPr>
      <w:r>
        <w:rPr>
          <w:rFonts w:ascii="Times New Roman" w:cs="Times New Roman" w:eastAsia="Times New Roman" w:hAnsi="Times New Roman"/>
          <w:sz w:val="18"/>
          <w:szCs w:val="18"/>
          <w:color w:val="auto"/>
        </w:rPr>
        <w:t>non-clinical programs.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must, at times, share confidential information with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 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non-clinical and clinical study drug substance and drug product. We have not yet manufactured or formulated any product candidate on a commercial scale and may not be able to do so for any of our product candidates. We will work to develop and optimize our manufacturing process; however, we cannot be sure that the process will result in therapies that are safe, potent or effective.</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4" w:name="page65"/>
    <w:bookmarkEnd w:id="64"/>
    <w:p>
      <w:pPr>
        <w:ind w:right="80"/>
        <w:spacing w:after="0" w:line="254" w:lineRule="auto"/>
        <w:rPr>
          <w:sz w:val="20"/>
          <w:szCs w:val="20"/>
          <w:color w:val="auto"/>
        </w:rPr>
      </w:pPr>
      <w:r>
        <w:rPr>
          <w:rFonts w:ascii="Times New Roman" w:cs="Times New Roman" w:eastAsia="Times New Roman" w:hAnsi="Times New Roman"/>
          <w:sz w:val="18"/>
          <w:szCs w:val="18"/>
          <w:color w:val="auto"/>
        </w:rPr>
        <w:t>replacement of any product formulation manufacturer we may engage could require significant effort and expertise because there may be a limited number of qualified replacements. For example, we rely and expect to continue to rely on a small number of manufacturers to supply us with our requirements for drug substance and formulated drug product related to our CTI-1601 clinical program. The drug substance which is in frozen liquid form for CTI-1601 is currently manufactured for us by a third-party manufacturer, and the frozen liquid form of drug product is made at another manufacturer. We are undertaking a program with a third party manufacturer to begin to produce a lyophilized version of the drug product from the same drug substance, that, once available, we intend to use in certain of our future planned clinical trials. Our research and development programs could be adversely affected by a significant interruption in these manufacturing services or in the supply of drug substance and formulated drugs. In addition, because we rely on multiple manufacturers for our CTI-1601 clinical program, termination of our agreements with any of these manufacturers could significantly adversely impact our current and planned operations.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of our suppliers or manufacturers fails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also rely on third parties to store master and working cell banks. We currently have one master cell bank and one working cell bank for CTI-1601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financial condition and results of operations in a number of ways, including:</w:t>
      </w:r>
    </w:p>
    <w:p>
      <w:pPr>
        <w:spacing w:after="0" w:line="79"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 including termination or nonrenewal of the agreement at a time that is costly or inconvenient for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11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GLPs and cGMP regulations enforced by the FDA or other regulator through facilities inspection programs. The facilities and quality systems of some or all of our third party contractors must pass a pre-approval inspection for compliance with the applicable regulations as a condition of regulatory approval of CTI-1601 or any of our other potential products. In addition, the regulatory authorities may, at any time, audit or inspect a manufacturing facility involved with the preparation of CTI-1601 or our other potential products or the associated quality systems for compliance with the regulations applicable to the activities being conducted. If these facilities do not pass a pre-approval plant inspection, the FDA or other regulatory approval of the products will not be granted.</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 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or any of our third 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factors could also cause the delay of manufacturing development, clinical trials, regulatory submissions, required approvals or commercialization of CTI-1601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may result in additional costs and/or delays.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6" w:name="page67"/>
    <w:bookmarkEnd w:id="66"/>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indemnify our collaborators from any third 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consulting services.</w:t>
      </w:r>
    </w:p>
    <w:p>
      <w:pPr>
        <w:spacing w:after="0" w:line="81"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their applicable insurance coverage, and if the collaborator does not have other assets available to indemnify us, our business, financial condition and results of operations could be adversely affected.</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760" w:right="74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United States and other countries,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7" w:name="page68"/>
    <w:bookmarkEnd w:id="67"/>
    <w:p>
      <w:pPr>
        <w:ind w:right="300"/>
        <w:spacing w:after="0" w:line="282" w:lineRule="auto"/>
        <w:rPr>
          <w:sz w:val="20"/>
          <w:szCs w:val="20"/>
          <w:color w:val="auto"/>
        </w:rPr>
      </w:pPr>
      <w:r>
        <w:rPr>
          <w:rFonts w:ascii="Times New Roman" w:cs="Times New Roman" w:eastAsia="Times New Roman" w:hAnsi="Times New Roman"/>
          <w:sz w:val="18"/>
          <w:szCs w:val="18"/>
          <w:color w:val="auto"/>
        </w:rPr>
        <w:t>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54"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With respect to our patent portfolio, we in-license from WFUHS certain issued U.S. patents that relate to CTI-1601 and its use for treating FA. We also in-license from IU a United States patent and pending non-provisional applications in the United States and certain foreign countries that relate to the composition of CTI-1601 and methods of use, and certain U.S. patents relating to materials and methods of use relating to the development of CTI-1601.</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also own or co-own pending international and United States non-provisional applications and United States provisional applications relating to methods of use of CTI-1601, biomarkers and to our platform technology.</w:t>
      </w:r>
    </w:p>
    <w:p>
      <w:pPr>
        <w:spacing w:after="0" w:line="7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cannot provide any assurances that any of our pending patent applications that mature into issued patents will include claims with a scope sufficient to protect CTI-1601,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CTI-1601, and other potential product candidates.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7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75"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CTI-1601 are invalidated or found unenforceable, our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8" w:name="page69"/>
    <w:bookmarkEnd w:id="68"/>
    <w:p>
      <w:pPr>
        <w:ind w:right="340"/>
        <w:spacing w:after="0" w:line="282" w:lineRule="auto"/>
        <w:rPr>
          <w:sz w:val="20"/>
          <w:szCs w:val="20"/>
          <w:color w:val="auto"/>
        </w:rPr>
      </w:pPr>
      <w:r>
        <w:rPr>
          <w:rFonts w:ascii="Times New Roman" w:cs="Times New Roman" w:eastAsia="Times New Roman" w:hAnsi="Times New Roman"/>
          <w:sz w:val="18"/>
          <w:szCs w:val="18"/>
          <w:color w:val="auto"/>
        </w:rPr>
        <w:t>position and results of operations would be materially and adversely impacted. In addition, if a court found that valid, enforceable patents held by third parties covered CTI-1601, our financial position and results of operations would also be materially and adversely impacted.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760" w:right="14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CTI-1601 or any other products or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and, if approved, commercialize CTI-1601 before our relevant patents expire;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of others.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CTI-1601 or potential future product candidates, third parties could compete against us more directly, which would have a material adverse impact on our business, results of operations, financial condition and prospects.</w:t>
      </w:r>
    </w:p>
    <w:p>
      <w:pPr>
        <w:spacing w:after="0" w:line="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key patent, which we license relates to CTI-1601 will expire in 2040 and we will lose our ability to rely upon this patent to prevent competing products from entering the market, which may impair our ability to generate revenue.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in-licensed certain patents relating to CTI-1601 from WFUHS. The U.S. patents relating to CTI-1601 and its use for the treatment of FA expire in 2024 and 2025, respectively. When these patents expire, we will be unable to use these patents to try to block others from marketing CTI-1601 in the United States We have also in-licensed an issued United State patent and pending non-provisional United States patent applications in the United States and certain foreign countries relating to the composition of CTI-1601 and methods of use from IU. This United States patent will expire in 2040 at the earliest. Pending applications if issued as patents, would also expire in 2040 at the earliest.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CTI-1601 in the United States.</w:t>
      </w:r>
    </w:p>
    <w:p>
      <w:pPr>
        <w:spacing w:after="0" w:line="8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own a certain United States provisional application and certain United States and foreign non-provisional applications relating to our platform technology which, if issued as patents, would be expected to expire in 2041-2043. The provisional application may not be timely converted into a non-provisional application, and we cannot predict whether these provisional applications and non-provisional patent applications will issue as patents in any particular jurisdiction, or whether the claims of any issued patents will provide sufficient protection from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9" w:name="page70"/>
    <w:bookmarkEnd w:id="69"/>
    <w:p>
      <w:pPr>
        <w:ind w:right="200"/>
        <w:spacing w:after="0" w:line="282" w:lineRule="auto"/>
        <w:rPr>
          <w:sz w:val="20"/>
          <w:szCs w:val="20"/>
          <w:color w:val="auto"/>
        </w:rPr>
      </w:pPr>
      <w:r>
        <w:rPr>
          <w:rFonts w:ascii="Times New Roman" w:cs="Times New Roman" w:eastAsia="Times New Roman" w:hAnsi="Times New Roman"/>
          <w:sz w:val="18"/>
          <w:szCs w:val="18"/>
          <w:color w:val="auto"/>
        </w:rPr>
        <w:t>competitors or third parties for potential product candidates. When these various patents expire, we will be unable to use the patents to try to block others from marketing products pertaining to our platform technology.</w:t>
      </w:r>
    </w:p>
    <w:p>
      <w:pPr>
        <w:spacing w:after="0" w:line="54"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68"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28"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may increase the costs of commercializing CTI-1601 or other potential product candidates, if approved.</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Third parties may allege that CTI-1601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 party intellectual property by our product candidates.</w:t>
      </w:r>
    </w:p>
    <w:p>
      <w:pPr>
        <w:spacing w:after="0" w:line="8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addition, if any such claim were successfully asserted against us and we could not obtain such a license, we may be forced to stop or delay developing, manufacturing, selling or otherwise commercializing CTI-1601.</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7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CTI-1601;</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preparations or development of our other potential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ind w:right="40"/>
        <w:spacing w:after="0" w:line="266" w:lineRule="auto"/>
        <w:rPr>
          <w:sz w:val="20"/>
          <w:szCs w:val="20"/>
          <w:color w:val="auto"/>
        </w:rPr>
      </w:pPr>
      <w:r>
        <w:rPr>
          <w:rFonts w:ascii="Times New Roman" w:cs="Times New Roman" w:eastAsia="Times New Roman" w:hAnsi="Times New Roman"/>
          <w:sz w:val="18"/>
          <w:szCs w:val="18"/>
          <w:color w:val="auto"/>
        </w:rPr>
        <w:t>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6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79"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8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1" w:name="page72"/>
    <w:bookmarkEnd w:id="71"/>
    <w:p>
      <w:pPr>
        <w:ind w:right="20"/>
        <w:spacing w:after="0" w:line="261" w:lineRule="auto"/>
        <w:rPr>
          <w:sz w:val="20"/>
          <w:szCs w:val="20"/>
          <w:color w:val="auto"/>
        </w:rPr>
      </w:pPr>
      <w:r>
        <w:rPr>
          <w:rFonts w:ascii="Times New Roman" w:cs="Times New Roman" w:eastAsia="Times New Roman" w:hAnsi="Times New Roman"/>
          <w:sz w:val="18"/>
          <w:szCs w:val="18"/>
          <w:color w:val="auto"/>
        </w:rPr>
        <w:t>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for CTI-1601. If we were to lose our rights to licensed intellectual property, we may not be able to continue developing or commercializing CTI-1601, if approved.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exclusive license with WFUHS, pursuant to which we exclusively license certain patent rights relating to the TAT-frataxin fusion protein and its use, on a worldwide basis. We have an exclusive license with IU, pursuant to which we exclusively license certain patent rights relating to CTI-1601 and its use for the treatment of mitochondrial diseases, on a worldwide basis.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CTI-1601.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CTI-1601, which could have a material adverse effect on our business, financial conditions, results of operations, and prospects.</w:t>
      </w:r>
    </w:p>
    <w:p>
      <w:pPr>
        <w:spacing w:after="0" w:line="7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in-licensed patent rights from WFUHS and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8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CTI-1601 or other potential product candidates and failure to secure such registrations could adversely affect our business, financial condition and results of operations.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not yet registered trademarks for a commercial trade name for CTI-1601 or other potential product candidates. Any future trademark applications may be rejected during trademark registration proceedings. Although we would be given an opportunity to respond to those rejections, we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5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CTI-1601, our business may be materially harmed.</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development and FDA marketing approval of CTI-1601 or our other potential product candidates, one or more of our U.S. patents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which may adversely affect our position in the market, business, financial condition and results of operations.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September 2011, brought significant changes to the U.S. patent law system. These include provisions that affect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4" w:name="page75"/>
    <w:bookmarkEnd w:id="74"/>
    <w:p>
      <w:pPr>
        <w:ind w:right="120"/>
        <w:spacing w:after="0" w:line="258" w:lineRule="auto"/>
        <w:rPr>
          <w:sz w:val="20"/>
          <w:szCs w:val="20"/>
          <w:color w:val="auto"/>
        </w:rPr>
      </w:pPr>
      <w:r>
        <w:rPr>
          <w:rFonts w:ascii="Times New Roman" w:cs="Times New Roman" w:eastAsia="Times New Roman" w:hAnsi="Times New Roman"/>
          <w:sz w:val="18"/>
          <w:szCs w:val="18"/>
          <w:color w:val="auto"/>
        </w:rPr>
        <w:t>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develop and commercialize CTI-1601 or our other potential product candidates, which would materially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highly volatile, and purchasers of our common stock could incur substantial losses.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68"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CTI-1601 or any of our future product candidates, including any delays related to a resurgence of COVID-19 or other health crises;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unrest including the potential impact of the war in Ukraine and the possibility that the conflict could expand beyond eastern Europe,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17"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CTI-1601 or any of our future product candidates, if approved for marketing and commercialization, to achieve commercial success;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17"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 (including the potential failure of the United States Congress to raise the debt ceiling);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is no guarantee that our common stock will appreciate or even maintain the price at which our holders have purchased it. Therefore, there is a risk that investors may lose all or part of their investment in our securities.</w:t>
      </w:r>
    </w:p>
    <w:p>
      <w:pPr>
        <w:spacing w:after="0" w:line="54"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3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w:t>
      </w:r>
    </w:p>
    <w:p>
      <w:pPr>
        <w:spacing w:after="0" w:line="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our business and reputation may be harmed and our stock price may decline. Furthermore, investor perceptions of us may be adversely affected, which could cause a decline in the market price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highly concentrated, and it may prevent other stockholders from influencing significant corporate decisions.</w:t>
      </w:r>
    </w:p>
    <w:p>
      <w:pPr>
        <w:spacing w:after="0" w:line="121"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Entities affiliated with Deerfield Management Company beneficially own or control approximately 38.6% of our outstanding common stock (assuming full exercise of our outstanding pre-funded warrants and no exercise of outstanding options) as of December 31, 2022,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ind w:right="280"/>
        <w:spacing w:after="0" w:line="282" w:lineRule="auto"/>
        <w:rPr>
          <w:sz w:val="20"/>
          <w:szCs w:val="20"/>
          <w:color w:val="auto"/>
        </w:rPr>
      </w:pPr>
      <w:r>
        <w:rPr>
          <w:rFonts w:ascii="Times New Roman" w:cs="Times New Roman" w:eastAsia="Times New Roman" w:hAnsi="Times New Roman"/>
          <w:sz w:val="18"/>
          <w:szCs w:val="18"/>
          <w:color w:val="auto"/>
        </w:rPr>
        <w:t>transaction. These stockholders also may exert influence in delaying or preventing a change in control of the combined company, even if such change in control would benefit our other stockholders.</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Exchange Act of 1934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Stock Market LLC could result in a delisting of our Common Stock.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shares of common stock when they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obligations of being a public company in the United States require significant expenditures and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ind w:right="240"/>
        <w:spacing w:after="0" w:line="258" w:lineRule="auto"/>
        <w:rPr>
          <w:sz w:val="20"/>
          <w:szCs w:val="20"/>
          <w:color w:val="auto"/>
        </w:rPr>
      </w:pPr>
      <w:r>
        <w:rPr>
          <w:rFonts w:ascii="Times New Roman" w:cs="Times New Roman" w:eastAsia="Times New Roman" w:hAnsi="Times New Roman"/>
          <w:sz w:val="18"/>
          <w:szCs w:val="18"/>
          <w:color w:val="auto"/>
        </w:rPr>
        <w:t>Street Reform and Consumer Protection Act of 2010 (the "Dodd-Frank Act") and the listing requirements of Nasdaq on which our securities are listed. These rules require the maintenance of effective disclosure and financial controls and procedures, internal control over financial reporting and strong corporate governance practices, among many other complex rules that are often difficult to implement, monitor and maintain compliance with. Our management and other personnel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7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geopolitical events and general conditions in the global financial markets. A severe or prolonged economic downturn due to geopolitical unrest resulting from the Russian invasion of Ukraine, the possibility that the conflict could expand beyond eastern Europe as well as the impact of the resurgence of more vaccine resistant or more highly contagious variants of COVID-19 or other health crises, or other factors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ind w:right="360"/>
        <w:spacing w:after="0" w:line="261" w:lineRule="auto"/>
        <w:rPr>
          <w:sz w:val="20"/>
          <w:szCs w:val="20"/>
          <w:color w:val="auto"/>
        </w:rPr>
      </w:pPr>
      <w:r>
        <w:rPr>
          <w:rFonts w:ascii="Times New Roman" w:cs="Times New Roman" w:eastAsia="Times New Roman" w:hAnsi="Times New Roman"/>
          <w:sz w:val="18"/>
          <w:szCs w:val="18"/>
          <w:color w:val="auto"/>
        </w:rPr>
        <w:t>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52"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lease office and laboratory space, which consists of approximately 5,000 square feet and 1,750 square feet located in Bala Cynwyd, PA and Philadelphia, PA, respectively. Our office lease expires in August 2023 with an option to extend the lease for an additional three years, and our laboratory lease expires in December 2023.</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operating lease for approximately 17,705 square feet of office space in Boston, Massachusetts, which we refer to as the Boston Lease. The Boston Lease expires in October 2029. On October 27, 2020, we entered into a sublease agreement whereby we subleased all 17,705 square feet of office space leased under the Boston Lease until October 2029.</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believe that we will need to increase our lease space in the near and intermediate term. We believe that both appropriate office and laboratory space will be readily available on commercially reasonable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publicly traded on the Nasdaq Global Market under the symbol “LRMR.”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14, 2023, we had approximately 24 record holders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declared or paid any dividends since our inception nor do we expect to pay dividends in the foreseeable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have been no sales of unregistered securities other than as previously disclosed by us in our Current Reports on Form 8-K as filed with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CPP technology platform. Our lead product candidate, CTI-1601, is a subcutaneously administered, recombinant fusion protein intended to deliver FXN, an essential protein, to the mitochondria of patients with FA. FA is a rare, progressive, and fatal disease in which patients are unable to produce sufficient FXN due to a genetic abnormality. Currently, there are no treatment options that address the core deficit of FA, low levels of FXN. CTI-1601 represents the first potential therapy designed to increase FXN levels in patients with FA.</w:t>
      </w:r>
    </w:p>
    <w:p>
      <w:pPr>
        <w:spacing w:after="0" w:line="75"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We have completed two Phase 1 clinical trials in patients with FA. We have also received an orphan drug designation, fast track designation and rare pediatric disease designation, from the FDA for CTI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1601. In addition, we received orphan designation for CTI-1601 from the European Commission and a PRIME designation from the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CTI-1601 Program Update</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May 2021, we reported positive top-line data from our Phase 1 FA program after completing dosing of the SAD trial in December 2020 and of the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SAEs associated with either the MAD or SAD trials.</w:t>
      </w:r>
    </w:p>
    <w:p>
      <w:pPr>
        <w:spacing w:after="0" w:line="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Also in May 2021, the FDA placed a clinical hold on our CTI-1601 clinical program after we notified the agency of mortalities at the highest dose levels of the 26-week NHP toxicology study that was designed to support extended dosing of patients with CTI-1601. At the time the hold was placed, we had no interventional clinical trials with patients enrolling or enrolled.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2022, in response to the complete response we submitted to the FDA, the FDA stated that it was maintaining the clinical hold and that additional data were needed to resolve the clinical hold. We subsequently submitted a request to the FDA for a Type C meeting, which was granted and was held in July 2022. We submitted a complete response incorporating additional information requested by the FDA at the meeting as well as information on the proposed study in August 2022.</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the Company's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PD and PK profiles to provide information about the preferred long-term dose and dose regimen.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Financing Activities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and, prior to the 2020 merger with Zafgen, capital contributions from Chondrial Holdings, LLC.</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2020, we entered into an Equity Distribution Agreement (the "Prior ATM Agreement") with an investment bank in connection with the establishment of an “at-the-market” offering program providing for the sale of up to an aggregate of $50.0 million of shares of our common stock from time to time through the investment bank as sales agent.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2021, we sold 2,342,720 shares under the Prior ATM agreement for net proceeds of $19.9 million, after issuance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2022, we sold 25,558,750 shares of common stock in an underwritten offering for net proceeds of $75.2 million, after issuance costs.</w:t>
      </w:r>
    </w:p>
    <w:p>
      <w:pPr>
        <w:spacing w:after="0" w:line="1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Prior ATM Agreement was terminated and we entered into a new Sales Agreement (the "ATM Agreement") with another investment bank in connection with the establishment of an “at-the-market” offering program providing for the sale of up to an aggregate of $50.0 million of shares of our common stock from time to time through this investment bank as sales agent.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COVID-19 pandemic that began late in 2019 caused a four-month temporary stoppage of our trials with patients with FA in early 2020. Both of our SAD and MAD clinical trials were subsequently completed in 2021. While COVID-19 has had no significant impact to date on our 25 mg cohort of its dose exploration study, the risk of a resurgence of future vaccine resistant variants of COVID-19 and or other infectious diseases remains. In the future, the COVID-19 pandemic and responsive measures thereto may result in negative impacts on us, including possible delays in our clinical and regulatory activities. We cannot be certain what the overall impact of a resurgence of the COVID-19 pandemic or other health crisis would be on our business and it has the potential to materially adversely affect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audited consolidated financial statements are prepared in accordance with GAAP. The preparation of our audited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audited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judgement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We measure all stock-based awards granted to employees, non-employee consultants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w:t>
      </w:r>
    </w:p>
    <w:p>
      <w:pPr>
        <w:spacing w:after="0" w:line="6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within the life sciences/biotechnology sector with comparable characteristics including enterprise value, risk profiles and position within the industry.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adequate historical data regarding the volatility of our own traded stock price.</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2"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FDA's or other regulatory authority's on our clinical trial design and timing;</w:t>
      </w:r>
    </w:p>
    <w:p>
      <w:pPr>
        <w:spacing w:after="0" w:line="11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COVID-19 including the mutations of the original virus that may prove more contagious and deadly;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85" w:name="page86"/>
    <w:bookmarkEnd w:id="85"/>
    <w:p>
      <w:pPr>
        <w:ind w:right="1800"/>
        <w:spacing w:after="0" w:line="375" w:lineRule="auto"/>
        <w:rPr>
          <w:sz w:val="20"/>
          <w:szCs w:val="20"/>
          <w:color w:val="auto"/>
        </w:rPr>
      </w:pPr>
      <w:r>
        <w:rPr>
          <w:rFonts w:ascii="Times New Roman" w:cs="Times New Roman" w:eastAsia="Times New Roman" w:hAnsi="Times New Roman"/>
          <w:sz w:val="18"/>
          <w:szCs w:val="18"/>
          <w:color w:val="auto"/>
        </w:rPr>
        <w:t xml:space="preserve">as we hire additional employees to implement, improve and scale our operational, financial, commercial and management systems. </w:t>
      </w:r>
      <w:r>
        <w:rPr>
          <w:rFonts w:ascii="Times New Roman" w:cs="Times New Roman" w:eastAsia="Times New Roman" w:hAnsi="Times New Roman"/>
          <w:sz w:val="18"/>
          <w:szCs w:val="18"/>
          <w:b w:val="1"/>
          <w:bCs w:val="1"/>
          <w:color w:val="auto"/>
        </w:rPr>
        <w:t>Results of Operations</w:t>
      </w:r>
    </w:p>
    <w:p>
      <w:pPr>
        <w:spacing w:after="0" w:line="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commentary is a discussion and analysis of our financial condition as of December 31, 2022 and results of operations and cash flows for the year ended December 31, 2022 compared to the year ended December 31, 2021 and should be read in conjunction with the consolidated financial statements and accompanying notes.</w:t>
      </w:r>
    </w:p>
    <w:p>
      <w:pPr>
        <w:spacing w:after="0" w:line="68"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discussion and analysis of our financial condition as of December 31, 2021, and results of operations and cash flows for the year ended December 31, 2021, compared to the year ended December 31, 2020, is included in item 7, Management’s Discussion and Analysis of Financial and Results of Operations of our Annual Report on Form 10-K for the year ended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33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66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(14,146 )</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r>
        <w:trPr>
          <w:trHeight w:val="23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(36,526 )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(50,465 )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(171 )</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FF0FC"/>
          </w:tcPr>
          <w:p>
            <w:pPr>
              <w:spacing w:after="0"/>
              <w:rPr>
                <w:sz w:val="21"/>
                <w:szCs w:val="2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(35,355 )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(50,636 )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-505460</wp:posOffset>
            </wp:positionV>
            <wp:extent cx="7747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-505460</wp:posOffset>
            </wp:positionV>
            <wp:extent cx="6858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twelve months ended December 31, 2022 decreased $14.1 million compared to the twelve months ended December 31, 2021. The decrease in research and development expenses was primarily driven by a decrease of $9.5 million in drug manufacturing costs, a decrease of $3.7 million in nonclinical development costs, a decrease of $1.6 million in clinical expense, a decrease of $0.9 million in consulting expenditures, and a decrease of $0.7 million in internal lab costs. These decreases were partially offset by an increase of $1.2 million in personnel expense, an increase of $0.7 million in non-cash, stock-based compensation expense associated with stock option grants made in 2021 and 2022 and an increase of $0.3 million in royalty fees associated with the milestone achieved in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twelve months ended December 31, 2022 increased $0.2 million compared to the twelve months ended December 31, 2021. The increase in general and administrative expense was primarily driven by an increase of $0.5 million in stock-based compensation expense associated with stock option grants made in 2021 and 2022 and an increase of $0.5 million in personnel expense, partially offset by a decrease of $0.6 million in operational costs primarily related to technology and recruiting services and a decrease of $0.2 million in professional fees primarily associated with legal and consulting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w w:val="99"/>
              </w:rPr>
              <w:t>(27,569 )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(42,105 )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w w:val="99"/>
              </w:rPr>
              <w:t>(90,960 )</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75,257</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w w:val="99"/>
              </w:rPr>
              <w:t>(43,272 )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$27.6 million of cash, resulting from our net loss of $35.4 million, adjusted for noncash expenses of $6.1 million, and changes in our operating assets and liabilities of resulting in a source of cash of $1.7 million. Our net loss was primarily attributed to operating expenses of $36.5 million. The change in operating assets and liabilities was primarily due to an increase in accrued expenses due to the growth in our operating activities following the partial release of the clinical hold in late 2022.</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$42.1 million of cash, resulting from our net loss of $50.6 million, adjusted for noncash expenses of $5.8 million, and changes in our operating assets and liabilities resulting in a use of cash of $2.7 million. Our net loss was primarily attributed to operating expenses of $50.5 million. The change in operating assets and liabilities was primarily due to a decrease in prepaid expenses due to the recognition of expense of amounts previously paid, an increase in accrued expenses due to the growth in our operating activities, partially offset by a decrease in accounts payable due to the timing of invoice processing.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investing activities used $91.0 million of net cash, resulting from purchases of $133.6 million in marketable securities, which was offset by $42.8 million of maturities and sales of marketable securities.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investing activities provided $24.2 million of net cash, resulting from $32.8 million representing maturities and sales of marketable securities, which was offset by purchases of $8.2 million in marketable securities and $0.3 million used for the purchase of equipment.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financing activities provided $75.3 million of cash from sale of common stock in an underwritten public offering, net of issuance costs.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financing activities provided $19.9 million of cash from the sale of common stock under the Prior ATM Agreement, net of issuance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$35.4 million and $50.6 million for the twelve months ended December 31, 2022 and 2021, respectively. As of December 31, 2022, we had an accumulated deficit of $151.6 million and a cash and cash equivalents balance of $118.4 million, excluding restricted cash of $1.3 million.</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CTI-1601 through additional clinical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information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based on our current operating plan our cash, cash equivalents and marketable securities will be able fund operating expenses and capital expenditure requirements for at least the next twelve months from the filing of these financial statements with the SEC.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including a more widespread impact of the Russian invasion of Ukraine, the possibility that the conflict could expand beyond eastern Europe, the impact of a possible resurgence of vaccine resistant, more deadly or more contagious variants of COVID-19 and/or the potential impact of other health crises, recent liquidity constraints, failures and instability in U.S. and international financial banking systems as well as the impact of inflation or the federal government's failure to raise the debt ceiling on the global financial markets may reduce our ability to access capital, which could negatively affect our liquidity and ability to continue as a going concern.</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audited consolidated financial statements included in Part IV, Item 15, of this Annual Report for a description of recent accounting pronouncements applicable to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229"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60" w:right="3900" w:firstLine="46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audited consolidated financial statements and the report of our independent registered public accounting firm are included in this Annual Report on Form 10-K on the pages indicated in Part IV, Item 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With respect to the year ended December 31, 2022,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2022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December 31, 2022,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of Form 10-K is incorporated by reference to the information contained in our definitive proxy statement for the 2023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to the information contained in our definitive proxy statement for the 2023 annual meeting of stockholders.</w:t>
      </w:r>
    </w:p>
    <w:p>
      <w:pPr>
        <w:spacing w:after="0" w:line="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to the information contained in our definitive proxy statement for the 2023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to the information contained in our definitive proxy statement for the 2023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accounting firm is PricewaterhouseCoopers LLP, Philadelphia, Pennsylvania, USA, PCAOB Auditor ID: 238.</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to the information contained in our definitive proxy statement for the 2023 annual meeting of stockholders.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91" w:name="page92"/>
    <w:bookmarkEnd w:id="9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 of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right="2100" w:firstLine="509"/>
        <w:spacing w:after="0" w:line="375" w:lineRule="auto"/>
        <w:rPr>
          <w:sz w:val="20"/>
          <w:szCs w:val="20"/>
          <w:color w:val="auto"/>
        </w:rPr>
      </w:pPr>
      <w:r>
        <w:rPr>
          <w:rFonts w:ascii="Times New Roman" w:cs="Times New Roman" w:eastAsia="Times New Roman" w:hAnsi="Times New Roman"/>
          <w:sz w:val="18"/>
          <w:szCs w:val="18"/>
          <w:color w:val="auto"/>
        </w:rPr>
        <w:t>None, as all information required in these schedules is included in the Notes to the Consolidated Financial Statements. 3. Exhibits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Reference is made to the Exhibit Index below for a list of exhibits required by Item 601 of Regulation S-K to be filed as part of this Annual Report.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w:t>
      </w:r>
    </w:p>
    <w:p>
      <w:pPr>
        <w:spacing w:after="0" w:line="9" w:lineRule="exact"/>
        <w:rPr>
          <w:sz w:val="20"/>
          <w:szCs w:val="20"/>
          <w:color w:val="auto"/>
        </w:rPr>
      </w:pPr>
    </w:p>
    <w:p>
      <w:pPr>
        <w:ind w:right="220" w:firstLine="8"/>
        <w:spacing w:after="0" w:line="255"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07" w:lineRule="exact"/>
        <w:rPr>
          <w:sz w:val="20"/>
          <w:szCs w:val="20"/>
          <w:color w:val="auto"/>
        </w:rPr>
      </w:pPr>
    </w:p>
    <w:p>
      <w:pPr>
        <w:ind w:left="1240"/>
        <w:spacing w:after="0"/>
        <w:tabs>
          <w:tab w:leader="none" w:pos="64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8" w:lineRule="exact"/>
        <w:rPr>
          <w:sz w:val="20"/>
          <w:szCs w:val="20"/>
          <w:color w:val="auto"/>
        </w:rPr>
      </w:pPr>
    </w:p>
    <w:p>
      <w:pPr>
        <w:ind w:left="2080" w:right="360" w:hanging="355"/>
        <w:spacing w:after="0" w:line="257"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2.1</w:t>
      </w:r>
      <w:r>
        <w:rPr>
          <w:sz w:val="20"/>
          <w:szCs w:val="20"/>
          <w:color w:val="auto"/>
        </w:rPr>
        <w:tab/>
      </w:r>
      <w:hyperlink r:id="rId125">
        <w:r>
          <w:rPr>
            <w:rFonts w:ascii="Times New Roman" w:cs="Times New Roman" w:eastAsia="Times New Roman" w:hAnsi="Times New Roman"/>
            <w:sz w:val="18"/>
            <w:szCs w:val="18"/>
            <w:u w:val="single" w:color="auto"/>
            <w:color w:val="0000FF"/>
          </w:rPr>
          <w:t>Agreement and Plan of Merger, dated as of December 17, 2019, by and among Zafgen, Inc., Chondrial Therapeutics, Inc.,</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Chondrial Therapeutics Holdings, LLC, and Zordich Merger Sub, Inc. (incorporated by reference to Exhibit 2.1 of the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Company’s Current Report on Form 8-K filed on December 18,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6026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0260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4235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42353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3236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ind w:left="2080" w:hanging="355"/>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2.2</w:t>
      </w:r>
      <w:r>
        <w:rPr>
          <w:sz w:val="20"/>
          <w:szCs w:val="20"/>
          <w:color w:val="auto"/>
        </w:rPr>
        <w:tab/>
      </w:r>
      <w:hyperlink r:id="rId129">
        <w:r>
          <w:rPr>
            <w:rFonts w:ascii="Times New Roman" w:cs="Times New Roman" w:eastAsia="Times New Roman" w:hAnsi="Times New Roman"/>
            <w:sz w:val="18"/>
            <w:szCs w:val="18"/>
            <w:u w:val="single" w:color="auto"/>
            <w:color w:val="0000FF"/>
          </w:rPr>
          <w:t>Amendment No. 1 to Agreement and Plan of Merger, dated as of March 6, 2020, by and among Zafgen, Inc., Chondrial</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Therapeutics, Inc., Chondrial Therapeutics Holdings, LLC, and Zordich Merger Sub, Inc. (incorporated by reference to Exhibit</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2.1 of the Company’s Current Report on Form 8-K filed on March 6,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488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48894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8159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34715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ind w:left="2080" w:right="400" w:hanging="355"/>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133">
        <w:r>
          <w:rPr>
            <w:rFonts w:ascii="Times New Roman" w:cs="Times New Roman" w:eastAsia="Times New Roman" w:hAnsi="Times New Roman"/>
            <w:sz w:val="18"/>
            <w:szCs w:val="18"/>
            <w:u w:val="single" w:color="auto"/>
            <w:color w:val="0000FF"/>
          </w:rPr>
          <w:t>Ninth Amend</w:t>
        </w:r>
        <w:r>
          <w:rPr>
            <w:rFonts w:ascii="Times New Roman" w:cs="Times New Roman" w:eastAsia="Times New Roman" w:hAnsi="Times New Roman"/>
            <w:sz w:val="18"/>
            <w:szCs w:val="18"/>
            <w:u w:val="single" w:color="auto"/>
            <w:color w:val="0000CC"/>
          </w:rPr>
          <w:t>ed</w:t>
        </w:r>
        <w:r>
          <w:rPr>
            <w:rFonts w:ascii="Times New Roman" w:cs="Times New Roman" w:eastAsia="Times New Roman" w:hAnsi="Times New Roman"/>
            <w:sz w:val="18"/>
            <w:szCs w:val="18"/>
            <w:u w:val="single" w:color="auto"/>
            <w:color w:val="0000FF"/>
          </w:rPr>
          <w:t xml:space="preserve"> and Restated Certificate of Incorporation of Larimar Therapeutics, Inc. (formerly known as Zafgen, Inc.)</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(incorporated by reference to Exhibit 3.1 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-159385</wp:posOffset>
            </wp:positionV>
            <wp:extent cx="55835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558355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51625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5162550" cy="8255"/>
                    </a:xfrm>
                    <a:prstGeom prst="rect">
                      <a:avLst/>
                    </a:prstGeom>
                    <a:noFill/>
                  </pic:spPr>
                </pic:pic>
              </a:graphicData>
            </a:graphic>
          </wp:anchor>
        </w:drawing>
      </w:r>
    </w:p>
    <w:p>
      <w:pPr>
        <w:ind w:left="2080" w:right="20" w:hanging="355"/>
        <w:spacing w:after="0" w:line="250" w:lineRule="auto"/>
        <w:tabs>
          <w:tab w:leader="none" w:pos="2060" w:val="left"/>
        </w:tabs>
        <w:rPr>
          <w:rFonts w:ascii="Times New Roman" w:cs="Times New Roman" w:eastAsia="Times New Roman" w:hAnsi="Times New Roman"/>
          <w:sz w:val="18"/>
          <w:szCs w:val="18"/>
          <w:u w:val="single" w:color="auto"/>
          <w:color w:val="0000CC"/>
        </w:rPr>
      </w:pPr>
      <w:r>
        <w:rPr>
          <w:rFonts w:ascii="Times New Roman" w:cs="Times New Roman" w:eastAsia="Times New Roman" w:hAnsi="Times New Roman"/>
          <w:sz w:val="17"/>
          <w:szCs w:val="17"/>
          <w:color w:val="auto"/>
        </w:rPr>
        <w:t>3.2</w:t>
      </w:r>
      <w:r>
        <w:rPr>
          <w:sz w:val="20"/>
          <w:szCs w:val="20"/>
          <w:color w:val="auto"/>
        </w:rPr>
        <w:tab/>
      </w:r>
      <w:hyperlink r:id="rId136">
        <w:r>
          <w:rPr>
            <w:rFonts w:ascii="Times New Roman" w:cs="Times New Roman" w:eastAsia="Times New Roman" w:hAnsi="Times New Roman"/>
            <w:sz w:val="18"/>
            <w:szCs w:val="18"/>
            <w:u w:val="single" w:color="auto"/>
            <w:color w:val="0000CC"/>
          </w:rPr>
          <w:t>Certificate of Amendment of Ninth Amended and Restated Certificate of Incorporation of Zafgen, Inc. related to the Reverse</w:t>
        </w:r>
      </w:hyperlink>
      <w:r>
        <w:rPr>
          <w:rFonts w:ascii="Times New Roman" w:cs="Times New Roman" w:eastAsia="Times New Roman" w:hAnsi="Times New Roman"/>
          <w:sz w:val="18"/>
          <w:szCs w:val="18"/>
          <w:u w:val="single" w:color="auto"/>
          <w:color w:val="0000CC"/>
        </w:rPr>
        <w:t xml:space="preserve"> </w:t>
      </w:r>
      <w:hyperlink r:id="rId136">
        <w:r>
          <w:rPr>
            <w:rFonts w:ascii="Times New Roman" w:cs="Times New Roman" w:eastAsia="Times New Roman" w:hAnsi="Times New Roman"/>
            <w:sz w:val="18"/>
            <w:szCs w:val="18"/>
            <w:u w:val="single" w:color="auto"/>
            <w:color w:val="0000CC"/>
          </w:rPr>
          <w:t>Stock Split, dated May 28, 2020 (incorporated by reference to Exhibit 3.1 of the Company’s Current Report on Form 8-K filed</w:t>
        </w:r>
      </w:hyperlink>
      <w:r>
        <w:rPr>
          <w:rFonts w:ascii="Times New Roman" w:cs="Times New Roman" w:eastAsia="Times New Roman" w:hAnsi="Times New Roman"/>
          <w:sz w:val="18"/>
          <w:szCs w:val="18"/>
          <w:u w:val="single" w:color="auto"/>
          <w:color w:val="0000CC"/>
        </w:rPr>
        <w:t xml:space="preserve"> </w:t>
      </w:r>
      <w:hyperlink r:id="rId136">
        <w:r>
          <w:rPr>
            <w:rFonts w:ascii="Times New Roman" w:cs="Times New Roman" w:eastAsia="Times New Roman" w:hAnsi="Times New Roman"/>
            <w:sz w:val="18"/>
            <w:szCs w:val="18"/>
            <w:u w:val="single" w:color="auto"/>
            <w:color w:val="0000CC"/>
          </w:rPr>
          <w:t>on June 2, 2020).</w:t>
        </w:r>
      </w:hyperlink>
    </w:p>
    <w:p>
      <w:pPr>
        <w:spacing w:after="0" w:line="20" w:lineRule="exact"/>
        <w:rPr>
          <w:rFonts w:ascii="Times New Roman" w:cs="Times New Roman" w:eastAsia="Times New Roman" w:hAnsi="Times New Roman"/>
          <w:sz w:val="18"/>
          <w:szCs w:val="18"/>
          <w:u w:val="single" w:color="auto"/>
          <w:color w:val="0000CC"/>
        </w:rPr>
      </w:pPr>
      <w:r>
        <w:rPr>
          <w:rFonts w:ascii="Times New Roman" w:cs="Times New Roman" w:eastAsia="Times New Roman" w:hAnsi="Times New Roman"/>
          <w:sz w:val="18"/>
          <w:szCs w:val="18"/>
          <w:u w:val="single" w:color="auto"/>
          <w:color w:val="0000CC"/>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742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574230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8159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7899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ind w:left="2080" w:right="40" w:hanging="355"/>
        <w:spacing w:after="0" w:line="250" w:lineRule="auto"/>
        <w:tabs>
          <w:tab w:leader="none" w:pos="2060" w:val="left"/>
        </w:tabs>
        <w:rPr>
          <w:rFonts w:ascii="Times New Roman" w:cs="Times New Roman" w:eastAsia="Times New Roman" w:hAnsi="Times New Roman"/>
          <w:sz w:val="18"/>
          <w:szCs w:val="18"/>
          <w:u w:val="single" w:color="auto"/>
          <w:color w:val="0000CC"/>
        </w:rPr>
      </w:pPr>
      <w:r>
        <w:rPr>
          <w:rFonts w:ascii="Times New Roman" w:cs="Times New Roman" w:eastAsia="Times New Roman" w:hAnsi="Times New Roman"/>
          <w:sz w:val="17"/>
          <w:szCs w:val="17"/>
          <w:color w:val="0000CC"/>
        </w:rPr>
        <w:t>3.3</w:t>
      </w:r>
      <w:r>
        <w:rPr>
          <w:sz w:val="20"/>
          <w:szCs w:val="20"/>
          <w:color w:val="auto"/>
        </w:rPr>
        <w:tab/>
      </w:r>
      <w:hyperlink r:id="rId136">
        <w:r>
          <w:rPr>
            <w:rFonts w:ascii="Times New Roman" w:cs="Times New Roman" w:eastAsia="Times New Roman" w:hAnsi="Times New Roman"/>
            <w:sz w:val="18"/>
            <w:szCs w:val="18"/>
            <w:u w:val="single" w:color="auto"/>
            <w:color w:val="0000CC"/>
          </w:rPr>
          <w:t>Certificate of Amendment of Ninth Amended and Restated Certificate of Incorporation of Zafgen, Inc. related to the Name</w:t>
        </w:r>
      </w:hyperlink>
      <w:r>
        <w:rPr>
          <w:rFonts w:ascii="Times New Roman" w:cs="Times New Roman" w:eastAsia="Times New Roman" w:hAnsi="Times New Roman"/>
          <w:sz w:val="18"/>
          <w:szCs w:val="18"/>
          <w:u w:val="single" w:color="auto"/>
          <w:color w:val="0000CC"/>
        </w:rPr>
        <w:t xml:space="preserve"> </w:t>
      </w:r>
      <w:hyperlink r:id="rId136">
        <w:r>
          <w:rPr>
            <w:rFonts w:ascii="Times New Roman" w:cs="Times New Roman" w:eastAsia="Times New Roman" w:hAnsi="Times New Roman"/>
            <w:sz w:val="18"/>
            <w:szCs w:val="18"/>
            <w:u w:val="single" w:color="auto"/>
            <w:color w:val="0000CC"/>
          </w:rPr>
          <w:t>Change, dated May 28, 2020 (incorporated by reference to Exhibit 3.1 of the Company’s Current Report on Form 8-K filed on</w:t>
        </w:r>
      </w:hyperlink>
      <w:r>
        <w:rPr>
          <w:rFonts w:ascii="Times New Roman" w:cs="Times New Roman" w:eastAsia="Times New Roman" w:hAnsi="Times New Roman"/>
          <w:sz w:val="18"/>
          <w:szCs w:val="18"/>
          <w:u w:val="single" w:color="auto"/>
          <w:color w:val="0000CC"/>
        </w:rPr>
        <w:t xml:space="preserve"> </w:t>
      </w:r>
      <w:hyperlink r:id="rId136">
        <w:r>
          <w:rPr>
            <w:rFonts w:ascii="Times New Roman" w:cs="Times New Roman" w:eastAsia="Times New Roman" w:hAnsi="Times New Roman"/>
            <w:sz w:val="18"/>
            <w:szCs w:val="18"/>
            <w:u w:val="single" w:color="auto"/>
            <w:color w:val="0000CC"/>
          </w:rPr>
          <w:t>June 2, 2020).</w:t>
        </w:r>
      </w:hyperlink>
    </w:p>
    <w:p>
      <w:pPr>
        <w:spacing w:after="0" w:line="20" w:lineRule="exact"/>
        <w:rPr>
          <w:rFonts w:ascii="Times New Roman" w:cs="Times New Roman" w:eastAsia="Times New Roman" w:hAnsi="Times New Roman"/>
          <w:sz w:val="18"/>
          <w:szCs w:val="18"/>
          <w:u w:val="single" w:color="auto"/>
          <w:color w:val="0000CC"/>
        </w:rPr>
      </w:pPr>
      <w:r>
        <w:rPr>
          <w:rFonts w:ascii="Times New Roman" w:cs="Times New Roman" w:eastAsia="Times New Roman" w:hAnsi="Times New Roman"/>
          <w:sz w:val="18"/>
          <w:szCs w:val="18"/>
          <w:u w:val="single" w:color="auto"/>
          <w:color w:val="0000CC"/>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6470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64705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806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6470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ind w:left="2080" w:right="80" w:hanging="355"/>
        <w:spacing w:after="0" w:line="250" w:lineRule="auto"/>
        <w:tabs>
          <w:tab w:leader="none" w:pos="2060" w:val="left"/>
        </w:tabs>
        <w:rPr>
          <w:rFonts w:ascii="Times New Roman" w:cs="Times New Roman" w:eastAsia="Times New Roman" w:hAnsi="Times New Roman"/>
          <w:sz w:val="18"/>
          <w:szCs w:val="18"/>
          <w:u w:val="single" w:color="auto"/>
          <w:color w:val="0000CC"/>
        </w:rPr>
      </w:pPr>
      <w:r>
        <w:rPr>
          <w:rFonts w:ascii="Times New Roman" w:cs="Times New Roman" w:eastAsia="Times New Roman" w:hAnsi="Times New Roman"/>
          <w:sz w:val="17"/>
          <w:szCs w:val="17"/>
          <w:color w:val="0000CC"/>
        </w:rPr>
        <w:t>3.4</w:t>
      </w:r>
      <w:r>
        <w:rPr>
          <w:sz w:val="20"/>
          <w:szCs w:val="20"/>
          <w:color w:val="auto"/>
        </w:rPr>
        <w:tab/>
      </w:r>
      <w:hyperlink r:id="rId143">
        <w:r>
          <w:rPr>
            <w:rFonts w:ascii="Times New Roman" w:cs="Times New Roman" w:eastAsia="Times New Roman" w:hAnsi="Times New Roman"/>
            <w:sz w:val="18"/>
            <w:szCs w:val="18"/>
            <w:u w:val="single" w:color="auto"/>
            <w:color w:val="0000CC"/>
          </w:rPr>
          <w:t>Amended and Restated By-laws of Larimar Therapeutics, Inc. (formerly known as Zafgen, Inc.) (incorporated by reference to</w:t>
        </w:r>
      </w:hyperlink>
      <w:r>
        <w:rPr>
          <w:rFonts w:ascii="Times New Roman" w:cs="Times New Roman" w:eastAsia="Times New Roman" w:hAnsi="Times New Roman"/>
          <w:sz w:val="18"/>
          <w:szCs w:val="18"/>
          <w:u w:val="single" w:color="auto"/>
          <w:color w:val="0000CC"/>
        </w:rPr>
        <w:t xml:space="preserve"> </w:t>
      </w:r>
      <w:hyperlink r:id="rId143">
        <w:r>
          <w:rPr>
            <w:rFonts w:ascii="Times New Roman" w:cs="Times New Roman" w:eastAsia="Times New Roman" w:hAnsi="Times New Roman"/>
            <w:sz w:val="18"/>
            <w:szCs w:val="18"/>
            <w:u w:val="single" w:color="auto"/>
            <w:color w:val="0000CC"/>
          </w:rPr>
          <w:t>Exhibit 3.2 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-159385</wp:posOffset>
            </wp:positionV>
            <wp:extent cx="57772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77723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37763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3776345" cy="8255"/>
                    </a:xfrm>
                    <a:prstGeom prst="rect">
                      <a:avLst/>
                    </a:prstGeom>
                    <a:noFill/>
                  </pic:spPr>
                </pic:pic>
              </a:graphicData>
            </a:graphic>
          </wp:anchor>
        </w:drawing>
      </w:r>
    </w:p>
    <w:p>
      <w:pPr>
        <w:ind w:left="2080" w:right="700" w:hanging="355"/>
        <w:spacing w:after="0" w:line="265" w:lineRule="auto"/>
        <w:tabs>
          <w:tab w:leader="none" w:pos="2060" w:val="left"/>
        </w:tabs>
        <w:rPr>
          <w:rFonts w:ascii="Times New Roman" w:cs="Times New Roman" w:eastAsia="Times New Roman" w:hAnsi="Times New Roman"/>
          <w:sz w:val="17"/>
          <w:szCs w:val="17"/>
          <w:u w:val="single" w:color="auto"/>
          <w:color w:val="0000CC"/>
        </w:rPr>
      </w:pPr>
      <w:r>
        <w:rPr>
          <w:rFonts w:ascii="Times New Roman" w:cs="Times New Roman" w:eastAsia="Times New Roman" w:hAnsi="Times New Roman"/>
          <w:sz w:val="17"/>
          <w:szCs w:val="17"/>
          <w:color w:val="0000CC"/>
        </w:rPr>
        <w:t>4.1</w:t>
      </w:r>
      <w:r>
        <w:rPr>
          <w:sz w:val="20"/>
          <w:szCs w:val="20"/>
          <w:color w:val="auto"/>
        </w:rPr>
        <w:tab/>
      </w:r>
      <w:hyperlink r:id="rId146">
        <w:r>
          <w:rPr>
            <w:rFonts w:ascii="Times New Roman" w:cs="Times New Roman" w:eastAsia="Times New Roman" w:hAnsi="Times New Roman"/>
            <w:sz w:val="17"/>
            <w:szCs w:val="17"/>
            <w:u w:val="single" w:color="auto"/>
            <w:color w:val="0000CC"/>
          </w:rPr>
          <w:t>Form of Company Pre-funded Warrant to Purchase Common Stock by and among the Company and certain investors</w:t>
        </w:r>
      </w:hyperlink>
      <w:r>
        <w:rPr>
          <w:rFonts w:ascii="Times New Roman" w:cs="Times New Roman" w:eastAsia="Times New Roman" w:hAnsi="Times New Roman"/>
          <w:sz w:val="17"/>
          <w:szCs w:val="17"/>
          <w:u w:val="single" w:color="auto"/>
          <w:color w:val="0000CC"/>
        </w:rPr>
        <w:t xml:space="preserve"> </w:t>
      </w:r>
      <w:hyperlink r:id="rId146">
        <w:r>
          <w:rPr>
            <w:rFonts w:ascii="Times New Roman" w:cs="Times New Roman" w:eastAsia="Times New Roman" w:hAnsi="Times New Roman"/>
            <w:sz w:val="17"/>
            <w:szCs w:val="17"/>
            <w:u w:val="single" w:color="auto"/>
            <w:color w:val="0000CC"/>
          </w:rPr>
          <w:t>(incorporated by reference to Exhibit 4.1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-159385</wp:posOffset>
            </wp:positionV>
            <wp:extent cx="5394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5394325"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5105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5105400" cy="8255"/>
                    </a:xfrm>
                    <a:prstGeom prst="rect">
                      <a:avLst/>
                    </a:prstGeom>
                    <a:noFill/>
                  </pic:spPr>
                </pic:pic>
              </a:graphicData>
            </a:graphic>
          </wp:anchor>
        </w:drawing>
      </w:r>
    </w:p>
    <w:p>
      <w:pPr>
        <w:ind w:left="2080" w:right="860" w:hanging="355"/>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u w:val="single" w:color="auto"/>
          <w:color w:val="0000FF"/>
        </w:rPr>
        <w:t>Description of the Company’s Securities Registered Pursuant to Section 12 of the Securities Exchange Act of 1934 (incorporated by reference to Exhibit 4.2 of the Company’s Annual Report on Form 10-K filed March 4, 2021).</w:t>
      </w:r>
    </w:p>
    <w:p>
      <w:pPr>
        <w:ind w:left="2080" w:right="220" w:hanging="440"/>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w:t>
      </w:r>
      <w:r>
        <w:rPr>
          <w:sz w:val="20"/>
          <w:szCs w:val="20"/>
          <w:color w:val="auto"/>
        </w:rPr>
        <w:tab/>
      </w:r>
      <w:hyperlink r:id="rId149">
        <w:r>
          <w:rPr>
            <w:rFonts w:ascii="Times New Roman" w:cs="Times New Roman" w:eastAsia="Times New Roman" w:hAnsi="Times New Roman"/>
            <w:sz w:val="18"/>
            <w:szCs w:val="18"/>
            <w:u w:val="single" w:color="auto"/>
            <w:color w:val="0000FF"/>
          </w:rPr>
          <w:t>Larimar Therapeutics, Inc. 2020 Equity Incentive Plan (incorporated by reference to Exhibit 10.1 of the Company’s Current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Report on 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-159385</wp:posOffset>
            </wp:positionV>
            <wp:extent cx="56915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5691505"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2329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2329180" cy="8255"/>
                    </a:xfrm>
                    <a:prstGeom prst="rect">
                      <a:avLst/>
                    </a:prstGeom>
                    <a:noFill/>
                  </pic:spPr>
                </pic:pic>
              </a:graphicData>
            </a:graphic>
          </wp:anchor>
        </w:drawing>
      </w:r>
    </w:p>
    <w:p>
      <w:pPr>
        <w:ind w:left="2080" w:right="280" w:hanging="440"/>
        <w:spacing w:after="0" w:line="265" w:lineRule="auto"/>
        <w:tabs>
          <w:tab w:leader="none" w:pos="2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w:t>
      </w:r>
      <w:r>
        <w:rPr>
          <w:sz w:val="20"/>
          <w:szCs w:val="20"/>
          <w:color w:val="auto"/>
        </w:rPr>
        <w:tab/>
      </w:r>
      <w:hyperlink r:id="rId152">
        <w:r>
          <w:rPr>
            <w:rFonts w:ascii="Times New Roman" w:cs="Times New Roman" w:eastAsia="Times New Roman" w:hAnsi="Times New Roman"/>
            <w:sz w:val="17"/>
            <w:szCs w:val="17"/>
            <w:u w:val="single" w:color="auto"/>
            <w:color w:val="0000FF"/>
          </w:rPr>
          <w:t>Larimar Therapeutics, Inc. Form of Stock Option Grant Notice and Award Agreement under its 2020 Equity Incentive Plan</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(incorporated by reference to Exhibit 10.2 of the Company’s Current Report on 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-159385</wp:posOffset>
            </wp:positionV>
            <wp:extent cx="56622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566229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54984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5498465" cy="8890"/>
                    </a:xfrm>
                    <a:prstGeom prst="rect">
                      <a:avLst/>
                    </a:prstGeom>
                    <a:noFill/>
                  </pic:spPr>
                </pic:pic>
              </a:graphicData>
            </a:graphic>
          </wp:anchor>
        </w:drawing>
      </w:r>
    </w:p>
    <w:p>
      <w:pPr>
        <w:ind w:left="1560"/>
        <w:spacing w:after="0"/>
        <w:tabs>
          <w:tab w:leader="none" w:pos="206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u w:val="single" w:color="auto"/>
          <w:color w:val="0000FF"/>
        </w:rPr>
        <w:t>Restricted Stock Award Agreement for Company Employees under the Larimar Therapeutics, Inc.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-9525</wp:posOffset>
            </wp:positionV>
            <wp:extent cx="5795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5795645" cy="8255"/>
                    </a:xfrm>
                    <a:prstGeom prst="rect">
                      <a:avLst/>
                    </a:prstGeom>
                    <a:noFill/>
                  </pic:spPr>
                </pic:pic>
              </a:graphicData>
            </a:graphic>
          </wp:anchor>
        </w:drawing>
      </w:r>
    </w:p>
    <w:p>
      <w:pPr>
        <w:spacing w:after="0" w:line="1" w:lineRule="exact"/>
        <w:rPr>
          <w:sz w:val="20"/>
          <w:szCs w:val="20"/>
          <w:color w:val="auto"/>
        </w:rPr>
      </w:pPr>
    </w:p>
    <w:p>
      <w:pPr>
        <w:ind w:left="1560"/>
        <w:spacing w:after="0"/>
        <w:tabs>
          <w:tab w:leader="none" w:pos="20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u w:val="single" w:color="auto"/>
          <w:color w:val="0000FF"/>
        </w:rPr>
        <w:t>Non-Qualified Stock Option Grant Notice and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-9525</wp:posOffset>
            </wp:positionV>
            <wp:extent cx="30099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3009900" cy="8255"/>
                    </a:xfrm>
                    <a:prstGeom prst="rect">
                      <a:avLst/>
                    </a:prstGeom>
                    <a:noFill/>
                  </pic:spPr>
                </pic:pic>
              </a:graphicData>
            </a:graphic>
          </wp:anchor>
        </w:drawing>
      </w:r>
    </w:p>
    <w:p>
      <w:pPr>
        <w:spacing w:after="0" w:line="1" w:lineRule="exact"/>
        <w:rPr>
          <w:sz w:val="20"/>
          <w:szCs w:val="20"/>
          <w:color w:val="auto"/>
        </w:rPr>
      </w:pPr>
    </w:p>
    <w:p>
      <w:pPr>
        <w:ind w:left="2080" w:right="180" w:hanging="440"/>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10.5</w:t>
      </w:r>
      <w:r>
        <w:rPr>
          <w:sz w:val="20"/>
          <w:szCs w:val="20"/>
          <w:color w:val="auto"/>
        </w:rPr>
        <w:tab/>
      </w:r>
      <w:hyperlink r:id="rId157">
        <w:r>
          <w:rPr>
            <w:rFonts w:ascii="Times New Roman" w:cs="Times New Roman" w:eastAsia="Times New Roman" w:hAnsi="Times New Roman"/>
            <w:sz w:val="18"/>
            <w:szCs w:val="18"/>
            <w:u w:val="single" w:color="auto"/>
            <w:color w:val="0000EE"/>
          </w:rPr>
          <w:t>Registration Rights Agreement, dated as of June 1, 2020, by and among the Company and certain Investors (incorporated by</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reference to Exhibit 10.2 of the Company’s Current Report on Form 8-K filed on June 2, 2020).</w:t>
        </w:r>
      </w:hyperlink>
    </w:p>
    <w:p>
      <w:pPr>
        <w:spacing w:after="0" w:line="1" w:lineRule="exact"/>
        <w:rPr>
          <w:sz w:val="20"/>
          <w:szCs w:val="20"/>
          <w:color w:val="auto"/>
        </w:rPr>
      </w:pPr>
    </w:p>
    <w:p>
      <w:pPr>
        <w:ind w:left="2080" w:right="180" w:hanging="440"/>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10.6</w:t>
      </w:r>
      <w:r>
        <w:rPr>
          <w:sz w:val="20"/>
          <w:szCs w:val="20"/>
          <w:color w:val="auto"/>
        </w:rPr>
        <w:tab/>
      </w:r>
      <w:hyperlink r:id="rId158">
        <w:r>
          <w:rPr>
            <w:rFonts w:ascii="Times New Roman" w:cs="Times New Roman" w:eastAsia="Times New Roman" w:hAnsi="Times New Roman"/>
            <w:sz w:val="18"/>
            <w:szCs w:val="18"/>
            <w:u w:val="single" w:color="auto"/>
            <w:color w:val="0000EE"/>
          </w:rPr>
          <w:t>Registration Rights Agreement, dated as of June 8, 2020, by and among the Company and certain Investors (incorporated by</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reference to Exhibit 10.3 of the Company’s Registration Statement on Form S-3 filed on June 26, 2020).</w:t>
        </w:r>
      </w:hyperlink>
    </w:p>
    <w:p>
      <w:pPr>
        <w:spacing w:after="0" w:line="1" w:lineRule="exact"/>
        <w:rPr>
          <w:sz w:val="20"/>
          <w:szCs w:val="20"/>
          <w:color w:val="auto"/>
        </w:rPr>
      </w:pPr>
    </w:p>
    <w:p>
      <w:pPr>
        <w:ind w:left="2080" w:right="140" w:hanging="440"/>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159">
        <w:r>
          <w:rPr>
            <w:rFonts w:ascii="Times New Roman" w:cs="Times New Roman" w:eastAsia="Times New Roman" w:hAnsi="Times New Roman"/>
            <w:sz w:val="18"/>
            <w:szCs w:val="18"/>
            <w:u w:val="single" w:color="auto"/>
            <w:color w:val="0000EE"/>
          </w:rPr>
          <w:t>Form of Indemnification Agreement between the Company and its directors (incorporated by reference to Exhibit 10.3 of the</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Company’s Current Report on Form 8-K filed on June 2, 2020).</w:t>
        </w:r>
      </w:hyperlink>
    </w:p>
    <w:p>
      <w:pPr>
        <w:spacing w:after="0" w:line="1" w:lineRule="exact"/>
        <w:rPr>
          <w:sz w:val="20"/>
          <w:szCs w:val="20"/>
          <w:color w:val="auto"/>
        </w:rPr>
      </w:pPr>
    </w:p>
    <w:p>
      <w:pPr>
        <w:ind w:left="2080" w:right="560" w:hanging="440"/>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10.8</w:t>
      </w:r>
      <w:r>
        <w:rPr>
          <w:sz w:val="20"/>
          <w:szCs w:val="20"/>
          <w:color w:val="auto"/>
        </w:rPr>
        <w:tab/>
      </w:r>
      <w:hyperlink r:id="rId160">
        <w:r>
          <w:rPr>
            <w:rFonts w:ascii="Times New Roman" w:cs="Times New Roman" w:eastAsia="Times New Roman" w:hAnsi="Times New Roman"/>
            <w:sz w:val="18"/>
            <w:szCs w:val="18"/>
            <w:u w:val="single" w:color="auto"/>
            <w:color w:val="0000EE"/>
          </w:rPr>
          <w:t>Employment Agreement, dated July 31, 2020, by and between the Company and Carole Ben-Maimon (incorporated by</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reference to Exhibit 10.1 of the Company’s Current Report on Form 8-K filed on August 6, 2020).</w:t>
        </w:r>
      </w:hyperlink>
    </w:p>
    <w:p>
      <w:pPr>
        <w:spacing w:after="0" w:line="1" w:lineRule="exact"/>
        <w:rPr>
          <w:sz w:val="20"/>
          <w:szCs w:val="20"/>
          <w:color w:val="auto"/>
        </w:rPr>
      </w:pPr>
    </w:p>
    <w:p>
      <w:pPr>
        <w:ind w:left="2080" w:right="60" w:hanging="440"/>
        <w:spacing w:after="0" w:line="265"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10.9</w:t>
      </w:r>
      <w:r>
        <w:rPr>
          <w:sz w:val="20"/>
          <w:szCs w:val="20"/>
          <w:color w:val="auto"/>
        </w:rPr>
        <w:tab/>
      </w:r>
      <w:hyperlink r:id="rId160">
        <w:r>
          <w:rPr>
            <w:rFonts w:ascii="Times New Roman" w:cs="Times New Roman" w:eastAsia="Times New Roman" w:hAnsi="Times New Roman"/>
            <w:sz w:val="18"/>
            <w:szCs w:val="18"/>
            <w:u w:val="single" w:color="auto"/>
            <w:color w:val="0000EE"/>
          </w:rPr>
          <w:t>Employment Agreement, dated June 1, 2020, by and between the Company and Michael Celano (incorporated by reference to</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Exhibit 10.4 of the Company’s Current Report on Form 8-K filed on June 2, 2020).</w:t>
        </w:r>
      </w:hyperlink>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line="198" w:lineRule="auto"/>
        <w:framePr w:w="460" w:h="152" w:wrap="auto" w:vAnchor="page" w:hAnchor="page" w:x="1840" w:y="748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21.1*</w:t>
      </w:r>
    </w:p>
    <w:p>
      <w:pPr>
        <w:spacing w:after="0" w:line="198" w:lineRule="auto"/>
        <w:framePr w:w="460" w:h="152" w:wrap="auto" w:vAnchor="page" w:hAnchor="page" w:x="1840" w:y="7696"/>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p>
    <w:p>
      <w:pPr>
        <w:spacing w:after="0" w:line="198" w:lineRule="auto"/>
        <w:framePr w:w="460" w:h="152" w:wrap="auto" w:vAnchor="page" w:hAnchor="page" w:x="1840" w:y="7912"/>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31.1*</w:t>
      </w:r>
    </w:p>
    <w:p>
      <w:pPr>
        <w:spacing w:after="0" w:line="198" w:lineRule="auto"/>
        <w:framePr w:w="460" w:h="152" w:wrap="auto" w:vAnchor="page" w:hAnchor="page" w:x="1840" w:y="8128"/>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31.2*</w:t>
      </w:r>
    </w:p>
    <w:p>
      <w:pPr>
        <w:spacing w:after="0" w:line="186" w:lineRule="auto"/>
        <w:framePr w:w="560" w:h="152" w:wrap="auto" w:vAnchor="page" w:hAnchor="page" w:x="1740" w:y="834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32.1**</w:t>
      </w:r>
    </w:p>
    <w:p>
      <w:pPr>
        <w:spacing w:after="0" w:line="196" w:lineRule="auto"/>
        <w:framePr w:w="680" w:h="160" w:wrap="auto" w:vAnchor="page" w:hAnchor="page" w:x="1560" w:y="889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101.INS</w:t>
      </w:r>
    </w:p>
    <w:p>
      <w:pPr>
        <w:spacing w:after="0" w:line="196" w:lineRule="auto"/>
        <w:framePr w:w="740" w:h="160" w:wrap="auto" w:vAnchor="page" w:hAnchor="page" w:x="1500" w:y="921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101.SCH</w:t>
      </w:r>
    </w:p>
    <w:p>
      <w:pPr>
        <w:spacing w:after="0" w:line="185" w:lineRule="auto"/>
        <w:framePr w:w="760" w:h="160" w:wrap="auto" w:vAnchor="page" w:hAnchor="page" w:x="1500" w:y="943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w:t>
      </w:r>
    </w:p>
    <w:p>
      <w:pPr>
        <w:spacing w:after="0" w:line="196" w:lineRule="auto"/>
        <w:framePr w:w="720" w:h="160" w:wrap="auto" w:vAnchor="page" w:hAnchor="page" w:x="1520" w:y="964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101.DEF</w:t>
      </w:r>
    </w:p>
    <w:p>
      <w:pPr>
        <w:spacing w:after="0" w:line="185" w:lineRule="auto"/>
        <w:framePr w:w="760" w:h="160" w:wrap="auto" w:vAnchor="page" w:hAnchor="page" w:x="1500" w:y="986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w:t>
      </w:r>
    </w:p>
    <w:p>
      <w:pPr>
        <w:spacing w:after="0" w:line="196" w:lineRule="auto"/>
        <w:framePr w:w="720" w:h="160" w:wrap="auto" w:vAnchor="page" w:hAnchor="page" w:x="1520" w:y="1007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101.PRE</w:t>
      </w:r>
    </w:p>
    <w:p>
      <w:pPr>
        <w:spacing w:after="0" w:line="185" w:lineRule="auto"/>
        <w:framePr w:w="360" w:h="160" w:wrap="auto" w:vAnchor="page" w:hAnchor="page" w:x="1940" w:y="1029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187" w:lineRule="auto"/>
        <w:framePr w:w="600" w:h="188" w:wrap="auto" w:vAnchor="page" w:hAnchor="page" w:x="1700" w:y="7012"/>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10.23</w:t>
      </w:r>
      <w:r>
        <w:rPr>
          <w:rFonts w:ascii="Times New Roman" w:cs="Times New Roman" w:eastAsia="Times New Roman" w:hAnsi="Times New Roman"/>
          <w:sz w:val="21"/>
          <w:szCs w:val="21"/>
          <w:color w:val="auto"/>
          <w:vertAlign w:val="superscript"/>
        </w:rPr>
        <w:t>+*</w:t>
      </w:r>
    </w:p>
    <w:p>
      <w:pPr>
        <w:spacing w:after="0" w:line="187" w:lineRule="auto"/>
        <w:framePr w:w="540" w:h="188" w:wrap="auto" w:vAnchor="page" w:hAnchor="page" w:x="1760" w:y="6364"/>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10.22</w:t>
      </w:r>
      <w:r>
        <w:rPr>
          <w:rFonts w:ascii="Times New Roman" w:cs="Times New Roman" w:eastAsia="Times New Roman" w:hAnsi="Times New Roman"/>
          <w:sz w:val="21"/>
          <w:szCs w:val="21"/>
          <w:color w:val="auto"/>
          <w:vertAlign w:val="superscript"/>
        </w:rPr>
        <w:t>+</w:t>
      </w:r>
    </w:p>
    <w:p>
      <w:pPr>
        <w:spacing w:after="0" w:line="187" w:lineRule="auto"/>
        <w:framePr w:w="540" w:h="188" w:wrap="auto" w:vAnchor="page" w:hAnchor="page" w:x="1760" w:y="5932"/>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10.21</w:t>
      </w:r>
      <w:r>
        <w:rPr>
          <w:rFonts w:ascii="Times New Roman" w:cs="Times New Roman" w:eastAsia="Times New Roman" w:hAnsi="Times New Roman"/>
          <w:sz w:val="21"/>
          <w:szCs w:val="21"/>
          <w:color w:val="auto"/>
          <w:vertAlign w:val="superscript"/>
        </w:rPr>
        <w:t>+</w:t>
      </w:r>
    </w:p>
    <w:p>
      <w:pPr>
        <w:spacing w:after="0" w:line="187" w:lineRule="auto"/>
        <w:framePr w:w="540" w:h="188" w:wrap="auto" w:vAnchor="page" w:hAnchor="page" w:x="1760" w:y="550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10.20</w:t>
      </w:r>
      <w:r>
        <w:rPr>
          <w:rFonts w:ascii="Times New Roman" w:cs="Times New Roman" w:eastAsia="Times New Roman" w:hAnsi="Times New Roman"/>
          <w:sz w:val="21"/>
          <w:szCs w:val="21"/>
          <w:color w:val="auto"/>
          <w:vertAlign w:val="superscript"/>
        </w:rPr>
        <w:t>+</w:t>
      </w:r>
    </w:p>
    <w:p>
      <w:pPr>
        <w:spacing w:after="0" w:line="187" w:lineRule="auto"/>
        <w:framePr w:w="540" w:h="188" w:wrap="auto" w:vAnchor="page" w:hAnchor="page" w:x="1760" w:y="506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10.19</w:t>
      </w:r>
      <w:r>
        <w:rPr>
          <w:rFonts w:ascii="Times New Roman" w:cs="Times New Roman" w:eastAsia="Times New Roman" w:hAnsi="Times New Roman"/>
          <w:sz w:val="21"/>
          <w:szCs w:val="21"/>
          <w:color w:val="auto"/>
          <w:vertAlign w:val="superscript"/>
        </w:rPr>
        <w:t>+</w:t>
      </w:r>
    </w:p>
    <w:p>
      <w:pPr>
        <w:ind w:left="1560"/>
        <w:spacing w:after="0"/>
        <w:tabs>
          <w:tab w:leader="none" w:pos="2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w:t>
      </w:r>
      <w:r>
        <w:rPr>
          <w:sz w:val="20"/>
          <w:szCs w:val="20"/>
          <w:color w:val="auto"/>
        </w:rPr>
        <w:tab/>
      </w:r>
      <w:hyperlink r:id="rId162">
        <w:r>
          <w:rPr>
            <w:rFonts w:ascii="Times New Roman" w:cs="Times New Roman" w:eastAsia="Times New Roman" w:hAnsi="Times New Roman"/>
            <w:sz w:val="17"/>
            <w:szCs w:val="17"/>
            <w:u w:val="single" w:color="auto"/>
            <w:color w:val="0000FF"/>
          </w:rPr>
          <w:t>Employment Agreement, dated February 7, 2023, by and between the Company and Gopi Shankar.</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1318895</wp:posOffset>
            </wp:positionH>
            <wp:positionV relativeFrom="paragraph">
              <wp:posOffset>1270</wp:posOffset>
            </wp:positionV>
            <wp:extent cx="45339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4533900" cy="8255"/>
                    </a:xfrm>
                    <a:prstGeom prst="rect">
                      <a:avLst/>
                    </a:prstGeom>
                    <a:noFill/>
                  </pic:spPr>
                </pic:pic>
              </a:graphicData>
            </a:graphic>
          </wp:anchor>
        </w:drawing>
      </w:r>
    </w:p>
    <w:p>
      <w:pPr>
        <w:spacing w:after="0" w:line="19" w:lineRule="exact"/>
        <w:rPr>
          <w:rFonts w:ascii="Times New Roman" w:cs="Times New Roman" w:eastAsia="Times New Roman" w:hAnsi="Times New Roman"/>
          <w:sz w:val="15"/>
          <w:szCs w:val="15"/>
          <w:color w:val="auto"/>
        </w:rPr>
      </w:pPr>
    </w:p>
    <w:p>
      <w:pPr>
        <w:jc w:val="right"/>
        <w:ind w:right="80"/>
        <w:spacing w:after="0"/>
        <w:tabs>
          <w:tab w:leader="none" w:pos="9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w:t>
      </w:r>
      <w:r>
        <w:rPr>
          <w:sz w:val="20"/>
          <w:szCs w:val="20"/>
          <w:color w:val="auto"/>
        </w:rPr>
        <w:tab/>
      </w:r>
      <w:hyperlink r:id="rId164">
        <w:r>
          <w:rPr>
            <w:rFonts w:ascii="Times New Roman" w:cs="Times New Roman" w:eastAsia="Times New Roman" w:hAnsi="Times New Roman"/>
            <w:sz w:val="17"/>
            <w:szCs w:val="17"/>
            <w:u w:val="single" w:color="auto"/>
            <w:color w:val="0000FF"/>
          </w:rPr>
          <w:t>License Agreement, by and between the Company and Wake Forest University Health Sciences, effective as of November 30,</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1318895</wp:posOffset>
            </wp:positionH>
            <wp:positionV relativeFrom="paragraph">
              <wp:posOffset>-9525</wp:posOffset>
            </wp:positionV>
            <wp:extent cx="5784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5784850" cy="8255"/>
                    </a:xfrm>
                    <a:prstGeom prst="rect">
                      <a:avLst/>
                    </a:prstGeom>
                    <a:noFill/>
                  </pic:spPr>
                </pic:pic>
              </a:graphicData>
            </a:graphic>
          </wp:anchor>
        </w:drawing>
      </w:r>
    </w:p>
    <w:p>
      <w:pPr>
        <w:spacing w:after="0" w:line="4" w:lineRule="exact"/>
        <w:rPr>
          <w:rFonts w:ascii="Times New Roman" w:cs="Times New Roman" w:eastAsia="Times New Roman" w:hAnsi="Times New Roman"/>
          <w:sz w:val="15"/>
          <w:szCs w:val="15"/>
          <w:color w:val="auto"/>
        </w:rPr>
      </w:pPr>
    </w:p>
    <w:p>
      <w:pPr>
        <w:jc w:val="right"/>
        <w:ind w:right="6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2016. (incorporated by reference to Exhibit 10.6 of the Company’s Quarterly Report on Form 10-Q filed on August 14, 2020).</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1318895</wp:posOffset>
            </wp:positionH>
            <wp:positionV relativeFrom="paragraph">
              <wp:posOffset>-19050</wp:posOffset>
            </wp:positionV>
            <wp:extent cx="5772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5772150" cy="8255"/>
                    </a:xfrm>
                    <a:prstGeom prst="rect">
                      <a:avLst/>
                    </a:prstGeom>
                    <a:noFill/>
                  </pic:spPr>
                </pic:pic>
              </a:graphicData>
            </a:graphic>
          </wp:anchor>
        </w:drawing>
      </w:r>
    </w:p>
    <w:p>
      <w:pPr>
        <w:jc w:val="both"/>
        <w:ind w:left="2080" w:right="100" w:hanging="697"/>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10.12**</w:t>
      </w:r>
      <w:r>
        <w:rPr>
          <w:sz w:val="20"/>
          <w:szCs w:val="20"/>
          <w:color w:val="auto"/>
        </w:rPr>
        <w:tab/>
      </w:r>
      <w:hyperlink r:id="rId167">
        <w:r>
          <w:rPr>
            <w:rFonts w:ascii="Times New Roman" w:cs="Times New Roman" w:eastAsia="Times New Roman" w:hAnsi="Times New Roman"/>
            <w:sz w:val="18"/>
            <w:szCs w:val="18"/>
            <w:u w:val="single" w:color="auto"/>
            <w:color w:val="0000FF"/>
          </w:rPr>
          <w:t>Amendment 1 to License Agreement, by and between the Company and Wake Forest University Health Sciences, effective as</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of November 28, 2017 (incorporated by reference to Exhibit 10.7 of the Company’s Quarterly Report on Form 10-Q filed on</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August 14,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775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577596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723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572389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824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ind w:left="2080" w:right="100" w:hanging="697"/>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10.13**</w:t>
      </w:r>
      <w:r>
        <w:rPr>
          <w:sz w:val="20"/>
          <w:szCs w:val="20"/>
          <w:color w:val="auto"/>
        </w:rPr>
        <w:tab/>
      </w:r>
      <w:hyperlink r:id="rId171">
        <w:r>
          <w:rPr>
            <w:rFonts w:ascii="Times New Roman" w:cs="Times New Roman" w:eastAsia="Times New Roman" w:hAnsi="Times New Roman"/>
            <w:sz w:val="18"/>
            <w:szCs w:val="18"/>
            <w:u w:val="single" w:color="auto"/>
            <w:color w:val="0000FF"/>
          </w:rPr>
          <w:t>Amendment 2 to License Agreement, by and between the Company and Wake Forest University Health Sciences, effective as</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of March 29, 2019 (incorporated by reference to Exhibit 10.8 of the Company’s Quarterly Report on Form 10-Q filed on</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August 14,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775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577596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5397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553974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8248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jc w:val="both"/>
        <w:ind w:left="2080" w:right="100" w:hanging="697"/>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10.14**</w:t>
      </w:r>
      <w:r>
        <w:rPr>
          <w:sz w:val="20"/>
          <w:szCs w:val="20"/>
          <w:color w:val="auto"/>
        </w:rPr>
        <w:tab/>
      </w:r>
      <w:hyperlink r:id="rId175">
        <w:r>
          <w:rPr>
            <w:rFonts w:ascii="Times New Roman" w:cs="Times New Roman" w:eastAsia="Times New Roman" w:hAnsi="Times New Roman"/>
            <w:sz w:val="18"/>
            <w:szCs w:val="18"/>
            <w:u w:val="single" w:color="auto"/>
            <w:color w:val="0000FF"/>
          </w:rPr>
          <w:t>License Agreement, by and between the Company and Indiana University Research and Technology Corporation, effective as</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of November 30, 2016 (incorporated by reference to Exhibit 10.9 of the Company’s Quarterly Report on Form 10-Q filed on</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August 14,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776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577659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723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5723890"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8248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ind w:left="2080" w:right="60" w:hanging="697"/>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10.15**</w:t>
      </w:r>
      <w:r>
        <w:rPr>
          <w:sz w:val="20"/>
          <w:szCs w:val="20"/>
          <w:color w:val="auto"/>
        </w:rPr>
        <w:tab/>
      </w:r>
      <w:hyperlink r:id="rId179">
        <w:r>
          <w:rPr>
            <w:rFonts w:ascii="Times New Roman" w:cs="Times New Roman" w:eastAsia="Times New Roman" w:hAnsi="Times New Roman"/>
            <w:sz w:val="18"/>
            <w:szCs w:val="18"/>
            <w:u w:val="single" w:color="auto"/>
            <w:color w:val="0000FF"/>
          </w:rPr>
          <w:t>First Amendment to License Agreement, by and between the Company, the Trustee of Indiana University and Indiana</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University Research and Technology Corporation, effective as of August 16, 2019 (incorporated by reference to Exhibit 10.10</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of the Company’s Quarterly Report on Form 10-Q filed on August 14,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410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7962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579628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35350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535045" cy="8255"/>
                    </a:xfrm>
                    <a:prstGeom prst="rect">
                      <a:avLst/>
                    </a:prstGeom>
                    <a:noFill/>
                  </pic:spPr>
                </pic:pic>
              </a:graphicData>
            </a:graphic>
          </wp:anchor>
        </w:drawing>
      </w:r>
    </w:p>
    <w:p>
      <w:pPr>
        <w:jc w:val="both"/>
        <w:ind w:left="2080" w:right="40" w:hanging="526"/>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10.16</w:t>
      </w:r>
      <w:r>
        <w:rPr>
          <w:sz w:val="20"/>
          <w:szCs w:val="20"/>
          <w:color w:val="auto"/>
        </w:rPr>
        <w:tab/>
      </w:r>
      <w:hyperlink r:id="rId183">
        <w:r>
          <w:rPr>
            <w:rFonts w:ascii="Times New Roman" w:cs="Times New Roman" w:eastAsia="Times New Roman" w:hAnsi="Times New Roman"/>
            <w:sz w:val="18"/>
            <w:szCs w:val="18"/>
            <w:u w:val="single" w:color="auto"/>
            <w:color w:val="0000FF"/>
          </w:rPr>
          <w:t>Second Amendment to License Agreement, by and between the Company and The Trustees of Indiana University, effective as</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of May 28, 2020 (incorporated by reference to Exhibit 10.1 to the Company’s Quarterly Report on Form 10-Q filed on August</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7988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579882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8032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5803265"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4622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jc w:val="both"/>
        <w:ind w:left="2080" w:hanging="526"/>
        <w:spacing w:after="0" w:line="250" w:lineRule="auto"/>
        <w:tabs>
          <w:tab w:leader="none" w:pos="2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7"/>
          <w:szCs w:val="17"/>
          <w:color w:val="auto"/>
        </w:rPr>
        <w:t>10.17</w:t>
      </w:r>
      <w:r>
        <w:rPr>
          <w:sz w:val="20"/>
          <w:szCs w:val="20"/>
          <w:color w:val="auto"/>
        </w:rPr>
        <w:tab/>
      </w:r>
      <w:hyperlink r:id="rId187">
        <w:r>
          <w:rPr>
            <w:rFonts w:ascii="Times New Roman" w:cs="Times New Roman" w:eastAsia="Times New Roman" w:hAnsi="Times New Roman"/>
            <w:sz w:val="18"/>
            <w:szCs w:val="18"/>
            <w:u w:val="single" w:color="auto"/>
            <w:color w:val="0000FF"/>
          </w:rPr>
          <w:t>Third Amendment to License Agreement, by and between the Company and The Trustees of Indiana University, effective as of</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June 9, 2022 (incorporated by reference to Exhibit 10.2 to the Company’s Quarterly Report on Form 10-Q filed on August 11,</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-296545</wp:posOffset>
            </wp:positionV>
            <wp:extent cx="58159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-159385</wp:posOffset>
            </wp:positionV>
            <wp:extent cx="57899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-22225</wp:posOffset>
            </wp:positionV>
            <wp:extent cx="2952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ind w:left="1560"/>
        <w:spacing w:after="0"/>
        <w:tabs>
          <w:tab w:leader="none" w:pos="2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10.18</w:t>
      </w:r>
      <w:r>
        <w:rPr>
          <w:sz w:val="20"/>
          <w:szCs w:val="20"/>
          <w:color w:val="auto"/>
        </w:rPr>
        <w:tab/>
      </w:r>
      <w:hyperlink r:id="rId191">
        <w:r>
          <w:rPr>
            <w:rFonts w:ascii="Times New Roman" w:cs="Times New Roman" w:eastAsia="Times New Roman" w:hAnsi="Times New Roman"/>
            <w:sz w:val="17"/>
            <w:szCs w:val="17"/>
            <w:u w:val="single" w:color="auto"/>
            <w:color w:val="0000EE"/>
          </w:rPr>
          <w:t>Notice of Substitute Option Grant between the Company and a certain Optionee (incorporated by reference to Exhibit 4.5 of</w:t>
        </w:r>
      </w:hyperlink>
    </w:p>
    <w:p>
      <w:pPr>
        <w:spacing w:after="0" w:line="24" w:lineRule="exact"/>
        <w:rPr>
          <w:rFonts w:ascii="Times New Roman" w:cs="Times New Roman" w:eastAsia="Times New Roman" w:hAnsi="Times New Roman"/>
          <w:sz w:val="18"/>
          <w:szCs w:val="18"/>
          <w:u w:val="single" w:color="auto"/>
          <w:color w:val="0000FF"/>
        </w:rPr>
      </w:pPr>
    </w:p>
    <w:p>
      <w:pPr>
        <w:ind w:left="2080"/>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the Company’s Registration Statement on Form S-8 filed on June 26, 2020).</w:t>
        </w:r>
      </w:hyperlink>
    </w:p>
    <w:p>
      <w:pPr>
        <w:spacing w:after="0" w:line="9" w:lineRule="exact"/>
        <w:rPr>
          <w:rFonts w:ascii="Times New Roman" w:cs="Times New Roman" w:eastAsia="Times New Roman" w:hAnsi="Times New Roman"/>
          <w:sz w:val="18"/>
          <w:szCs w:val="18"/>
          <w:u w:val="single" w:color="auto"/>
          <w:color w:val="0000FF"/>
        </w:rPr>
      </w:pPr>
    </w:p>
    <w:p>
      <w:pPr>
        <w:ind w:left="2080" w:right="720"/>
        <w:spacing w:after="0" w:line="250"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Commercial Lease by and between the Company and Shigo Center Plaza Owner, LLC dated as of February 12, 2019</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(incorporated herein by reference to Exhibit 10.4 of the Registrant’s Form 10-Q filed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-161925</wp:posOffset>
            </wp:positionV>
            <wp:extent cx="53733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537337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-24765</wp:posOffset>
            </wp:positionV>
            <wp:extent cx="46704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4670425" cy="8255"/>
                    </a:xfrm>
                    <a:prstGeom prst="rect">
                      <a:avLst/>
                    </a:prstGeom>
                    <a:noFill/>
                  </pic:spPr>
                </pic:pic>
              </a:graphicData>
            </a:graphic>
          </wp:anchor>
        </w:drawing>
      </w:r>
    </w:p>
    <w:p>
      <w:pPr>
        <w:ind w:left="2080" w:right="100"/>
        <w:spacing w:after="0" w:line="250"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Sublease, dated October 27, 2020 by and between the Company and Massachusetts Municipal Association, Inc. (incorporated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by reference to Exhibit 10.1 to the Company’s Current Report on Form 8-K filed on October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-161925</wp:posOffset>
            </wp:positionV>
            <wp:extent cx="5774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577469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-24765</wp:posOffset>
            </wp:positionV>
            <wp:extent cx="47275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4727575" cy="8255"/>
                    </a:xfrm>
                    <a:prstGeom prst="rect">
                      <a:avLst/>
                    </a:prstGeom>
                    <a:noFill/>
                  </pic:spPr>
                </pic:pic>
              </a:graphicData>
            </a:graphic>
          </wp:anchor>
        </w:drawing>
      </w:r>
    </w:p>
    <w:p>
      <w:pPr>
        <w:ind w:left="2080"/>
        <w:spacing w:after="0" w:line="250"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Master Services Agreement, dated as of September 20, 2017, by and between the Company and KBI Biopharma, Inc.</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(incorporated by reference to Exhibit 10.1 to the Company’s Quarterly Report on Form 10-Q filed on May 10, 2021).</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First Amendment to Master Services Agreement, dated as of November 9, 2018, by and between the Company and KBI</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Biopharma, Inc. (incorporated by reference to Exhibit 10.2 to the Company’s Quarterly Report on Form 10-Q filed on May 10,</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-572770</wp:posOffset>
            </wp:positionV>
            <wp:extent cx="53968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5396865"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-435610</wp:posOffset>
            </wp:positionV>
            <wp:extent cx="53594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535940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-298450</wp:posOffset>
            </wp:positionV>
            <wp:extent cx="55143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551434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-161290</wp:posOffset>
            </wp:positionV>
            <wp:extent cx="58159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-24130</wp:posOffset>
            </wp:positionV>
            <wp:extent cx="2952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ind w:left="2080" w:right="200"/>
        <w:spacing w:after="0" w:line="250" w:lineRule="auto"/>
        <w:rPr>
          <w:sz w:val="20"/>
          <w:szCs w:val="20"/>
          <w:color w:val="auto"/>
        </w:rPr>
      </w:pPr>
      <w:r>
        <w:rPr>
          <w:rFonts w:ascii="Times New Roman" w:cs="Times New Roman" w:eastAsia="Times New Roman" w:hAnsi="Times New Roman"/>
          <w:sz w:val="18"/>
          <w:szCs w:val="18"/>
          <w:u w:val="single" w:color="auto"/>
          <w:color w:val="0000FF"/>
        </w:rPr>
        <w:t>Second Amendment to Master Services Agreement, dated as of September 20, 2022, by and between the Company and KBI Biopharma, Inc.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-161925</wp:posOffset>
            </wp:positionV>
            <wp:extent cx="57048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5704840"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-24765</wp:posOffset>
            </wp:positionV>
            <wp:extent cx="7391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u w:val="single" w:color="auto"/>
          <w:color w:val="0000FF"/>
        </w:rPr>
        <w:t>Subsidiaries of Larimar Therapeutics, Inc.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-19050</wp:posOffset>
            </wp:positionV>
            <wp:extent cx="19577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1957705" cy="8890"/>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-19050</wp:posOffset>
            </wp:positionV>
            <wp:extent cx="4074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4074160"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Principal Executive Officer.</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-19050</wp:posOffset>
            </wp:positionV>
            <wp:extent cx="3180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Principal Financial Officer.</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-19050</wp:posOffset>
            </wp:positionV>
            <wp:extent cx="31483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3148330" cy="8890"/>
                    </a:xfrm>
                    <a:prstGeom prst="rect">
                      <a:avLst/>
                    </a:prstGeom>
                    <a:noFill/>
                  </pic:spPr>
                </pic:pic>
              </a:graphicData>
            </a:graphic>
          </wp:anchor>
        </w:drawing>
      </w:r>
    </w:p>
    <w:p>
      <w:pPr>
        <w:ind w:left="2080"/>
        <w:spacing w:after="0" w:line="260" w:lineRule="auto"/>
        <w:rPr>
          <w:sz w:val="20"/>
          <w:szCs w:val="20"/>
          <w:color w:val="auto"/>
        </w:rPr>
      </w:pPr>
      <w:r>
        <w:rPr>
          <w:rFonts w:ascii="Times New Roman" w:cs="Times New Roman" w:eastAsia="Times New Roman" w:hAnsi="Times New Roman"/>
          <w:sz w:val="18"/>
          <w:szCs w:val="18"/>
          <w:u w:val="single" w:color="auto"/>
          <w:color w:val="0000FF"/>
        </w:rPr>
        <w:t>Section 1350 certification of the Principal Executive Officer and Principal Financial Officer, as adopted pursuant to Section 906 of the Sarbanes-Oxley Act of 2002 (furnished 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1318895</wp:posOffset>
            </wp:positionH>
            <wp:positionV relativeFrom="paragraph">
              <wp:posOffset>-172720</wp:posOffset>
            </wp:positionV>
            <wp:extent cx="58108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-35560</wp:posOffset>
            </wp:positionV>
            <wp:extent cx="27889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2788920" cy="8890"/>
                    </a:xfrm>
                    <a:prstGeom prst="rect">
                      <a:avLst/>
                    </a:prstGeom>
                    <a:noFill/>
                  </pic:spPr>
                </pic:pic>
              </a:graphicData>
            </a:graphic>
          </wp:anchor>
        </w:drawing>
      </w:r>
    </w:p>
    <w:p>
      <w:pPr>
        <w:spacing w:after="0" w:line="53"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117"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7"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9"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rFonts w:ascii="Times New Roman" w:cs="Times New Roman" w:eastAsia="Times New Roman" w:hAnsi="Times New Roman"/>
          <w:sz w:val="18"/>
          <w:szCs w:val="18"/>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8" w:lineRule="exact"/>
        <w:rPr>
          <w:rFonts w:ascii="Times New Roman" w:cs="Times New Roman" w:eastAsia="Times New Roman" w:hAnsi="Times New Roman"/>
          <w:sz w:val="18"/>
          <w:szCs w:val="18"/>
          <w:u w:val="single" w:color="auto"/>
          <w:color w:val="0000FF"/>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u w:val="single" w:color="auto"/>
          <w:color w:val="0000FF"/>
        </w:rPr>
      </w:pPr>
    </w:p>
    <w:p>
      <w:pPr>
        <w:jc w:val="center"/>
        <w:ind w:right="87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Carole Ben-Maimon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1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20"/>
          </w:cols>
          <w:pgMar w:left="320" w:top="117" w:right="359" w:bottom="1440" w:gutter="0" w:footer="0" w:header="0"/>
        </w:sectPr>
      </w:pPr>
    </w:p>
    <w:p>
      <w:pPr>
        <w:spacing w:after="0" w:line="185"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399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2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Carole Ben-Maimon</w:t>
      </w:r>
    </w:p>
    <w:p>
      <w:pPr>
        <w:spacing w:after="0" w:line="22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Michael Celano</w:t>
      </w:r>
    </w:p>
    <w:p>
      <w:pPr>
        <w:spacing w:after="0" w:line="22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 Joseph Truitt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Joseph Truitt</w:t>
      </w:r>
    </w:p>
    <w:p>
      <w:pPr>
        <w:spacing w:after="0" w:line="22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Peter Barrett</w:t>
      </w:r>
    </w:p>
    <w:p>
      <w:pPr>
        <w:spacing w:after="0" w:line="22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Frank E. Thomas</w:t>
      </w:r>
    </w:p>
    <w:p>
      <w:pPr>
        <w:spacing w:after="0" w:line="22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/s/ Jonathan Leff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Jonathan Leff</w:t>
      </w:r>
    </w:p>
    <w:p>
      <w:pPr>
        <w:spacing w:after="0" w:line="22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 Thomas E.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99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9"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19685</wp:posOffset>
            </wp:positionV>
            <wp:extent cx="2854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President, Chief Executive Officer and Director (principal</w:t>
      </w:r>
    </w:p>
    <w:p>
      <w:pPr>
        <w:spacing w:after="0" w:line="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2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Chairman, Board of Directors</w:t>
      </w:r>
    </w:p>
    <w:p>
      <w:pPr>
        <w:spacing w:after="0" w:line="200" w:lineRule="exact"/>
        <w:rPr>
          <w:sz w:val="20"/>
          <w:szCs w:val="20"/>
          <w:color w:val="auto"/>
        </w:rPr>
      </w:pPr>
    </w:p>
    <w:p>
      <w:pPr>
        <w:spacing w:after="0" w:line="2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19685</wp:posOffset>
            </wp:positionV>
            <wp:extent cx="1474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2023</w:t>
      </w:r>
    </w:p>
    <w:p>
      <w:pPr>
        <w:spacing w:after="0" w:line="337" w:lineRule="exact"/>
        <w:rPr>
          <w:sz w:val="20"/>
          <w:szCs w:val="20"/>
          <w:color w:val="auto"/>
        </w:rPr>
      </w:pPr>
    </w:p>
    <w:p>
      <w:pPr>
        <w:sectPr>
          <w:pgSz w:w="11900" w:h="16838" w:orient="portrait"/>
          <w:cols w:equalWidth="0" w:num="3">
            <w:col w:w="3420" w:space="720"/>
            <w:col w:w="4540" w:space="720"/>
            <w:col w:w="182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55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5000" w:type="dxa"/>
            <w:vAlign w:val="bottom"/>
            <w:gridSpan w:val="4"/>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F-1</w:t>
            </w:r>
          </w:p>
        </w:tc>
      </w:tr>
      <w:tr>
        <w:trPr>
          <w:trHeight w:val="466"/>
        </w:trPr>
        <w:tc>
          <w:tcPr>
            <w:tcW w:w="10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10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and 2021</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F-4</w:t>
            </w:r>
          </w:p>
        </w:tc>
      </w:tr>
      <w:tr>
        <w:trPr>
          <w:trHeight w:val="466"/>
        </w:trPr>
        <w:tc>
          <w:tcPr>
            <w:tcW w:w="828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2022 and 2021</w:t>
            </w:r>
          </w:p>
        </w:tc>
        <w:tc>
          <w:tcPr>
            <w:tcW w:w="228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F-5</w:t>
            </w:r>
          </w:p>
        </w:tc>
      </w:tr>
      <w:tr>
        <w:trPr>
          <w:trHeight w:val="466"/>
        </w:trPr>
        <w:tc>
          <w:tcPr>
            <w:tcW w:w="648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and 2021</w:t>
            </w:r>
          </w:p>
        </w:tc>
        <w:tc>
          <w:tcPr>
            <w:tcW w:w="1460" w:type="dxa"/>
            <w:vAlign w:val="bottom"/>
            <w:tcBorders>
              <w:top w:val="single" w:sz="8" w:color="0000FF"/>
            </w:tcBorders>
          </w:tcPr>
          <w:p>
            <w:pPr>
              <w:spacing w:after="0"/>
              <w:rPr>
                <w:sz w:val="24"/>
                <w:szCs w:val="24"/>
                <w:color w:val="auto"/>
              </w:rPr>
            </w:pPr>
          </w:p>
        </w:tc>
        <w:tc>
          <w:tcPr>
            <w:tcW w:w="2620" w:type="dxa"/>
            <w:vAlign w:val="bottom"/>
            <w:gridSpan w:val="2"/>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F-6</w:t>
            </w:r>
          </w:p>
        </w:tc>
      </w:tr>
      <w:tr>
        <w:trPr>
          <w:trHeight w:val="466"/>
        </w:trPr>
        <w:tc>
          <w:tcPr>
            <w:tcW w:w="10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F-7</w:t>
            </w:r>
          </w:p>
        </w:tc>
      </w:tr>
      <w:tr>
        <w:trPr>
          <w:trHeight w:val="682"/>
        </w:trPr>
        <w:tc>
          <w:tcPr>
            <w:tcW w:w="3160" w:type="dxa"/>
            <w:vAlign w:val="bottom"/>
            <w:tcBorders>
              <w:top w:val="single" w:sz="8" w:color="0000FF"/>
            </w:tcBorders>
          </w:tcPr>
          <w:p>
            <w:pPr>
              <w:spacing w:after="0"/>
              <w:rPr>
                <w:sz w:val="24"/>
                <w:szCs w:val="24"/>
                <w:color w:val="auto"/>
              </w:rPr>
            </w:pPr>
          </w:p>
        </w:tc>
        <w:tc>
          <w:tcPr>
            <w:tcW w:w="33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95</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Larimar Therapeutics, Inc.</w:t>
      </w:r>
    </w:p>
    <w:p>
      <w:pPr>
        <w:spacing w:after="0" w:line="1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07"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We have audited the accompanying consolidated balance sheets of Larimar Therapeutics, Inc. and its subsidiary (the “Company”) as of December 31, 2022 and 2021,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07" w:lineRule="exact"/>
        <w:rPr>
          <w:sz w:val="20"/>
          <w:szCs w:val="20"/>
          <w:color w:val="auto"/>
        </w:rPr>
      </w:pPr>
    </w:p>
    <w:p>
      <w:pPr>
        <w:ind w:right="160"/>
        <w:spacing w:after="0" w:line="255" w:lineRule="auto"/>
        <w:rPr>
          <w:sz w:val="20"/>
          <w:szCs w:val="20"/>
          <w:color w:val="auto"/>
        </w:rPr>
      </w:pPr>
      <w:r>
        <w:rPr>
          <w:rFonts w:ascii="Georgia" w:cs="Georgia" w:eastAsia="Georgia" w:hAnsi="Georgia"/>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07"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Accrued Research and Development Expenses</w:t>
      </w:r>
    </w:p>
    <w:p>
      <w:pPr>
        <w:spacing w:after="0" w:line="1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Notes 2 and 6 to the consolidated financial statements, the Company recognizes external research and development costs based on an evaluation of the progress to completion of specific tasks using information provided to the Company by its key service providers. Within accrued expenses, total accrued research and development expenses amounted to $5.9 million as of December 31, 2022. As disclosed, management’s process involves reviewing open contracts and purchase orders, communicating with personnel and outside vendors to identify services that have been performed, and estimating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ind w:right="140"/>
        <w:spacing w:after="0" w:line="237" w:lineRule="auto"/>
        <w:rPr>
          <w:sz w:val="20"/>
          <w:szCs w:val="20"/>
          <w:color w:val="auto"/>
        </w:rPr>
      </w:pPr>
      <w:r>
        <w:rPr>
          <w:rFonts w:ascii="Georgia" w:cs="Georgia" w:eastAsia="Georgia" w:hAnsi="Georgia"/>
          <w:sz w:val="18"/>
          <w:szCs w:val="18"/>
          <w:color w:val="auto"/>
        </w:rPr>
        <w:t>level of service performed and the associated costs incurred for the services when invoices or other notification of actual costs have not been received.</w:t>
      </w:r>
    </w:p>
    <w:p>
      <w:pPr>
        <w:spacing w:after="0" w:line="10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accrued research and development expenses is a critical audit matter are the significant judgment by management in developing the estimates of accrued research and development expenses, which in turn led to a high degree of auditor judgment, subjectivity and effort in performing procedures and evaluating management’s estimates of the level of service performed and the associated costs incurred for the services when invoices or other notification of actual costs have not yet been received.</w:t>
      </w:r>
    </w:p>
    <w:p>
      <w:pPr>
        <w:spacing w:after="0" w:line="111"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estimates of accrued research and development expenses, which included (i) evaluating the reasonableness of management’s estimates of the level of service performed and the associated costs incurred for the services when invoices or other notification of actual costs have not yet been received; and (ii) testing the completeness and accuracy of data used by management in accrued research and development expenses calculations by comparing amounts, on a test basis, to contracts and invoices. Evaluating the reasonableness of management’s estimate of the level of service performed and the associated costs incurred involved assessing management’s ability to reasonably estimate the level of service and associated costs by comparing such estimates to invoices received, provisions in the contracts and other evidence including communications the company received from third-party vendors.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March 14, 2023</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2020.</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4" w:right="35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r>
      <w:tr>
        <w:trPr>
          <w:trHeight w:val="241"/>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20"/>
                <w:szCs w:val="20"/>
                <w:color w:val="auto"/>
              </w:rPr>
            </w:pPr>
          </w:p>
        </w:tc>
      </w:tr>
      <w:tr>
        <w:trPr>
          <w:trHeight w:val="237"/>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2022 and December 31, 2021; no shares issued and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2022 and December 31, 2021</w:t>
            </w:r>
          </w:p>
        </w:tc>
        <w:tc>
          <w:tcPr>
            <w:tcW w:w="26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as of December 31, 2022 and December 31, 2021;</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43,269,200 and 17,710,450 shares issued and outstanding as of</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180,645</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(151,605 )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(116,250 )</w:t>
            </w: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126,405</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78,667</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-4345305</wp:posOffset>
            </wp:positionV>
            <wp:extent cx="6858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-3402330</wp:posOffset>
            </wp:positionV>
            <wp:extent cx="126047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1260475"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-2125345</wp:posOffset>
            </wp:positionV>
            <wp:extent cx="685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50,465</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25,761,394</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17,164,284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(35,355 )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(50,636 )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(31 )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-1996440</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-1353820</wp:posOffset>
            </wp:positionV>
            <wp:extent cx="1251585"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1251585" cy="2057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-993775</wp:posOffset>
            </wp:positionV>
            <wp:extent cx="125158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4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780" w:type="dxa"/>
            <w:vAlign w:val="bottom"/>
          </w:tcPr>
          <w:p>
            <w:pPr>
              <w:spacing w:after="0"/>
              <w:rPr>
                <w:sz w:val="14"/>
                <w:szCs w:val="14"/>
                <w:color w:val="auto"/>
              </w:rPr>
            </w:pPr>
          </w:p>
        </w:tc>
        <w:tc>
          <w:tcPr>
            <w:tcW w:w="20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e</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92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47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Balances as of December 31, 2021</w:t>
            </w:r>
          </w:p>
        </w:tc>
        <w:tc>
          <w:tcPr>
            <w:tcW w:w="920" w:type="dxa"/>
            <w:vAlign w:val="bottom"/>
            <w:tcBorders>
              <w:top w:val="single" w:sz="8" w:color="auto"/>
            </w:tcBorders>
            <w:shd w:val="clear" w:color="auto" w:fill="CFF0FC"/>
          </w:tcPr>
          <w:p>
            <w:pPr>
              <w:jc w:val="right"/>
              <w:spacing w:after="0" w:line="188" w:lineRule="exact"/>
              <w:rPr>
                <w:sz w:val="20"/>
                <w:szCs w:val="20"/>
                <w:color w:val="auto"/>
              </w:rPr>
            </w:pPr>
            <w:r>
              <w:rPr>
                <w:rFonts w:ascii="Times New Roman" w:cs="Times New Roman" w:eastAsia="Times New Roman" w:hAnsi="Times New Roman"/>
                <w:sz w:val="17"/>
                <w:szCs w:val="17"/>
                <w:color w:val="auto"/>
              </w:rPr>
              <w:t>17,710,45</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180,645</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(116,250 )</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64,413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25,558,75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75,232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75,257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780" w:type="dxa"/>
            <w:vAlign w:val="bottom"/>
            <w:vMerge w:val="continue"/>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7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(31 )</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(35,355 )</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(35,355 )</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as of December 31, 2022</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43,269,20</w:t>
            </w:r>
          </w:p>
        </w:tc>
        <w:tc>
          <w:tcPr>
            <w:tcW w:w="20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262,496</w:t>
            </w:r>
          </w:p>
        </w:tc>
        <w:tc>
          <w:tcPr>
            <w:tcW w:w="180" w:type="dxa"/>
            <w:vAlign w:val="bottom"/>
            <w:vMerge w:val="restart"/>
          </w:tcPr>
          <w:p>
            <w:pPr>
              <w:spacing w:after="0"/>
              <w:rPr>
                <w:sz w:val="16"/>
                <w:szCs w:val="16"/>
                <w:color w:val="auto"/>
              </w:rPr>
            </w:pP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(151,605 )</w:t>
            </w: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(31 )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110,903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780" w:type="dxa"/>
            <w:vAlign w:val="bottom"/>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780" w:type="dxa"/>
            <w:vAlign w:val="bottom"/>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4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780" w:type="dxa"/>
            <w:vAlign w:val="bottom"/>
          </w:tcPr>
          <w:p>
            <w:pPr>
              <w:spacing w:after="0"/>
              <w:rPr>
                <w:sz w:val="14"/>
                <w:szCs w:val="14"/>
                <w:color w:val="auto"/>
              </w:rPr>
            </w:pPr>
          </w:p>
        </w:tc>
        <w:tc>
          <w:tcPr>
            <w:tcW w:w="20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e</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92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47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Balances as of December 31, 2020</w:t>
            </w:r>
          </w:p>
        </w:tc>
        <w:tc>
          <w:tcPr>
            <w:tcW w:w="920" w:type="dxa"/>
            <w:vAlign w:val="bottom"/>
            <w:tcBorders>
              <w:top w:val="single" w:sz="8" w:color="auto"/>
            </w:tcBorders>
            <w:shd w:val="clear" w:color="auto" w:fill="CFF0FC"/>
          </w:tcPr>
          <w:p>
            <w:pPr>
              <w:jc w:val="right"/>
              <w:spacing w:after="0" w:line="188" w:lineRule="exact"/>
              <w:rPr>
                <w:sz w:val="20"/>
                <w:szCs w:val="20"/>
                <w:color w:val="auto"/>
              </w:rPr>
            </w:pPr>
            <w:r>
              <w:rPr>
                <w:rFonts w:ascii="Times New Roman" w:cs="Times New Roman" w:eastAsia="Times New Roman" w:hAnsi="Times New Roman"/>
                <w:sz w:val="17"/>
                <w:szCs w:val="17"/>
                <w:color w:val="auto"/>
              </w:rPr>
              <w:t>15,367,73</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155,290</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(65,614 )</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89,692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2,342,720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(50,636 )</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(50,636 )</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as of December 31, 2021</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17,710,45</w:t>
            </w:r>
          </w:p>
        </w:tc>
        <w:tc>
          <w:tcPr>
            <w:tcW w:w="20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180,645</w:t>
            </w:r>
          </w:p>
        </w:tc>
        <w:tc>
          <w:tcPr>
            <w:tcW w:w="180" w:type="dxa"/>
            <w:vAlign w:val="bottom"/>
            <w:vMerge w:val="restart"/>
          </w:tcPr>
          <w:p>
            <w:pPr>
              <w:spacing w:after="0"/>
              <w:rPr>
                <w:sz w:val="16"/>
                <w:szCs w:val="16"/>
                <w:color w:val="auto"/>
              </w:rPr>
            </w:pP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(116,250 )</w:t>
            </w: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64,413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780" w:type="dxa"/>
            <w:vAlign w:val="bottom"/>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780" w:type="dxa"/>
            <w:vAlign w:val="bottom"/>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-2176780</wp:posOffset>
            </wp:positionV>
            <wp:extent cx="76835" cy="3086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-2176780</wp:posOffset>
            </wp:positionV>
            <wp:extent cx="77470" cy="308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-2176780</wp:posOffset>
            </wp:positionV>
            <wp:extent cx="68580" cy="308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-2176780</wp:posOffset>
            </wp:positionV>
            <wp:extent cx="68580" cy="308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-2176780</wp:posOffset>
            </wp:positionV>
            <wp:extent cx="68580" cy="308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308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-307975</wp:posOffset>
            </wp:positionV>
            <wp:extent cx="76835" cy="308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-307975</wp:posOffset>
            </wp:positionV>
            <wp:extent cx="77470" cy="308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-307975</wp:posOffset>
            </wp:positionV>
            <wp:extent cx="68580" cy="3086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-307975</wp:posOffset>
            </wp:positionV>
            <wp:extent cx="68580" cy="308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-307975</wp:posOffset>
            </wp:positionV>
            <wp:extent cx="68580"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5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(35,355 )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(50,636 )</w:t>
            </w: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fixed asset</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(46 )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discount on marketable securities</w:t>
            </w:r>
          </w:p>
        </w:tc>
        <w:tc>
          <w:tcPr>
            <w:tcW w:w="28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(774 )</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653"/>
        </w:trPr>
        <w:tc>
          <w:tcPr>
            <w:tcW w:w="85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39"/>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(204 )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(974 )</w:t>
            </w:r>
          </w:p>
        </w:tc>
      </w:tr>
      <w:tr>
        <w:trPr>
          <w:trHeight w:val="239"/>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0"/>
                <w:szCs w:val="20"/>
                <w:color w:val="auto"/>
              </w:rPr>
            </w:pPr>
          </w:p>
        </w:tc>
      </w:tr>
      <w:tr>
        <w:trPr>
          <w:trHeight w:val="243"/>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r>
      <w:tr>
        <w:trPr>
          <w:trHeight w:val="20"/>
        </w:trPr>
        <w:tc>
          <w:tcPr>
            <w:tcW w:w="8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(27,569 )</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(42,105 )</w:t>
            </w:r>
          </w:p>
        </w:tc>
      </w:tr>
      <w:tr>
        <w:trPr>
          <w:trHeight w:val="241"/>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(133,610 )</w:t>
            </w: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(8,248 )</w:t>
            </w: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tcPr>
          <w:p>
            <w:pPr>
              <w:spacing w:after="0"/>
              <w:rPr>
                <w:sz w:val="20"/>
                <w:szCs w:val="20"/>
                <w:color w:val="auto"/>
              </w:rPr>
            </w:pPr>
          </w:p>
        </w:tc>
      </w:tr>
      <w:tr>
        <w:trPr>
          <w:trHeight w:val="236"/>
        </w:trPr>
        <w:tc>
          <w:tcPr>
            <w:tcW w:w="8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(90,960</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 net of issuance costs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75,257</w:t>
            </w:r>
          </w:p>
        </w:tc>
        <w:tc>
          <w:tcPr>
            <w:tcW w:w="3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75,257</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Pr>
          <w:p>
            <w:pPr>
              <w:spacing w:after="0"/>
              <w:rPr>
                <w:sz w:val="20"/>
                <w:szCs w:val="20"/>
                <w:color w:val="auto"/>
              </w:rPr>
            </w:pPr>
          </w:p>
        </w:tc>
      </w:tr>
      <w:tr>
        <w:trPr>
          <w:trHeight w:val="241"/>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71,436</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69,487</w:t>
            </w:r>
          </w:p>
        </w:tc>
        <w:tc>
          <w:tcPr>
            <w:tcW w:w="100" w:type="dxa"/>
            <w:vAlign w:val="bottom"/>
          </w:tcPr>
          <w:p>
            <w:pPr>
              <w:spacing w:after="0"/>
              <w:rPr>
                <w:sz w:val="20"/>
                <w:szCs w:val="20"/>
                <w:color w:val="auto"/>
              </w:rPr>
            </w:pPr>
          </w:p>
        </w:tc>
      </w:tr>
      <w:tr>
        <w:trPr>
          <w:trHeight w:val="277"/>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-1936750</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-985520</wp:posOffset>
            </wp:positionV>
            <wp:extent cx="6858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-668020</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May 2021, Larimar reported positive top-line data from its Phase 1 FA program after completing dosing of the single ascending dose ("SAD") trial in December 2020 and of the multiple ascending dose ("MAD") trial in March 2021.</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Also in May 2021, the United States Food and Drug Administration ("FDA") placed a clinical hold on the Company's CTI-1601 clinical program after the Company notified the agency of mortalities at the highest dose levels of the 26-week non-human primate toxicology study that was designed to support extended dosing of patients with CTI-1601. At the time the hold was placed, Larimar had no interventional clinical trials with patients enrolling or enrolled.</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2022, in response to the complete response the Company submitted, the FDA stated that it was maintaining the clinical hold and that additional data were needed to resolve the clinical hold. The Company subsequently submitted a request to the FDA for a Type C meeting, which was granted and was held in July 2022. The Company submitted a complete response to the FDA incorporating additional information requested by the FDA at the meeting as well as information on a proposed dose exploration study in August 2022.</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the Company's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PD and PK profiles to provide information about the preferred long-term dose and dose regimen. The Company has since initiated the</w:t>
      </w:r>
    </w:p>
    <w:p>
      <w:pPr>
        <w:spacing w:after="0" w:line="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25 mg cohort of the Phase 2 dose exploration trial. Initiation of the second cohort and/or other clinical trials is contingent on the FDA’s agreement based on its review of the trial's 25 mg cohort data and on review by the trial’s independent data monitoring committee. The Company anticipates that it will provide an update that will outline the next steps for the clinical trial in the second quarter of 2023 and anticipates reporting top-line data in the second half of 2023.</w:t>
      </w:r>
    </w:p>
    <w:p>
      <w:pPr>
        <w:spacing w:after="0" w:line="6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it will realize significant revenue from product sales.</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COVID-19 pandemic that began late in 2019 caused a four-month temporary stoppage of the Company’s trials with patients with FA in early 2020. Both of the Company’s SAD and MAD clinical trials were subsequently completed in 2021. While COVID-19 has had no significant impact to date on the Company’s 25 mg cohort of its dose exploration study, the risk of a resurgence of future vaccine resistant variants of COVID-19 and or other infectious diseases remains. In the future, the COVID-19 pandemic and responsive measures thereto may result in negative impacts on the Company, including possible delays in our clinical and regulatory activities. The Company cannot be certain what the overall impact of the COVID-19 pandemic will be on its business and it has the potential to materially adversely affect its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Larimar and its wholly owned subsidiary. All intercompany balances and transactions have been eliminated. The accompanying consolidated financial statements have been prepared in conformity with GAAP.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60" w:firstLine="554"/>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$35.4 million and $50.6 million for the years ended December 31, 2022, and 2021, respectively. In addition, as of December 31, 2022, the Company had an accumulated deficit of $151.6 million. The Company expects to continue to generate operating losses for the foreseeable future. As of December 31, 2022, the Company had approximately $118.4 million of cash, cash equivalents and marketable securities available for use to fund its operations and capital requirements.</w:t>
      </w:r>
    </w:p>
    <w:p>
      <w:pPr>
        <w:spacing w:after="0" w:line="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 consolidated financial statements are issued. As of the issuance date of these consolidated financial statements, the Company expects its cash, cash equivalents and marketable securities will be sufficient to fund its forecasted operating expenses and capital expenditure requirements, for at least twelve months from the issuance of these financial statements. If the timing of the Company's clinical assumptions are delayed or if there are other forecasted assumption changes that negatively impact its operating plan, the Company could reduce expenditures in order to further extend cash resources.</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Until the Company can generate substantial revenue, if ever, management continuously evaluates different strategies to obtain the required funding for future operations. These strategies include seeking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unrest, global uncertainty, the impact of another COVID-19 pandemic and/or the potential impact of other health crises on the global financial markets may reduce the Company's ability to access capital, which could negatively affect its liquidity and ability to continue as a going concern.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4" w:name="page105"/>
    <w:bookmarkEnd w:id="104"/>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spacing w:after="0" w:line="64"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marketable securities. Cash balances may be held in financial institutions which may exceed federally insured limits. The Company has not experienced realized losses related to its cash, cash equivalents and marketable securities.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CTI-1601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equivalents consisted of money market funds as of December 31, 2022 and commercial paper and corporate bonds as of December 31,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Marketable securities consist of debt investments with original maturities greater than ninety days. The Company classifies its marketable securities as available-for-sale. Accordingly, these investments are recorded at fair value, which is based on quoted market prices. When the fair value is below the amortized cost the amount of the expected credit loss is estimated. The credit-related impairment amount, if any, would be recognized in net income; the remaining impairment amount and unrealized gains are reported as a component of accumulated other comprehensive income in stockholders’ equity. Credit losses, if any,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would be required to sell the security prior to recovery of its amortized cost basis, the allowance for credit loss would be written off and the excess of the amortized cost basis of the asset over its fair value is recorded in net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5" w:name="page106"/>
    <w:bookmarkEnd w:id="105"/>
    <w:p>
      <w:pPr>
        <w:ind w:right="440"/>
        <w:spacing w:after="0" w:line="282" w:lineRule="auto"/>
        <w:rPr>
          <w:sz w:val="20"/>
          <w:szCs w:val="20"/>
          <w:color w:val="auto"/>
        </w:rPr>
      </w:pPr>
      <w:r>
        <w:rPr>
          <w:rFonts w:ascii="Times New Roman" w:cs="Times New Roman" w:eastAsia="Times New Roman" w:hAnsi="Times New Roman"/>
          <w:sz w:val="18"/>
          <w:szCs w:val="18"/>
          <w:color w:val="auto"/>
        </w:rPr>
        <w:t>retirement or sale, the cost and related accumulated depreciation of assets disposed of are removed from the accounts and any resulting gain or loss is included in loss from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net¸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6" w:name="page107"/>
    <w:bookmarkEnd w:id="106"/>
    <w:p>
      <w:pPr>
        <w:ind w:right="120"/>
        <w:spacing w:after="0" w:line="266" w:lineRule="auto"/>
        <w:rPr>
          <w:sz w:val="20"/>
          <w:szCs w:val="20"/>
          <w:color w:val="auto"/>
        </w:rPr>
      </w:pPr>
      <w:r>
        <w:rPr>
          <w:rFonts w:ascii="Times New Roman" w:cs="Times New Roman" w:eastAsia="Times New Roman" w:hAnsi="Times New Roman"/>
          <w:sz w:val="18"/>
          <w:szCs w:val="18"/>
          <w:color w:val="auto"/>
        </w:rPr>
        <w:t>“plain-vanilla”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4"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the years ended December 31, 2022 and 2021, the Company’s only element of other comprehensive loss was unrealized loss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twelve months ended December 31, 2022 and 2021 includes the weighted average effect of 628,403 prefunded warrants for the purchase of shares of common stock for which the remaining unfunded exercise price is $0.01 per share.</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0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3,071,528 and 2,523,305 options to purchase common stock, outstanding as of December 31, 2022 and 2021 respectively, from the computation of diluted net loss per share for the twelve months ended December 31, 2022 and 2021, respectively, because they had an anti-dilutive impact due to the net loss incurred for the periods.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 effect of which was not material on an annual or interim basis to the Company’s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spacing w:after="0" w:line="64"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Cash Equivalents/Marketable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and liabilities that are measured at fair value on a recurring basis as of December 31, 2022 and December 31, 2021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40"/>
          </w:cols>
          <w:pgMar w:left="320" w:top="225" w:right="33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200" w:lineRule="exact"/>
        <w:rPr>
          <w:sz w:val="20"/>
          <w:szCs w:val="20"/>
          <w:color w:val="auto"/>
        </w:rPr>
      </w:pPr>
    </w:p>
    <w:p>
      <w:pPr>
        <w:sectPr>
          <w:pgSz w:w="11900" w:h="16838" w:orient="portrait"/>
          <w:cols w:equalWidth="0" w:num="2">
            <w:col w:w="700" w:space="620"/>
            <w:col w:w="9920"/>
          </w:cols>
          <w:pgMar w:left="320" w:top="225" w:right="33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00" w:lineRule="exact"/>
        <w:rPr>
          <w:sz w:val="20"/>
          <w:szCs w:val="20"/>
          <w:color w:val="auto"/>
        </w:rPr>
      </w:pPr>
    </w:p>
    <w:p>
      <w:pPr>
        <w:sectPr>
          <w:pgSz w:w="11900" w:h="16838" w:orient="portrait"/>
          <w:cols w:equalWidth="0" w:num="2">
            <w:col w:w="700" w:space="620"/>
            <w:col w:w="9920"/>
          </w:cols>
          <w:pgMar w:left="320" w:top="225" w:right="33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31" w:lineRule="exact"/>
        <w:rPr>
          <w:sz w:val="20"/>
          <w:szCs w:val="20"/>
          <w:color w:val="auto"/>
        </w:rPr>
      </w:pPr>
    </w:p>
    <w:p>
      <w:pPr>
        <w:sectPr>
          <w:pgSz w:w="11900" w:h="16838" w:orient="portrait"/>
          <w:cols w:equalWidth="0" w:num="2">
            <w:col w:w="700" w:space="620"/>
            <w:col w:w="9920"/>
          </w:cols>
          <w:pgMar w:left="320" w:top="225" w:right="339" w:bottom="1440" w:gutter="0" w:footer="0" w:header="0"/>
          <w:type w:val="continuous"/>
        </w:sect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payable and accrued liabilities. For accounts payable and accrued liabilities, the carrying amounts of these financial instruments as of December 31, 2022 and 2021 were considered representative of their fair values due to their short term to maturity.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141605</wp:posOffset>
            </wp:positionV>
            <wp:extent cx="3089910" cy="784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3089910" cy="78422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97"/>
              <w:spacing w:after="0" w:line="15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36"/>
              <w:spacing w:after="0" w:line="15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Borders>
              <w:top w:val="single" w:sz="8" w:color="CFF0FC"/>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-2112645</wp:posOffset>
            </wp:positionV>
            <wp:extent cx="7145020" cy="3384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-1477645</wp:posOffset>
            </wp:positionV>
            <wp:extent cx="7145020" cy="672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145020" cy="67246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$0.1 million as of December 31, 2022 and is included in prepaid expenses and other current assets on the consolidated balance sheet. There was no accrued interest receivable at December 31, 2021.</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debt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unrealized loss for available-for-sale investments were non-credit related, and the Company does not intend to sell the investments that were in an unrealized loss position, nor will it be required to sell those investments before recovery of their amortized cost basis, which may be maturity. As of December 31, 2022 and 2021, no allowances for credit losses for the Company’s investments were recorded. During the twelve months ended December 31, 2022 and 2021, the Company did not recognize any impairment losses related to investments.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Company's cash equivalents and marketable securities consisted of a U.S. government money market fund and U.S. government agency securities, all held in our name in a separate custody account with U.S. Bank. The U.S. government money market fund has same-day liquidity access and the U.S. government and agency securities all have maturities of 90 days or less.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as of December 31, 2022. There were no marketable securities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147320</wp:posOffset>
            </wp:positionV>
            <wp:extent cx="2935605" cy="5956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2935605" cy="59563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61"/>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6"/>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and agency securities (due within 1 year)</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40" w:type="dxa"/>
            <w:vAlign w:val="bottom"/>
            <w:tcBorders>
              <w:top w:val="single" w:sz="8" w:color="CFF0FC"/>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91,634</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91,603</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-187960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8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FF0FC"/>
          </w:tcPr>
          <w:p>
            <w:pPr>
              <w:spacing w:after="0"/>
              <w:rPr>
                <w:sz w:val="21"/>
                <w:szCs w:val="21"/>
                <w:color w:val="auto"/>
              </w:rPr>
            </w:pPr>
          </w:p>
        </w:tc>
      </w:tr>
      <w:tr>
        <w:trPr>
          <w:trHeight w:val="23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0"/>
                <w:szCs w:val="20"/>
                <w:color w:val="auto"/>
              </w:rPr>
            </w:pPr>
          </w:p>
        </w:tc>
      </w:tr>
      <w:tr>
        <w:trPr>
          <w:trHeight w:val="247"/>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receivable</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21"/>
                <w:szCs w:val="21"/>
                <w:color w:val="auto"/>
              </w:rPr>
            </w:pPr>
          </w:p>
        </w:tc>
      </w:tr>
      <w:tr>
        <w:trPr>
          <w:trHeight w:val="23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r>
      <w:tr>
        <w:trPr>
          <w:trHeight w:val="276"/>
        </w:trPr>
        <w:tc>
          <w:tcPr>
            <w:tcW w:w="8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140" w:type="dxa"/>
            <w:vAlign w:val="bottom"/>
          </w:tcPr>
          <w:p>
            <w:pPr>
              <w:spacing w:after="0"/>
              <w:rPr>
                <w:sz w:val="16"/>
                <w:szCs w:val="16"/>
                <w:color w:val="auto"/>
              </w:rPr>
            </w:pPr>
          </w:p>
        </w:tc>
        <w:tc>
          <w:tcPr>
            <w:tcW w:w="3580" w:type="dxa"/>
            <w:vAlign w:val="bottom"/>
          </w:tcPr>
          <w:p>
            <w:pPr>
              <w:jc w:val="center"/>
              <w:ind w:left="21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580" w:type="dxa"/>
            <w:vAlign w:val="bottom"/>
            <w:shd w:val="clear" w:color="auto" w:fill="CFF0FC"/>
          </w:tcPr>
          <w:p>
            <w:pPr>
              <w:jc w:val="center"/>
              <w:ind w:left="2134"/>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r>
      <w:tr>
        <w:trPr>
          <w:trHeight w:val="23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580" w:type="dxa"/>
            <w:vAlign w:val="bottom"/>
          </w:tcPr>
          <w:p>
            <w:pPr>
              <w:jc w:val="center"/>
              <w:ind w:left="2134"/>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0"/>
                <w:szCs w:val="20"/>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580" w:type="dxa"/>
            <w:vAlign w:val="bottom"/>
            <w:shd w:val="clear" w:color="auto" w:fill="CFF0FC"/>
          </w:tcPr>
          <w:p>
            <w:pPr>
              <w:jc w:val="center"/>
              <w:ind w:left="2134"/>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jc w:val="center"/>
              <w:ind w:left="2114"/>
              <w:spacing w:after="0"/>
              <w:rPr>
                <w:sz w:val="20"/>
                <w:szCs w:val="20"/>
                <w:color w:val="auto"/>
              </w:rPr>
            </w:pPr>
            <w:r>
              <w:rPr>
                <w:rFonts w:ascii="Times New Roman" w:cs="Times New Roman" w:eastAsia="Times New Roman" w:hAnsi="Times New Roman"/>
                <w:sz w:val="18"/>
                <w:szCs w:val="18"/>
                <w:color w:val="auto"/>
              </w:rPr>
              <w:t>lease term</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r>
      <w:tr>
        <w:trPr>
          <w:trHeight w:val="236"/>
        </w:trPr>
        <w:tc>
          <w:tcPr>
            <w:tcW w:w="5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20"/>
                <w:szCs w:val="20"/>
                <w:color w:val="auto"/>
              </w:rPr>
            </w:pPr>
          </w:p>
        </w:tc>
      </w:tr>
      <w:tr>
        <w:trPr>
          <w:trHeight w:val="23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(596 )</w:t>
            </w:r>
          </w:p>
        </w:tc>
      </w:tr>
      <w:tr>
        <w:trPr>
          <w:trHeight w:val="277"/>
        </w:trPr>
        <w:tc>
          <w:tcPr>
            <w:tcW w:w="51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$0.2 million for the years ended December 31, 2022 and 2021, respectively. In addition, for the years ended December 31, 2022 and 2021, there was $0.1 million of depreciation related to sublet assets recorded as other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8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FF0FC"/>
          </w:tcPr>
          <w:p>
            <w:pPr>
              <w:spacing w:after="0"/>
              <w:rPr>
                <w:sz w:val="21"/>
                <w:szCs w:val="21"/>
                <w:color w:val="auto"/>
              </w:rPr>
            </w:pPr>
          </w:p>
        </w:tc>
      </w:tr>
      <w:tr>
        <w:trPr>
          <w:trHeight w:val="23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0"/>
                <w:szCs w:val="20"/>
                <w:color w:val="auto"/>
              </w:rPr>
            </w:pPr>
          </w:p>
        </w:tc>
      </w:tr>
      <w:tr>
        <w:trPr>
          <w:trHeight w:val="243"/>
        </w:trPr>
        <w:tc>
          <w:tcPr>
            <w:tcW w:w="8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20"/>
                <w:szCs w:val="20"/>
                <w:color w:val="auto"/>
              </w:rPr>
            </w:pPr>
          </w:p>
        </w:tc>
      </w:tr>
      <w:tr>
        <w:trPr>
          <w:trHeight w:val="20"/>
        </w:trPr>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-187960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Company’s Amended and Restated Certificate of Incorporation, authorized the Company to issue up to 115,000,000 shares of $0.001 par value common stock, of which 43,269,200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July 2021, the Company sold 2,342,720 shares under an “at-the-market” equity distribution agreement (the "Prior ATM Agreement") with Piper Sandler &amp; Co. for net proceeds of $19.9 million. The Prior ATM Agreement was terminated in November 2022 in connection with the establishment of a new "at-the-market" offering program (see 2022 ATM Agreement below). An aggregate of 2,354,244 shares of common stock were sold pursuant to the Prior ATM Agreement for net proceeds of $20.1 million.</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September 2022, the Company sold 25,558,750 shares of common stock in an underwritten public offering price of $3.15 per share and received net proceeds, net of underwriting discounts and commissions and offering costs of $75.2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ATM Agreement</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Company entered into a sales agreement (the "ATM Agreement") with a Guggenheim Securities, LLC in connection with the establishment of an “at-the-market” offering program under which the Company may sell up to an aggregate of $50.0 million of shares of common stock (the “ATM Shares”) from time to time.</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ind w:right="80"/>
        <w:spacing w:after="0" w:line="258" w:lineRule="auto"/>
        <w:rPr>
          <w:sz w:val="20"/>
          <w:szCs w:val="20"/>
          <w:color w:val="auto"/>
        </w:rPr>
      </w:pPr>
      <w:r>
        <w:rPr>
          <w:rFonts w:ascii="Times New Roman" w:cs="Times New Roman" w:eastAsia="Times New Roman" w:hAnsi="Times New Roman"/>
          <w:sz w:val="18"/>
          <w:szCs w:val="18"/>
          <w:color w:val="auto"/>
        </w:rPr>
        <w:t>to be “at-the-market offerings” as defined in Rule 415 under the Securities Act. The Company pays its investment bank a commission equal to 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ATM Shares will be offered and sold pursuant to the Company’s Registration Statement on Form S-3, filed by the Company on November 10, 2022 and effective as of November 21, 2022 (the “Registration Statement”), and the sales agreement prospectus that forms a part of such Registration Statement. As of the date of this Annual Report on Form 10-K, no ATM Shares have been sold pursuant to the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During the twelve months ended December 31, 2022 and 2021, respectively, options to purchase 148,623 and 56,966 shares issued under the Prior Plans were canceled and became available for grant under the 2020 Plan. As of December 31, 2022, 1,054,277 shares of common stock were available for grant under the 2020 Plan.</w:t>
      </w:r>
    </w:p>
    <w:p>
      <w:pPr>
        <w:spacing w:after="0" w:line="8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permitted by the 2020 Plan, the Company added 1,730,768 and 708,418 shares available for grant to the 2020 Plan on January 1, 2023 and January 1, 2022, respectively, increasing the maximum number of shares of the Company’s common stock that may be issued under the 2020 Plan as of January 1, 2023 to 2,785,045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5240" w:type="dxa"/>
            <w:vAlign w:val="bottom"/>
            <w:gridSpan w:val="2"/>
          </w:tcPr>
          <w:p>
            <w:pPr>
              <w:jc w:val="center"/>
              <w:ind w:left="4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84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3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8"/>
              </w:rPr>
              <w:t>2.15%</w:t>
            </w:r>
          </w:p>
        </w:tc>
        <w:tc>
          <w:tcPr>
            <w:tcW w:w="4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0.89%</w:t>
            </w:r>
          </w:p>
        </w:tc>
        <w:tc>
          <w:tcPr>
            <w:tcW w:w="100" w:type="dxa"/>
            <w:vAlign w:val="bottom"/>
            <w:shd w:val="clear" w:color="auto" w:fill="CFF0FC"/>
          </w:tcPr>
          <w:p>
            <w:pPr>
              <w:spacing w:after="0"/>
              <w:rPr>
                <w:sz w:val="20"/>
                <w:szCs w:val="20"/>
                <w:color w:val="auto"/>
              </w:rPr>
            </w:pP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40" w:type="dxa"/>
            <w:vAlign w:val="bottom"/>
            <w:gridSpan w:val="2"/>
            <w:shd w:val="clear" w:color="auto" w:fill="CFF0FC"/>
          </w:tcPr>
          <w:p>
            <w:pPr>
              <w:jc w:val="center"/>
              <w:ind w:left="4455"/>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6"/>
              </w:rPr>
              <w:t>91%</w:t>
            </w:r>
          </w:p>
        </w:tc>
        <w:tc>
          <w:tcPr>
            <w:tcW w:w="100" w:type="dxa"/>
            <w:vAlign w:val="bottom"/>
            <w:shd w:val="clear" w:color="auto" w:fill="CFF0FC"/>
          </w:tcPr>
          <w:p>
            <w:pPr>
              <w:spacing w:after="0"/>
              <w:rPr>
                <w:sz w:val="21"/>
                <w:szCs w:val="21"/>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240" w:type="dxa"/>
            <w:vAlign w:val="bottom"/>
            <w:gridSpan w:val="2"/>
          </w:tcPr>
          <w:p>
            <w:pPr>
              <w:jc w:val="center"/>
              <w:ind w:left="4455"/>
              <w:spacing w:after="0"/>
              <w:rPr>
                <w:sz w:val="20"/>
                <w:szCs w:val="20"/>
                <w:color w:val="auto"/>
              </w:rPr>
            </w:pPr>
            <w:r>
              <w:rPr>
                <w:rFonts w:ascii="Times New Roman" w:cs="Times New Roman" w:eastAsia="Times New Roman" w:hAnsi="Times New Roman"/>
                <w:sz w:val="18"/>
                <w:szCs w:val="18"/>
                <w:color w:val="auto"/>
                <w:w w:val="98"/>
              </w:rPr>
              <w:t>0.00%</w:t>
            </w:r>
          </w:p>
        </w:tc>
        <w:tc>
          <w:tcPr>
            <w:tcW w:w="440" w:type="dxa"/>
            <w:vAlign w:val="bottom"/>
          </w:tcPr>
          <w:p>
            <w:pPr>
              <w:spacing w:after="0"/>
              <w:rPr>
                <w:sz w:val="20"/>
                <w:szCs w:val="20"/>
                <w:color w:val="auto"/>
              </w:rPr>
            </w:pPr>
          </w:p>
        </w:tc>
        <w:tc>
          <w:tcPr>
            <w:tcW w:w="184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r>
      <w:tr>
        <w:trPr>
          <w:trHeight w:val="657"/>
        </w:trPr>
        <w:tc>
          <w:tcPr>
            <w:tcW w:w="3620" w:type="dxa"/>
            <w:vAlign w:val="bottom"/>
          </w:tcPr>
          <w:p>
            <w:pPr>
              <w:spacing w:after="0"/>
              <w:rPr>
                <w:sz w:val="24"/>
                <w:szCs w:val="24"/>
                <w:color w:val="auto"/>
              </w:rPr>
            </w:pPr>
          </w:p>
        </w:tc>
        <w:tc>
          <w:tcPr>
            <w:tcW w:w="52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twelve months ended December 31, 2022 (amounts in millions, except for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Value (a)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8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2,523,305</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Forfeited/Expired</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(330,227 )</w:t>
            </w: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3,071,528</w:t>
            </w: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December 31, 2022</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1,454,738</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as of December 31, 2022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3,071,528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-565150</wp:posOffset>
            </wp:positionV>
            <wp:extent cx="76835"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-205105</wp:posOffset>
            </wp:positionV>
            <wp:extent cx="76835" cy="2057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70" w:lineRule="exact"/>
        <w:rPr>
          <w:sz w:val="20"/>
          <w:szCs w:val="20"/>
          <w:color w:val="auto"/>
        </w:rPr>
      </w:pPr>
    </w:p>
    <w:p>
      <w:pPr>
        <w:ind w:left="760" w:right="6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Option Grants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2022, the Company granted options to purchase 878,450 shares of common stock to employees and directors of the Company under the 2020 Plan. The options have an exercise price equal to the closing stock price as of the grant date. Of the 878,450 options granted in 2022, 836,950 were granted to employees and vest over four years with 25% vesting on the first anniversary of the grant and the remainder vesting in equal monthly installments thereafter. The remaining 41,500 options were annual grants to the Company's directors and vest one year from the grant date. The weighted-average grant date fair value of options granted during the twelve months ended December 31, 2022 was $5.21.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Option Grants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January 31, 2023, the Company granted options to purchase 1,031,000 shares of common stock and 650,000 shares of restricted stock to employees under the 2020 Plan. The options have an exercise price equal to the closing stock price as of the grant date, and vest over four years, with 25% vesting on the first anniversary of the grant and the remainder vesting in equal monthly installments thereafter. The shares of restricted stock which will vest annually over four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286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580" w:type="dxa"/>
            <w:vAlign w:val="bottom"/>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1320" w:type="dxa"/>
            <w:vAlign w:val="bottom"/>
            <w:gridSpan w:val="2"/>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2,771</w:t>
            </w:r>
          </w:p>
        </w:tc>
        <w:tc>
          <w:tcPr>
            <w:tcW w:w="132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3,848</w:t>
            </w:r>
          </w:p>
        </w:tc>
        <w:tc>
          <w:tcPr>
            <w:tcW w:w="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6,619</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60" w:firstLine="509"/>
        <w:spacing w:after="0" w:line="313"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unvested stock options was $11.8 million, which is expected to be recognized over a weighted average period of 2.14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 Both agreements continue from their effective date through the last to expire of the applicable agreement’s licensed patents unless earlier terminated by either party in accordance with their terms.</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to expire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and determined there was no impairment.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4" w:name="page115"/>
    <w:bookmarkEnd w:id="114"/>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lease expense and depreciation on the sublet assets on this sublease on a straight-line basis as a component of other income/(expense).</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On January 3, 2023, the Company entered into a one-year extension of this lease. The Company has determined this lease extension qualifies as a short-term lease and have applied the accounting policy election to not record the related right-of-use asset and lease liabilities.</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Expense arising from operating leases was $0.3 million during the twelve months ended December 31, 2022 and 2021, respectively. For operating leases, the weighted-average remaining lease term for leases at December 31, 2022 and 2021 was 6.8 and 7.6 years, respectively. For operating leases, the weighted average discount rate for leases at December 31, 2022 and 2021 was 11.0%. The Company has not entered into any financing leases.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December 31, 2022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3"/>
                <w:szCs w:val="13"/>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3"/>
        </w:trPr>
        <w:tc>
          <w:tcPr>
            <w:tcW w:w="20" w:type="dxa"/>
            <w:vAlign w:val="bottom"/>
          </w:tcPr>
          <w:p>
            <w:pPr>
              <w:spacing w:after="0"/>
              <w:rPr>
                <w:sz w:val="15"/>
                <w:szCs w:val="15"/>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43"/>
        </w:trPr>
        <w:tc>
          <w:tcPr>
            <w:tcW w:w="1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21"/>
                <w:szCs w:val="21"/>
                <w:color w:val="auto"/>
              </w:rPr>
            </w:pPr>
          </w:p>
        </w:tc>
      </w:tr>
      <w:tr>
        <w:trPr>
          <w:trHeight w:val="23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0"/>
                <w:szCs w:val="20"/>
                <w:color w:val="auto"/>
              </w:rPr>
            </w:pPr>
          </w:p>
        </w:tc>
      </w:tr>
      <w:tr>
        <w:trPr>
          <w:trHeight w:val="247"/>
        </w:trPr>
        <w:tc>
          <w:tcPr>
            <w:tcW w:w="1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21"/>
                <w:szCs w:val="21"/>
                <w:color w:val="auto"/>
              </w:rPr>
            </w:pPr>
          </w:p>
        </w:tc>
      </w:tr>
      <w:tr>
        <w:trPr>
          <w:trHeight w:val="23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0"/>
                <w:szCs w:val="20"/>
                <w:color w:val="auto"/>
              </w:rPr>
            </w:pPr>
          </w:p>
        </w:tc>
      </w:tr>
      <w:tr>
        <w:trPr>
          <w:trHeight w:val="247"/>
        </w:trPr>
        <w:tc>
          <w:tcPr>
            <w:tcW w:w="1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0"/>
                <w:szCs w:val="20"/>
                <w:color w:val="auto"/>
              </w:rPr>
            </w:pPr>
          </w:p>
        </w:tc>
      </w:tr>
      <w:tr>
        <w:trPr>
          <w:trHeight w:val="241"/>
        </w:trPr>
        <w:tc>
          <w:tcPr>
            <w:tcW w:w="20" w:type="dxa"/>
            <w:vAlign w:val="bottom"/>
            <w:shd w:val="clear" w:color="auto" w:fill="CFF0FC"/>
          </w:tcPr>
          <w:p>
            <w:pPr>
              <w:spacing w:after="0"/>
              <w:rPr>
                <w:sz w:val="20"/>
                <w:szCs w:val="20"/>
                <w:color w:val="auto"/>
              </w:rPr>
            </w:pPr>
          </w:p>
        </w:tc>
        <w:tc>
          <w:tcPr>
            <w:tcW w:w="9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shd w:val="clear" w:color="auto" w:fill="CFF0FC"/>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(2,201 )</w:t>
            </w: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93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333333"/>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50"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333333"/>
        </w:rPr>
        <w:t>During the years ended December 31, 2022, and 2021, the Company recorded no income tax benefits for the net operating losses incurred in each year due to its uncertainty of realizing a benefit from those items.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333333"/>
        </w:rPr>
        <w:t>The domestic and foreign components of loss before income taxes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4"/>
                <w:szCs w:val="14"/>
                <w:color w:val="auto"/>
              </w:rPr>
            </w:pPr>
          </w:p>
        </w:tc>
      </w:tr>
      <w:tr>
        <w:trPr>
          <w:trHeight w:val="23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6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(35,339 )</w:t>
            </w:r>
          </w:p>
        </w:tc>
        <w:tc>
          <w:tcPr>
            <w:tcW w:w="1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(50,617 )</w:t>
            </w:r>
          </w:p>
        </w:tc>
      </w:tr>
      <w:tr>
        <w:trPr>
          <w:trHeight w:val="23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6"/>
        </w:trPr>
        <w:tc>
          <w:tcPr>
            <w:tcW w:w="308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(35,355 )</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(50,636 )</w:t>
            </w:r>
          </w:p>
        </w:tc>
      </w:tr>
      <w:tr>
        <w:trPr>
          <w:trHeight w:val="633"/>
        </w:trPr>
        <w:tc>
          <w:tcPr>
            <w:tcW w:w="3080" w:type="dxa"/>
            <w:vAlign w:val="bottom"/>
          </w:tcPr>
          <w:p>
            <w:pPr>
              <w:spacing w:after="0"/>
              <w:rPr>
                <w:sz w:val="24"/>
                <w:szCs w:val="24"/>
                <w:color w:val="auto"/>
              </w:rPr>
            </w:pPr>
          </w:p>
        </w:tc>
        <w:tc>
          <w:tcPr>
            <w:tcW w:w="5580" w:type="dxa"/>
            <w:vAlign w:val="bottom"/>
            <w:gridSpan w:val="2"/>
          </w:tcPr>
          <w:p>
            <w:pPr>
              <w:jc w:val="right"/>
              <w:ind w:right="2779"/>
              <w:spacing w:after="0"/>
              <w:rPr>
                <w:sz w:val="20"/>
                <w:szCs w:val="20"/>
                <w:color w:val="auto"/>
              </w:rPr>
            </w:pPr>
            <w:r>
              <w:rPr>
                <w:rFonts w:ascii="Times New Roman" w:cs="Times New Roman" w:eastAsia="Times New Roman" w:hAnsi="Times New Roman"/>
                <w:sz w:val="18"/>
                <w:szCs w:val="18"/>
                <w:color w:val="auto"/>
              </w:rPr>
              <w:t>F-19</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-521970</wp:posOffset>
            </wp:positionV>
            <wp:extent cx="111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-504825</wp:posOffset>
            </wp:positionV>
            <wp:extent cx="111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8"/>
          <w:szCs w:val="18"/>
          <w:color w:val="333333"/>
        </w:rPr>
        <w:t>A reconciliation of the U.S. federal statutory income tax rate to the Company’s effective income tax rate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7"/>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5"/>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state tax rate</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and state research and development tax credit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Nondeductible permanent differences</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333333"/>
              </w:rPr>
              <w:t>Net deferred tax assets as of December 31, 2022 and 2021 consisted of the following:</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R&amp;D - Acquired in Merger with Zafgen</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65,781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R&amp;D - Section 174 Costs post 2021</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5,019</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42,204</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43,219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&amp; Intangibles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131,612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124,915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(130,831 )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assets / (liabilities)</w:t>
            </w:r>
          </w:p>
        </w:tc>
        <w:tc>
          <w:tcPr>
            <w:tcW w:w="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-984885</wp:posOffset>
            </wp:positionV>
            <wp:extent cx="111125"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-350520</wp:posOffset>
            </wp:positionV>
            <wp:extent cx="111125"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333333"/>
        </w:rPr>
        <w:t>Changes in the valuation allowance for deferred tax assets during the year ended December 31, 2022 and 2021 related primarily to the increase in net operating loss carryforwards and tax credit carryforwards and a decrease other deferred tax assets associated with a reduction in the Company’s effective state rate. Changes to the valuation allowance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as of the beginning of the year</w:t>
            </w: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124,016</w:t>
            </w:r>
          </w:p>
        </w:tc>
        <w:tc>
          <w:tcPr>
            <w:tcW w:w="1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115,319</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6,815</w:t>
            </w: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8,697</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130,831</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124,016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333333"/>
        </w:rPr>
        <w:t>As of December 31, 2022, the Company had net operating loss carryforwards that expire for federal, foreign and state income tax purposes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$167.4 million, $1.2 million and $138.6 million, respectively. The federal and state operating losses begin to expire in 2026 and 2030, while the foreign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loss carryforward can be carried forward indefinitely. As of December 31, 2022, the Company had federal net operating loss carryforwards that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generated after December 31, 2017 of $128.7 million that do not expire, however these carryforwards are limited to 80% of the taxable income in any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tax period. As of December 31, 2022, the Company also had available tax credit carryforwards for federal and state income tax purposes of $13.3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which begin to expire in 2039. Utilization of the pre-Merger net operating loss carryforwards attributable to Zafgen, of approximately $33.5 million,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subject to a substantial annual limitation under Section 382 of the Internal Revenue Code of 1986 due to ownership changes occurred during the tax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associated with the Merger. In addition to the limitation of the pre-Merger NOL’s of Zafgen, the net capitalized R&amp;D deferred tax assets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$66.9 million is subject to the built-in loss rules under Section 382 and may not be realized if the underlying asset associated with the R&amp;D is disposed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within five years of the Merger, or May 28, 2025. In general, an ownership change, as defined by Section 382, results from transactions increasing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ownership of certain stockholders or public groups in the stock of a</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29" w:right="279" w:bottom="1440" w:gutter="0" w:footer="0" w:header="0"/>
        </w:sectPr>
      </w:pPr>
    </w:p>
    <w:bookmarkStart w:id="116" w:name="page117"/>
    <w:bookmarkEnd w:id="116"/>
    <w:p>
      <w:pPr>
        <w:ind w:right="180"/>
        <w:spacing w:after="0" w:line="266" w:lineRule="auto"/>
        <w:rPr>
          <w:sz w:val="20"/>
          <w:szCs w:val="20"/>
          <w:color w:val="auto"/>
        </w:rPr>
      </w:pPr>
      <w:r>
        <w:rPr>
          <w:rFonts w:ascii="Times New Roman" w:cs="Times New Roman" w:eastAsia="Times New Roman" w:hAnsi="Times New Roman"/>
          <w:sz w:val="18"/>
          <w:szCs w:val="18"/>
          <w:color w:val="333333"/>
        </w:rPr>
        <w:t>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333333"/>
        </w:rPr>
        <w:t>The Company has not conducted a study to assess whether a change of control has occurred or whether there have been multiple changes of control since inception associated with the pre-Merger Chondrial tax attributes. If the Company experienced a change of control, as defined by Section 382, at any time since inception, utilization of the pre-Merger Chondrial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333333"/>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$20.2 million. The Company will amortize these costs for tax purposes over five years if the research and development was performed in the U.S. and over 15 years if the research and development was performed outside the U.S..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333333"/>
        </w:rPr>
        <w:t>As of December 31, 2022 and 2021, the Company’s net deferred tax asset balance before the valuation allowance was $130.8 million and $124.0 million, respectively, and was comprised principally of net operating loss carryforwards, capitalized research and development expenses and tax credit carryforwards. During the years ended December 31, 2022 and 2021, gross deferred tax assets increased due to deferred tax assets acquired as a result of additional net operating loss carryforwards and research and development tax credits generated.</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333333"/>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2022 and 2021. Management reevaluates the positive and negative evidence at each reporting period.</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333333"/>
        </w:rPr>
        <w:t>The Company has not recorded any amounts for unrecognized tax benefits as of December 31, 2022 and 2021.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71"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2021, the Company purchased a piece of laboratory equipment and lab supplies for a cumulative $0.1 million from a supplier of which one of the Company's directors is also a current director.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7" w:name="page118"/>
    <w:bookmarkEnd w:id="117"/>
    <w:p>
      <w:pPr>
        <w:ind w:left="7360"/>
        <w:spacing w:after="0"/>
        <w:rPr>
          <w:sz w:val="20"/>
          <w:szCs w:val="20"/>
          <w:color w:val="auto"/>
        </w:rPr>
      </w:pPr>
      <w:r>
        <w:rPr>
          <w:rFonts w:ascii="Times New Roman" w:cs="Times New Roman" w:eastAsia="Times New Roman" w:hAnsi="Times New Roman"/>
          <w:sz w:val="21"/>
          <w:szCs w:val="21"/>
          <w:color w:val="auto"/>
        </w:rPr>
        <w:t>GOODWIN PROCTER DRAFT: 2/15/2023</w:t>
      </w:r>
    </w:p>
    <w:p>
      <w:pPr>
        <w:spacing w:after="0" w:line="35"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25"/>
          <w:szCs w:val="25"/>
          <w:b w:val="1"/>
          <w:bCs w:val="1"/>
          <w:color w:val="auto"/>
        </w:rPr>
        <w:t>RESTRICTED STOCK UNIT AWARD AGREEMENT FOR COMPANY EMPLOYEES UNDER THE LARIMAR THERAPEUTICS, INC. 2020 EQUITY INCENTIVE PLAN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274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-13970</wp:posOffset>
            </wp:positionV>
            <wp:extent cx="274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274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Pursuant to the Larimar Therapeutics, Inc. 2020 Equity Incentive Plan as amended through the date hereof (the “Plan”), Larimar Therapeutics, Inc. (the “Company”) hereby grants an award of the number of Restricted Stock Units listed above (an “Award”) to the Grantee named above. Each Restricted Stock Unit shall relate to one share of common stock, par value $0.001 per share (a “Share” or “Shares”) of the Company.</w:t>
      </w:r>
    </w:p>
    <w:p>
      <w:pPr>
        <w:spacing w:after="0" w:line="180" w:lineRule="exact"/>
        <w:rPr>
          <w:sz w:val="20"/>
          <w:szCs w:val="20"/>
          <w:color w:val="auto"/>
        </w:rPr>
      </w:pPr>
    </w:p>
    <w:p>
      <w:pPr>
        <w:ind w:right="220" w:firstLine="757"/>
        <w:spacing w:after="0" w:line="238" w:lineRule="auto"/>
        <w:tabs>
          <w:tab w:leader="none" w:pos="149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jc w:val="both"/>
        <w:ind w:right="120" w:firstLine="757"/>
        <w:spacing w:after="0" w:line="239" w:lineRule="auto"/>
        <w:tabs>
          <w:tab w:leader="none" w:pos="149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so long as the Grantee remains an employee of the Company or a Subsidiary on such Dates. If a series of Vesting Dates is specified, then the restrictions and conditions in Paragraph 1 shall lapse only with respect to the number of Restricted Stock Units specified as vested on such date.</w:t>
      </w:r>
    </w:p>
    <w:p>
      <w:pPr>
        <w:spacing w:after="0" w:line="184" w:lineRule="exact"/>
        <w:rPr>
          <w:sz w:val="20"/>
          <w:szCs w:val="20"/>
          <w:color w:val="auto"/>
        </w:rPr>
      </w:pPr>
    </w:p>
    <w:tbl>
      <w:tblPr>
        <w:tblLayout w:type="fixed"/>
        <w:tblInd w:w="2200" w:type="dxa"/>
        <w:tblCellMar>
          <w:top w:w="0" w:type="dxa"/>
          <w:left w:w="0" w:type="dxa"/>
          <w:bottom w:w="0" w:type="dxa"/>
          <w:right w:w="0" w:type="dxa"/>
        </w:tblCellMar>
      </w:tblPr>
      <w:tr>
        <w:trPr>
          <w:trHeight w:val="253"/>
        </w:trPr>
        <w:tc>
          <w:tcPr>
            <w:tcW w:w="3860" w:type="dxa"/>
            <w:vAlign w:val="bottom"/>
            <w:gridSpan w:val="2"/>
          </w:tcPr>
          <w:p>
            <w:pPr>
              <w:jc w:val="center"/>
              <w:ind w:right="1280"/>
              <w:spacing w:after="0"/>
              <w:rPr>
                <w:sz w:val="20"/>
                <w:szCs w:val="20"/>
                <w:color w:val="auto"/>
              </w:rPr>
            </w:pPr>
            <w:r>
              <w:rPr>
                <w:rFonts w:ascii="Times New Roman" w:cs="Times New Roman" w:eastAsia="Times New Roman" w:hAnsi="Times New Roman"/>
                <w:sz w:val="22"/>
                <w:szCs w:val="22"/>
                <w:color w:val="auto"/>
                <w:w w:val="97"/>
              </w:rPr>
              <w:t>Incremental Number of</w:t>
            </w: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25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7"/>
              </w:rPr>
              <w:t>Restricted Stock Units Vested</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6"/>
              </w:rPr>
              <w:t>Vesting Date</w:t>
            </w:r>
          </w:p>
        </w:tc>
        <w:tc>
          <w:tcPr>
            <w:tcW w:w="260" w:type="dxa"/>
            <w:vAlign w:val="bottom"/>
          </w:tcPr>
          <w:p>
            <w:pPr>
              <w:spacing w:after="0"/>
              <w:rPr>
                <w:sz w:val="19"/>
                <w:szCs w:val="19"/>
                <w:color w:val="auto"/>
              </w:rPr>
            </w:pPr>
          </w:p>
        </w:tc>
      </w:tr>
      <w:tr>
        <w:trPr>
          <w:trHeight w:val="502"/>
        </w:trPr>
        <w:tc>
          <w:tcPr>
            <w:tcW w:w="2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4"/>
                <w:szCs w:val="24"/>
                <w:color w:val="auto"/>
              </w:rPr>
            </w:pPr>
          </w:p>
        </w:tc>
        <w:tc>
          <w:tcPr>
            <w:tcW w:w="290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70"/>
        </w:trPr>
        <w:tc>
          <w:tcPr>
            <w:tcW w:w="2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3"/>
                <w:szCs w:val="23"/>
                <w:color w:val="auto"/>
              </w:rPr>
            </w:pPr>
          </w:p>
        </w:tc>
        <w:tc>
          <w:tcPr>
            <w:tcW w:w="290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70"/>
        </w:trPr>
        <w:tc>
          <w:tcPr>
            <w:tcW w:w="2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3"/>
                <w:szCs w:val="23"/>
                <w:color w:val="auto"/>
              </w:rPr>
            </w:pPr>
          </w:p>
        </w:tc>
        <w:tc>
          <w:tcPr>
            <w:tcW w:w="290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86"/>
        </w:trPr>
        <w:tc>
          <w:tcPr>
            <w:tcW w:w="2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280" w:type="dxa"/>
            <w:vAlign w:val="bottom"/>
          </w:tcPr>
          <w:p>
            <w:pPr>
              <w:spacing w:after="0"/>
              <w:rPr>
                <w:sz w:val="24"/>
                <w:szCs w:val="24"/>
                <w:color w:val="auto"/>
              </w:rPr>
            </w:pPr>
          </w:p>
        </w:tc>
        <w:tc>
          <w:tcPr>
            <w:tcW w:w="290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bl>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Administrator may at any time accelerate the vesting schedule specified in this Paragraph 2.</w:t>
      </w:r>
    </w:p>
    <w:p>
      <w:pPr>
        <w:spacing w:after="0" w:line="206" w:lineRule="exact"/>
        <w:rPr>
          <w:sz w:val="20"/>
          <w:szCs w:val="20"/>
          <w:color w:val="auto"/>
        </w:rPr>
      </w:pPr>
    </w:p>
    <w:p>
      <w:pPr>
        <w:ind w:right="60" w:firstLine="757"/>
        <w:spacing w:after="0" w:line="261" w:lineRule="auto"/>
        <w:tabs>
          <w:tab w:leader="none" w:pos="149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ind w:right="340"/>
        <w:spacing w:after="0" w:line="258" w:lineRule="auto"/>
        <w:rPr>
          <w:sz w:val="20"/>
          <w:szCs w:val="20"/>
          <w:color w:val="auto"/>
        </w:rPr>
      </w:pPr>
      <w:r>
        <w:rPr>
          <w:rFonts w:ascii="Times New Roman" w:cs="Times New Roman" w:eastAsia="Times New Roman" w:hAnsi="Times New Roman"/>
          <w:sz w:val="22"/>
          <w:szCs w:val="22"/>
          <w:color w:val="auto"/>
        </w:rPr>
        <w:t>neither the Grantee nor any of his or her successors, heirs, assigns, or personal representatives will thereafter have any further rights or interests in such unvested Restricted Stock Units.</w:t>
      </w:r>
    </w:p>
    <w:p>
      <w:pPr>
        <w:spacing w:after="0" w:line="158" w:lineRule="exact"/>
        <w:rPr>
          <w:sz w:val="20"/>
          <w:szCs w:val="20"/>
          <w:color w:val="auto"/>
        </w:rPr>
      </w:pPr>
    </w:p>
    <w:p>
      <w:pPr>
        <w:ind w:right="20" w:firstLine="757"/>
        <w:spacing w:after="0" w:line="255" w:lineRule="auto"/>
        <w:tabs>
          <w:tab w:leader="none" w:pos="149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w:t>
      </w:r>
      <w:r>
        <w:rPr>
          <w:rFonts w:ascii="Times New Roman" w:cs="Times New Roman" w:eastAsia="Times New Roman" w:hAnsi="Times New Roman"/>
          <w:sz w:val="21"/>
          <w:szCs w:val="21"/>
          <w:color w:val="auto"/>
        </w:rPr>
        <w:t>.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61" w:lineRule="exact"/>
        <w:rPr>
          <w:rFonts w:ascii="Times New Roman" w:cs="Times New Roman" w:eastAsia="Times New Roman" w:hAnsi="Times New Roman"/>
          <w:sz w:val="21"/>
          <w:szCs w:val="21"/>
          <w:color w:val="auto"/>
        </w:rPr>
      </w:pPr>
    </w:p>
    <w:p>
      <w:pPr>
        <w:ind w:right="140" w:firstLine="757"/>
        <w:spacing w:after="0" w:line="261" w:lineRule="auto"/>
        <w:tabs>
          <w:tab w:leader="none" w:pos="149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including the powers of the Committee set forth in Section 2 of the Plan. Capitalized terms in this Agreement shall have the meaning specified in the Plan, unless a different meaning is specified herein.</w:t>
      </w:r>
    </w:p>
    <w:p>
      <w:pPr>
        <w:spacing w:after="0" w:line="157" w:lineRule="exact"/>
        <w:rPr>
          <w:rFonts w:ascii="Times New Roman" w:cs="Times New Roman" w:eastAsia="Times New Roman" w:hAnsi="Times New Roman"/>
          <w:sz w:val="21"/>
          <w:szCs w:val="21"/>
          <w:color w:val="auto"/>
        </w:rPr>
      </w:pPr>
    </w:p>
    <w:p>
      <w:pPr>
        <w:ind w:right="120" w:firstLine="757"/>
        <w:spacing w:after="0" w:line="249" w:lineRule="auto"/>
        <w:tabs>
          <w:tab w:leader="none" w:pos="149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To the extent authorized by the Committee, the required tax withholding obligation may be satisfied, in whole or in part, by withholding from Shares to be issued to the Grantee a number of Shares with an aggregate Fair Market Value that would satisfy the withholding amount due. The Company has the right to deduct any such taxes from payment of any kind otherwise due to the Grantee.</w:t>
      </w:r>
    </w:p>
    <w:p>
      <w:pPr>
        <w:spacing w:after="0" w:line="170" w:lineRule="exact"/>
        <w:rPr>
          <w:rFonts w:ascii="Times New Roman" w:cs="Times New Roman" w:eastAsia="Times New Roman" w:hAnsi="Times New Roman"/>
          <w:sz w:val="21"/>
          <w:szCs w:val="21"/>
          <w:color w:val="auto"/>
        </w:rPr>
      </w:pPr>
    </w:p>
    <w:p>
      <w:pPr>
        <w:ind w:right="160" w:firstLine="757"/>
        <w:spacing w:after="0" w:line="251" w:lineRule="auto"/>
        <w:tabs>
          <w:tab w:leader="none" w:pos="149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The Grantee acknowledges that the Company has not advised the Grantee regarding the Grantee’s tax liability in connection with this Award. The Grantee acknowledges that the Grantee has reviewed with the Grantee’s own tax advisors the tax treatment of this Award (including the issuance of any Shares in settlement of the Restricted Stock Units hereunder) and is relying solely on those advisors in that regard. The Grantee understands that the Grantee (and not the Company) will be responsible for the Grantee’s own tax liabilities arising in connection with this Award.</w:t>
      </w:r>
    </w:p>
    <w:p>
      <w:pPr>
        <w:spacing w:after="0" w:line="168" w:lineRule="exact"/>
        <w:rPr>
          <w:rFonts w:ascii="Times New Roman" w:cs="Times New Roman" w:eastAsia="Times New Roman" w:hAnsi="Times New Roman"/>
          <w:sz w:val="21"/>
          <w:szCs w:val="21"/>
          <w:color w:val="auto"/>
        </w:rPr>
      </w:pPr>
    </w:p>
    <w:p>
      <w:pPr>
        <w:ind w:firstLine="757"/>
        <w:spacing w:after="0" w:line="244" w:lineRule="auto"/>
        <w:tabs>
          <w:tab w:leader="none" w:pos="149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firstLine="757"/>
        <w:spacing w:after="0" w:line="244" w:lineRule="auto"/>
        <w:tabs>
          <w:tab w:leader="none" w:pos="149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Continuation of Service</w:t>
      </w:r>
      <w:r>
        <w:rPr>
          <w:rFonts w:ascii="Times New Roman" w:cs="Times New Roman" w:eastAsia="Times New Roman" w:hAnsi="Times New Roman"/>
          <w:sz w:val="22"/>
          <w:szCs w:val="22"/>
          <w:color w:val="auto"/>
        </w:rPr>
        <w:t>. This Agreement will not confer upon the Grantee any right to continue in the employment or service of the Company or any of its Affiliates, or limit in any respect the right of the Company or its Affiliates to discharge the Grantee at any time, for any reason.</w:t>
      </w:r>
    </w:p>
    <w:p>
      <w:pPr>
        <w:spacing w:after="0" w:line="173" w:lineRule="exact"/>
        <w:rPr>
          <w:rFonts w:ascii="Times New Roman" w:cs="Times New Roman" w:eastAsia="Times New Roman" w:hAnsi="Times New Roman"/>
          <w:sz w:val="22"/>
          <w:szCs w:val="22"/>
          <w:color w:val="auto"/>
        </w:rPr>
      </w:pPr>
    </w:p>
    <w:p>
      <w:pPr>
        <w:ind w:right="540" w:firstLine="757"/>
        <w:spacing w:after="0" w:line="258" w:lineRule="auto"/>
        <w:tabs>
          <w:tab w:leader="none" w:pos="149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represents the entire agreement between the parties with respect to the subject matter hereof and supersedes any prior agreement, written or otherwise, relating to the subject matter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19" w:name="page120"/>
    <w:bookmarkEnd w:id="119"/>
    <w:p>
      <w:pPr>
        <w:ind w:right="120" w:firstLine="757"/>
        <w:spacing w:after="0" w:line="234" w:lineRule="auto"/>
        <w:tabs>
          <w:tab w:leader="none" w:pos="149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ind w:firstLine="757"/>
        <w:spacing w:after="0" w:line="235" w:lineRule="auto"/>
        <w:tabs>
          <w:tab w:leader="none" w:pos="149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The Grantee authorizes the Company to deliver electronically any prospectuses or other documentation related to this Award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Grantee a paper copy of any document also delivered to the Grantee electronically. The authorization described in this Paragraph may be revoked by the Grantee at any time by written notice to the Company.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ind w:left="4880"/>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-13970</wp:posOffset>
            </wp:positionV>
            <wp:extent cx="274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wp:posOffset>
            </wp:positionV>
            <wp:extent cx="274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-13970</wp:posOffset>
            </wp:positionV>
            <wp:extent cx="274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276860</wp:posOffset>
            </wp:positionV>
            <wp:extent cx="3086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568325</wp:posOffset>
            </wp:positionV>
            <wp:extent cx="3086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859790</wp:posOffset>
            </wp:positionV>
            <wp:extent cx="3086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ACTIVE/121521257.3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51" w:right="839"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LARIMAR THERAPEUTICS, INC.</w:t>
      </w:r>
    </w:p>
    <w:p>
      <w:pPr>
        <w:spacing w:after="0" w:line="307" w:lineRule="exact"/>
        <w:rPr>
          <w:sz w:val="20"/>
          <w:szCs w:val="20"/>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NON-QUALIFIED STOCK OPTION GRANT NOTICE AND AWARD AGREEMENT NON-PLAN INDUCEMENT AWARD</w:t>
      </w:r>
    </w:p>
    <w:p>
      <w:pPr>
        <w:spacing w:after="0" w:line="36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Larimar Therapeutics, Inc., a Delaware corporation (the “Company”), hereby grants to the individual listed below (“Participant”) an non-qualified stock option to purchase the number of Shares set forth below (the “Option”). The Option is subject to the terms and conditions set forth in this Non-Qualified Stock Option Grant Notice (the “Grant Notice”) and the Award Agreement attached hereto as Exhibit A (the “Agreement”), which is incorporated herein by reference. This Option has been granted as an employment inducement grant pursuant to Rule 5635(c)(4) of the Marketplace Rules of NASDAQ Stock Market, Inc., is not issued under the Company’s 2020 Equity Incentive Plan, as amended through the date hereof (the “Plan”), and does not reduce the share reserve under the Plan. However, for purposes of interpreting the applicable provisions of this Option, the terms and conditions of the Plan (other than those applicable to the share reserve) shall govern and apply to this Option as if this Option had actually been issued under the Plan. This Option is not intended to be an “incentive stock option” under Section 422 of the Internal Revenue Code of 1986, as amended. Unless otherwise defined herein, the terms defined in the Plan shall have the same defined meanings in this Grant Notice and the Agreement.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6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 xml:space="preserve">Exercise Price Per Share:  </w:t>
            </w:r>
            <w:r>
              <w:rPr>
                <w:rFonts w:ascii="Times New Roman" w:cs="Times New Roman" w:eastAsia="Times New Roman" w:hAnsi="Times New Roman"/>
                <w:sz w:val="22"/>
                <w:szCs w:val="22"/>
                <w:color w:val="auto"/>
              </w:rPr>
              <w:t>[</w:t>
            </w:r>
          </w:p>
        </w:tc>
        <w:tc>
          <w:tcPr>
            <w:tcW w:w="360" w:type="dxa"/>
            <w:vAlign w:val="bottom"/>
            <w:tcBorders>
              <w:bottom w:val="single" w:sz="8" w:color="auto"/>
            </w:tcBorders>
          </w:tcPr>
          <w:p>
            <w:pPr>
              <w:spacing w:after="0"/>
              <w:rPr>
                <w:sz w:val="24"/>
                <w:szCs w:val="24"/>
                <w:color w:val="auto"/>
              </w:rPr>
            </w:pP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w w:val="81"/>
              </w:rPr>
              <w: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14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Total Number of Shares Subject to Option:</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39"/>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Expiration Date:</w:t>
            </w: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b w:val="1"/>
                <w:bCs w:val="1"/>
                <w:color w:val="auto"/>
                <w:w w:val="98"/>
              </w:rPr>
              <w:t xml:space="preserve">Vesting Schedule: </w:t>
            </w:r>
            <w:r>
              <w:rPr>
                <w:rFonts w:ascii="Times New Roman" w:cs="Times New Roman" w:eastAsia="Times New Roman" w:hAnsi="Times New Roman"/>
                <w:sz w:val="22"/>
                <w:szCs w:val="22"/>
                <w:color w:val="auto"/>
                <w:w w:val="98"/>
              </w:rPr>
              <w:t>[</w:t>
            </w: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4"/>
            <w:vMerge w:val="continue"/>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20" w:right="160" w:firstLine="457"/>
        <w:spacing w:after="0" w:line="235" w:lineRule="auto"/>
        <w:rPr>
          <w:sz w:val="20"/>
          <w:szCs w:val="20"/>
          <w:color w:val="auto"/>
        </w:rPr>
      </w:pPr>
      <w:r>
        <w:rPr>
          <w:rFonts w:ascii="Times New Roman" w:cs="Times New Roman" w:eastAsia="Times New Roman" w:hAnsi="Times New Roman"/>
          <w:sz w:val="22"/>
          <w:szCs w:val="22"/>
          <w:color w:val="auto"/>
        </w:rPr>
        <w:t>By Participant’s signature below, Participant agrees to be bound by the terms and conditions of the Agreement and the Grant Notice, and, for purposes of interpreting the provisions of the Option, the terms and conditions of the Plan (other than those applicable to the share reserve) shall govern and apply to this Option as if this Option had actually been issued under the Plan. Participant has reviewed the Agreement, the Plan and the Grant Notice in their entirety, has had an opportunity to obtain the advice of counsel prior to executing the Grant Notice and fully understands all provisions of the Grant Notice, the Agreement and the Plan. This document may be executed, including by electronic means, in multiple counterparts, each of which will be deemed an original, and all of which together will be deemed a single instrument.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LARIMAR THERAPEUTICS, INC. PARTICIPANT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22" w:name="page123"/>
    <w:bookmarkEnd w:id="122"/>
    <w:p>
      <w:pPr>
        <w:ind w:left="120"/>
        <w:spacing w:after="0"/>
        <w:tabs>
          <w:tab w:leader="none" w:pos="4420" w:val="left"/>
        </w:tabs>
        <w:rPr>
          <w:sz w:val="20"/>
          <w:szCs w:val="20"/>
          <w:color w:val="auto"/>
        </w:rPr>
      </w:pPr>
      <w:r>
        <w:rPr>
          <w:rFonts w:ascii="Times New Roman" w:cs="Times New Roman" w:eastAsia="Times New Roman" w:hAnsi="Times New Roman"/>
          <w:sz w:val="21"/>
          <w:szCs w:val="21"/>
          <w:color w:val="auto"/>
        </w:rPr>
        <w:t>_____________________________________</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6"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tab/>
        <w:t>Name:</w:t>
      </w:r>
    </w:p>
    <w:p>
      <w:pPr>
        <w:spacing w:after="0" w:line="182"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2"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5"/>
          <w:szCs w:val="25"/>
          <w:b w:val="1"/>
          <w:bCs w:val="1"/>
          <w:color w:val="auto"/>
        </w:rPr>
        <w:t>EXHIBIT 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 NON-QUALIFIED STOCK OPTION GRANT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AWARD AGREEMENT</w:t>
      </w:r>
    </w:p>
    <w:p>
      <w:pPr>
        <w:spacing w:after="0" w:line="200" w:lineRule="exact"/>
        <w:rPr>
          <w:sz w:val="20"/>
          <w:szCs w:val="20"/>
          <w:color w:val="auto"/>
        </w:rPr>
      </w:pPr>
    </w:p>
    <w:p>
      <w:pPr>
        <w:spacing w:after="0" w:line="243"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Pursuant to the Grant Notice to which this Agreement is attached, the Company has granted to Participant an Option under the Plan to purchase the number of Shares set forth in the Grant Notice.</w:t>
      </w:r>
    </w:p>
    <w:p>
      <w:pPr>
        <w:spacing w:after="0" w:line="158"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Award of Option</w:t>
      </w:r>
      <w:r>
        <w:rPr>
          <w:rFonts w:ascii="Times New Roman" w:cs="Times New Roman" w:eastAsia="Times New Roman" w:hAnsi="Times New Roman"/>
          <w:sz w:val="22"/>
          <w:szCs w:val="22"/>
          <w:color w:val="auto"/>
        </w:rPr>
        <w:t>. In consideration of Participant’s employment with or service to the Company and for other good and valuable consideration, effective as of the Grant Date set forth in the Grant Notice, the Company has granted to Participant the Option to purchase part or all of the aggregate number of Shares set forth in the Grant Notice, subject to the terms and conditions set forth in the Grant Notice and this Agreement, and, as set forth above, for purposes of interpreting the provisions of the Option, the terms and conditions of the Plan (other than those applicable to the share reserve) shall govern and apply to this Option as if this Option had actually been issued under the Plan.</w:t>
      </w:r>
    </w:p>
    <w:p>
      <w:pPr>
        <w:spacing w:after="0" w:line="181" w:lineRule="exact"/>
        <w:rPr>
          <w:sz w:val="20"/>
          <w:szCs w:val="20"/>
          <w:color w:val="auto"/>
        </w:rPr>
      </w:pPr>
    </w:p>
    <w:p>
      <w:pPr>
        <w:ind w:right="660" w:firstLine="749"/>
        <w:spacing w:after="0" w:line="258"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Date of Grant; Term of Option</w:t>
      </w:r>
      <w:r>
        <w:rPr>
          <w:rFonts w:ascii="Times New Roman" w:cs="Times New Roman" w:eastAsia="Times New Roman" w:hAnsi="Times New Roman"/>
          <w:sz w:val="22"/>
          <w:szCs w:val="22"/>
          <w:color w:val="auto"/>
        </w:rPr>
        <w:t>. The Option is granted on the Grant Date and may not be exercised later than the Expiration Date, subject to earlier termination in accordance with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The exercise price per Share of the Option (the “Exercise Price”) is set forth in the Grant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Vesting and 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20" w:firstLine="1497"/>
        <w:spacing w:after="0" w:line="282"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Subject to the continued service of the Participant with the Company through the relevant vesting dates, the Option shall become vested and exercisable in such amounts and at such times as set forth in the Grant Notice.</w:t>
      </w:r>
    </w:p>
    <w:p>
      <w:pPr>
        <w:spacing w:after="0" w:line="135" w:lineRule="exact"/>
        <w:rPr>
          <w:sz w:val="20"/>
          <w:szCs w:val="20"/>
          <w:color w:val="auto"/>
        </w:rPr>
      </w:pPr>
    </w:p>
    <w:p>
      <w:pPr>
        <w:ind w:right="1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Service with Affiliates</w:t>
      </w:r>
      <w:r>
        <w:rPr>
          <w:rFonts w:ascii="Times New Roman" w:cs="Times New Roman" w:eastAsia="Times New Roman" w:hAnsi="Times New Roman"/>
          <w:sz w:val="22"/>
          <w:szCs w:val="22"/>
          <w:color w:val="auto"/>
        </w:rPr>
        <w:t>. Solely for purposes of this Agreement, service with the Company will be deemed to include service with an Affiliate of the Company (for only so long as such entity remains an Affiliate of the Company).</w:t>
      </w:r>
    </w:p>
    <w:p>
      <w:pPr>
        <w:spacing w:after="0" w:line="158" w:lineRule="exact"/>
        <w:rPr>
          <w:sz w:val="20"/>
          <w:szCs w:val="20"/>
          <w:color w:val="auto"/>
        </w:rPr>
      </w:pPr>
    </w:p>
    <w:p>
      <w:pPr>
        <w:ind w:right="820" w:firstLine="1497"/>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Effect of Termination of Service on the Option</w:t>
      </w:r>
      <w:r>
        <w:rPr>
          <w:rFonts w:ascii="Times New Roman" w:cs="Times New Roman" w:eastAsia="Times New Roman" w:hAnsi="Times New Roman"/>
          <w:sz w:val="22"/>
          <w:szCs w:val="22"/>
          <w:color w:val="auto"/>
        </w:rPr>
        <w:t>. If the Participant’s service ceases for any reason, the termination or survival of the Option will be determined in accordance with Section 7 of the Plan.</w:t>
      </w:r>
    </w:p>
    <w:p>
      <w:pPr>
        <w:spacing w:after="0" w:line="158"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The Participant may exercise the Option by delivering a payment of the Exercise Price, any required tax withholding and written notice of exercise to the Company in accordance with Section 5(d) of the Plan. To the extent permitted (and subject to procedures established) by the Committee in its discretion, the Participant may also pay the Exercise Price (i) by surrendering previously acquired Shares to the Company, which Shares have an aggregate Fair Market Value on the date of exercise equal to the aggregate Exercise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24" w:name="page125"/>
    <w:bookmarkEnd w:id="124"/>
    <w:p>
      <w:pPr>
        <w:ind w:right="420"/>
        <w:spacing w:after="0" w:line="238" w:lineRule="auto"/>
        <w:rPr>
          <w:sz w:val="20"/>
          <w:szCs w:val="20"/>
          <w:color w:val="auto"/>
        </w:rPr>
      </w:pPr>
      <w:r>
        <w:rPr>
          <w:rFonts w:ascii="Times New Roman" w:cs="Times New Roman" w:eastAsia="Times New Roman" w:hAnsi="Times New Roman"/>
          <w:sz w:val="22"/>
          <w:szCs w:val="22"/>
          <w:color w:val="auto"/>
        </w:rPr>
        <w:t>Price then due (or by means of attestation, whereby the Participant identifies specific previously acquired Shares having an aggregate Fair Market Value on the date of exercise equal to the aggregate Exercise Price then due and the number of Shares actually delivered upon exercise is reduced by the number of such identified Shares), or (ii) by means of a broker-assisted cashless exercise. The notice of exercise must also be accompanied by any further documents or instruments necessary or desirable to carry out the purposes or intent of this Agreement.</w:t>
      </w:r>
    </w:p>
    <w:p>
      <w:pPr>
        <w:spacing w:after="0" w:line="177" w:lineRule="exact"/>
        <w:rPr>
          <w:sz w:val="20"/>
          <w:szCs w:val="20"/>
          <w:color w:val="auto"/>
        </w:rPr>
      </w:pPr>
    </w:p>
    <w:p>
      <w:pPr>
        <w:jc w:val="both"/>
        <w:ind w:right="160" w:firstLine="1497"/>
        <w:spacing w:after="0" w:line="282" w:lineRule="auto"/>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21"/>
          <w:szCs w:val="21"/>
          <w:u w:val="single" w:color="auto"/>
          <w:color w:val="auto"/>
        </w:rPr>
        <w:t>Partial Exercise</w:t>
      </w:r>
      <w:r>
        <w:rPr>
          <w:rFonts w:ascii="Times New Roman" w:cs="Times New Roman" w:eastAsia="Times New Roman" w:hAnsi="Times New Roman"/>
          <w:sz w:val="21"/>
          <w:szCs w:val="21"/>
          <w:color w:val="auto"/>
        </w:rPr>
        <w:t>. The minimum number of Shares with respect to which the Option may be exercised at any one time shall be the lesser of (i) 100 Shares, or (ii) the total number of Shares as to which the Option is then exercisable.</w:t>
      </w:r>
    </w:p>
    <w:p>
      <w:pPr>
        <w:spacing w:after="0" w:line="135" w:lineRule="exact"/>
        <w:rPr>
          <w:sz w:val="20"/>
          <w:szCs w:val="20"/>
          <w:color w:val="auto"/>
        </w:rPr>
      </w:pPr>
    </w:p>
    <w:p>
      <w:pPr>
        <w:jc w:val="both"/>
        <w:ind w:right="160" w:firstLine="1497"/>
        <w:spacing w:after="0" w:line="255"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21"/>
          <w:szCs w:val="21"/>
          <w:u w:val="single" w:color="auto"/>
          <w:color w:val="auto"/>
        </w:rPr>
        <w:t>Restrictions on Exercise</w:t>
      </w:r>
      <w:r>
        <w:rPr>
          <w:rFonts w:ascii="Times New Roman" w:cs="Times New Roman" w:eastAsia="Times New Roman" w:hAnsi="Times New Roman"/>
          <w:sz w:val="21"/>
          <w:szCs w:val="21"/>
          <w:color w:val="auto"/>
        </w:rPr>
        <w:t>. The Option may not be exercised, and any purported exercise will be void, if the issuance of Shares upon such exercise would constitute a violation of any law, regulation or exchange listing requirement. The Committee may from time to time modify the terms of the Option or impose additional conditions on the exercise of the Option as it deems necessary or appropriate to facilitate compliance with any law, regulation or exchange listing requirement.</w:t>
      </w:r>
    </w:p>
    <w:p>
      <w:pPr>
        <w:spacing w:after="0" w:line="16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The Participant represents and warrants he or she is acquiring the Option (and upon exercise of the Option, will be acquiring the subject Shares) for investment for the Participant’s own account, not as a nominee or agent, and not with a view to, or for resale in connection with, any distribution thereof. As a further condition to the exercise of the Option, the Company may require the Participant to make any representation or warranty as may be required by or advisable under any applicable law or regulation.</w:t>
      </w:r>
    </w:p>
    <w:p>
      <w:pPr>
        <w:spacing w:after="0" w:line="177"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Except as may be permitted by the Committee in accordance with Section 14 of the Plan, the Option may not be sold, pledged, assigned, hypothecated, gifted, transferred or disposed of in any manner, either voluntarily or involuntarily, other than by will or by the laws of descent and distribution.</w:t>
      </w:r>
    </w:p>
    <w:p>
      <w:pPr>
        <w:spacing w:after="0" w:line="173"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21"/>
          <w:szCs w:val="21"/>
          <w:color w:val="auto"/>
        </w:rPr>
        <w:t>7.</w:t>
      </w: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The Exercise Price, as well as the number and kind of shares subject to the Option, are subject to adjustment at the discretion of the Committee, including, but not limited to, in accordance with Section 3(d) of the Plan.</w:t>
      </w:r>
    </w:p>
    <w:p>
      <w:pPr>
        <w:spacing w:after="0" w:line="135"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Participant acknowledges that the Company has not advised the Participant regarding the Participant’s tax liability in connection with the Option. The Participant acknowledges that the Participant has reviewed with the Participant’s own tax advisors the tax treatment of the Option (including the purchase and sale of Shares subject hereto) and is relying solely on those advisors in that regard. The Participant understands that the Participant (and not the Company) will be responsible for the Participant’s own tax liabilities arising in connection with the Option.</w:t>
      </w:r>
    </w:p>
    <w:p>
      <w:pPr>
        <w:spacing w:after="0" w:line="177" w:lineRule="exact"/>
        <w:rPr>
          <w:sz w:val="20"/>
          <w:szCs w:val="20"/>
          <w:color w:val="auto"/>
        </w:rPr>
      </w:pPr>
    </w:p>
    <w:p>
      <w:pPr>
        <w:ind w:right="880" w:firstLine="749"/>
        <w:spacing w:after="0" w:line="258"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No Continuation of Service</w:t>
      </w:r>
      <w:r>
        <w:rPr>
          <w:rFonts w:ascii="Times New Roman" w:cs="Times New Roman" w:eastAsia="Times New Roman" w:hAnsi="Times New Roman"/>
          <w:sz w:val="22"/>
          <w:szCs w:val="22"/>
          <w:color w:val="auto"/>
        </w:rPr>
        <w:t>. This Agreement will not confer upon the Participant any right to continue in the employment or service of the Company or any of its Affiliates, or limit in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any respect the right of the Company or its Affiliates to discharge the Participant at any time, for any reason.</w:t>
      </w:r>
    </w:p>
    <w:p>
      <w:pPr>
        <w:spacing w:after="0" w:line="206"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As set forth above, this Option is not granted pursuant to the Plan. Instead, this Option is granted as an “employment inducement award” pursuant to the exemption provided by Rule 5635(c)(4) of the Marketplace Rules of NASDAQ Stock Market, Inc. However, for purposes of interpreting the provisions of this Option, the terms and conditions of the Plan (other than those applicable to the share reserve, but, including the powers of the Administrator set forth in Section 2 of the Plan) shall govern and apply to this Option as if this Option had actually been issued under the Plan. The Participant has received a copy of the Plan, has read the Plan and is familiar with its terms, and hereby accepts the Option subject to the terms and provisions of the Plan only for purposes of interpreting the provisions of this Agreement, including that the Committee is authorized to interpret this Option and the Plan and to adopt rules and regulations not inconsistent with the Plan as it deems appropriate. The Participant hereby agrees to accept as binding, conclusive and final all decisions or interpretations of the Committee with respect to questions arising under the Grant Notice or this Agreement, or any interpretations of the Plan or the Plan’s governance and applicability to this Agreement.</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Entire A</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reement</w:t>
      </w:r>
      <w:r>
        <w:rPr>
          <w:rFonts w:ascii="Times New Roman" w:cs="Times New Roman" w:eastAsia="Times New Roman" w:hAnsi="Times New Roman"/>
          <w:sz w:val="21"/>
          <w:szCs w:val="21"/>
          <w:color w:val="auto"/>
        </w:rPr>
        <w:t>. The Grant Notice and this Agreement represent the entire agreement between the parties with respect to the subject matter hereof and supersede any prior agreement, written or otherwise, relating to the subject matter hereof.</w:t>
      </w:r>
    </w:p>
    <w:p>
      <w:pPr>
        <w:spacing w:after="0" w:line="135"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only be amended by a writing signed by each of the parties hereto; provided that the Company may amend this Agreement without the Participant’s consent, if the amendment does not materially impair the Participant’s rights hereunder.</w:t>
      </w:r>
    </w:p>
    <w:p>
      <w:pPr>
        <w:spacing w:after="0" w:line="173"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Governin</w:t>
      </w: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This Agreement will be construed in accordance with the laws of the State of Delaware, without regard to the application of the principles of conflicts of laws.</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Headin</w:t>
      </w:r>
      <w:r>
        <w:rPr>
          <w:rFonts w:ascii="Times New Roman" w:cs="Times New Roman" w:eastAsia="Times New Roman" w:hAnsi="Times New Roman"/>
          <w:sz w:val="22"/>
          <w:szCs w:val="22"/>
          <w:color w:val="auto"/>
        </w:rPr>
        <w:t>gs. The headings in this Agreement are for convenience only. They form no part of the Agreement and will not affect its interpretation.</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15.</w:t>
      </w: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Option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Option (the “Relevant Information”). By entering into this Agreement, the Participant (a) authorizes the Company to collect, process, register and transfer to the Relevant Companies all Relevant Information; (b) waives any privacy rights the Participant may have with respect to the Relevant Information; (c) authorizes the Relevant Companies to store and transmit such information in electronic form; and</w:t>
      </w:r>
    </w:p>
    <w:p>
      <w:pPr>
        <w:spacing w:after="0" w:line="6" w:lineRule="exact"/>
        <w:rPr>
          <w:sz w:val="20"/>
          <w:szCs w:val="20"/>
          <w:color w:val="auto"/>
        </w:rPr>
      </w:pPr>
    </w:p>
    <w:p>
      <w:pPr>
        <w:jc w:val="both"/>
        <w:ind w:right="60" w:firstLine="8"/>
        <w:spacing w:after="0" w:line="235" w:lineRule="auto"/>
        <w:tabs>
          <w:tab w:leader="none" w:pos="30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6" w:name="page127"/>
    <w:bookmarkEnd w:id="126"/>
    <w:p>
      <w:pPr>
        <w:ind w:firstLine="749"/>
        <w:spacing w:after="0" w:line="235"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The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ACTIVE/121518754.3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191" w:lineRule="exact"/>
        <w:rPr>
          <w:sz w:val="20"/>
          <w:szCs w:val="20"/>
          <w:color w:val="auto"/>
        </w:rPr>
      </w:pPr>
    </w:p>
    <w:p>
      <w:pPr>
        <w:ind w:firstLine="8"/>
        <w:spacing w:after="0" w:line="267" w:lineRule="auto"/>
        <w:tabs>
          <w:tab w:leader="none" w:pos="342" w:val="left"/>
        </w:tabs>
        <w:numPr>
          <w:ilvl w:val="0"/>
          <w:numId w:val="70"/>
        </w:numPr>
        <w:rPr>
          <w:rFonts w:ascii="Arial" w:cs="Arial" w:eastAsia="Arial" w:hAnsi="Arial"/>
          <w:sz w:val="17"/>
          <w:szCs w:val="17"/>
          <w:color w:val="auto"/>
        </w:rPr>
      </w:pPr>
      <w:r>
        <w:rPr>
          <w:rFonts w:ascii="Arial" w:cs="Arial" w:eastAsia="Arial" w:hAnsi="Arial"/>
          <w:sz w:val="17"/>
          <w:szCs w:val="17"/>
          <w:color w:val="auto"/>
        </w:rPr>
        <w:t>Certain information in this document has been excluded pursuant to Regulation S-K, Item 601(b)(10). Such excluded information is not material and the registrant customarily and actually treats as private and confidential.</w:t>
      </w:r>
    </w:p>
    <w:p>
      <w:pPr>
        <w:spacing w:after="0" w:line="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SECOND AMENDMENT TO MASTER SERVICES AGREEMENT</w:t>
      </w:r>
    </w:p>
    <w:p>
      <w:pPr>
        <w:spacing w:after="0" w:line="198" w:lineRule="exact"/>
        <w:rPr>
          <w:sz w:val="20"/>
          <w:szCs w:val="20"/>
          <w:color w:val="auto"/>
        </w:rPr>
      </w:pPr>
    </w:p>
    <w:p>
      <w:pPr>
        <w:jc w:val="both"/>
        <w:ind w:left="140" w:right="40" w:firstLine="749"/>
        <w:spacing w:after="0" w:line="250" w:lineRule="auto"/>
        <w:rPr>
          <w:sz w:val="20"/>
          <w:szCs w:val="20"/>
          <w:color w:val="auto"/>
        </w:rPr>
      </w:pPr>
      <w:r>
        <w:rPr>
          <w:rFonts w:ascii="Arial" w:cs="Arial" w:eastAsia="Arial" w:hAnsi="Arial"/>
          <w:sz w:val="18"/>
          <w:szCs w:val="18"/>
          <w:color w:val="auto"/>
        </w:rPr>
        <w:t>This Second Amendment to the Master Services Agreement (“</w:t>
      </w:r>
      <w:r>
        <w:rPr>
          <w:rFonts w:ascii="Arial" w:cs="Arial" w:eastAsia="Arial" w:hAnsi="Arial"/>
          <w:sz w:val="18"/>
          <w:szCs w:val="18"/>
          <w:u w:val="single" w:color="auto"/>
          <w:color w:val="auto"/>
        </w:rPr>
        <w:t>Second Amendment</w:t>
      </w:r>
      <w:r>
        <w:rPr>
          <w:rFonts w:ascii="Arial" w:cs="Arial" w:eastAsia="Arial" w:hAnsi="Arial"/>
          <w:sz w:val="18"/>
          <w:szCs w:val="18"/>
          <w:color w:val="auto"/>
        </w:rPr>
        <w:t>”) executed as of the date below with an effective date of September 20, 2022,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Larimar Therapeutics, Inc.</w:t>
      </w:r>
      <w:r>
        <w:rPr>
          <w:rFonts w:ascii="Arial" w:cs="Arial" w:eastAsia="Arial" w:hAnsi="Arial"/>
          <w:sz w:val="18"/>
          <w:szCs w:val="18"/>
          <w:color w:val="auto"/>
        </w:rPr>
        <w:t xml:space="preserve"> (formerly Chondrial Therapeutics, Inc.), having an address at Three Bala Plaza East, Suite 506, Bala Cynwyd, PA 19004 (“Client”) and </w:t>
      </w:r>
      <w:r>
        <w:rPr>
          <w:rFonts w:ascii="Arial" w:cs="Arial" w:eastAsia="Arial" w:hAnsi="Arial"/>
          <w:sz w:val="18"/>
          <w:szCs w:val="18"/>
          <w:b w:val="1"/>
          <w:bCs w:val="1"/>
          <w:color w:val="auto"/>
        </w:rPr>
        <w:t>KBI</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Biopharma, Inc. </w:t>
      </w:r>
      <w:r>
        <w:rPr>
          <w:rFonts w:ascii="Arial" w:cs="Arial" w:eastAsia="Arial" w:hAnsi="Arial"/>
          <w:sz w:val="18"/>
          <w:szCs w:val="18"/>
          <w:color w:val="auto"/>
        </w:rPr>
        <w:t>(“KBI Biopharma”) with an address at 1101 Hamlin Road, Durham, North Carolina 27704.</w:t>
      </w:r>
    </w:p>
    <w:p>
      <w:pPr>
        <w:spacing w:after="0" w:line="164" w:lineRule="exact"/>
        <w:rPr>
          <w:sz w:val="20"/>
          <w:szCs w:val="20"/>
          <w:color w:val="auto"/>
        </w:rPr>
      </w:pPr>
    </w:p>
    <w:p>
      <w:pPr>
        <w:jc w:val="both"/>
        <w:ind w:left="140" w:right="40" w:firstLine="747"/>
        <w:spacing w:after="0" w:line="271" w:lineRule="auto"/>
        <w:rPr>
          <w:sz w:val="20"/>
          <w:szCs w:val="20"/>
          <w:color w:val="auto"/>
        </w:rPr>
      </w:pPr>
      <w:r>
        <w:rPr>
          <w:rFonts w:ascii="Arial" w:cs="Arial" w:eastAsia="Arial" w:hAnsi="Arial"/>
          <w:sz w:val="18"/>
          <w:szCs w:val="18"/>
          <w:color w:val="auto"/>
        </w:rPr>
        <w:t>WHEREAS, Client and KBI Biopharma entered into a Master Services Agreement (“Agreement”) with an effective date of 20 September 2017 (“</w:t>
      </w:r>
      <w:r>
        <w:rPr>
          <w:rFonts w:ascii="Arial" w:cs="Arial" w:eastAsia="Arial" w:hAnsi="Arial"/>
          <w:sz w:val="18"/>
          <w:szCs w:val="18"/>
          <w:u w:val="single" w:color="auto"/>
          <w:color w:val="auto"/>
        </w:rPr>
        <w:t>Agreement Effective Date</w:t>
      </w:r>
      <w:r>
        <w:rPr>
          <w:rFonts w:ascii="Arial" w:cs="Arial" w:eastAsia="Arial" w:hAnsi="Arial"/>
          <w:sz w:val="18"/>
          <w:szCs w:val="18"/>
          <w:color w:val="auto"/>
        </w:rPr>
        <w:t>”); and</w:t>
      </w:r>
    </w:p>
    <w:p>
      <w:pPr>
        <w:spacing w:after="0" w:line="154" w:lineRule="exact"/>
        <w:rPr>
          <w:sz w:val="20"/>
          <w:szCs w:val="20"/>
          <w:color w:val="auto"/>
        </w:rPr>
      </w:pPr>
    </w:p>
    <w:p>
      <w:pPr>
        <w:jc w:val="both"/>
        <w:ind w:left="140" w:right="40" w:firstLine="747"/>
        <w:spacing w:after="0" w:line="271" w:lineRule="auto"/>
        <w:rPr>
          <w:sz w:val="20"/>
          <w:szCs w:val="20"/>
          <w:color w:val="auto"/>
        </w:rPr>
      </w:pPr>
      <w:r>
        <w:rPr>
          <w:rFonts w:ascii="Arial" w:cs="Arial" w:eastAsia="Arial" w:hAnsi="Arial"/>
          <w:sz w:val="18"/>
          <w:szCs w:val="18"/>
          <w:color w:val="auto"/>
        </w:rPr>
        <w:t>WHEREAS, the Parties entered into a First Amendment to the Master Services Agreement (“First Amendment”) effective November 9, 2018; and</w:t>
      </w:r>
    </w:p>
    <w:p>
      <w:pPr>
        <w:spacing w:after="0" w:line="3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the parties desire to amend the Agreement as of the Second Amendment Effective Date as set forth herein.</w:t>
      </w:r>
    </w:p>
    <w:p>
      <w:pPr>
        <w:spacing w:after="0" w:line="198" w:lineRule="exact"/>
        <w:rPr>
          <w:sz w:val="20"/>
          <w:szCs w:val="20"/>
          <w:color w:val="auto"/>
        </w:rPr>
      </w:pPr>
    </w:p>
    <w:p>
      <w:pPr>
        <w:jc w:val="both"/>
        <w:ind w:left="140" w:right="40" w:firstLine="747"/>
        <w:spacing w:after="0" w:line="271" w:lineRule="auto"/>
        <w:rPr>
          <w:sz w:val="20"/>
          <w:szCs w:val="20"/>
          <w:color w:val="auto"/>
        </w:rPr>
      </w:pPr>
      <w:r>
        <w:rPr>
          <w:rFonts w:ascii="Arial" w:cs="Arial" w:eastAsia="Arial" w:hAnsi="Arial"/>
          <w:sz w:val="18"/>
          <w:szCs w:val="18"/>
          <w:color w:val="auto"/>
        </w:rPr>
        <w:t>NOW, THEREFORE, in consideration of the mutual agreements set forth in this First Amendment, and for good and valuable consideration, the receipt and sufficiency of which are hereby acknowledged, the parties hereto agree as follows.</w:t>
      </w:r>
    </w:p>
    <w:p>
      <w:pPr>
        <w:spacing w:after="0" w:line="343" w:lineRule="exact"/>
        <w:rPr>
          <w:sz w:val="20"/>
          <w:szCs w:val="20"/>
          <w:color w:val="auto"/>
        </w:rPr>
      </w:pPr>
    </w:p>
    <w:p>
      <w:pPr>
        <w:ind w:left="860" w:hanging="732"/>
        <w:spacing w:after="0"/>
        <w:tabs>
          <w:tab w:leader="none" w:pos="8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Section 2.2, Provision of Regulatory Submissions is deleted in its entirety and replaced with the following</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jc w:val="both"/>
        <w:ind w:left="880" w:right="40"/>
        <w:spacing w:after="0" w:line="25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Provision of Regulatory Submissions</w:t>
      </w:r>
      <w:r>
        <w:rPr>
          <w:rFonts w:ascii="Arial" w:cs="Arial" w:eastAsia="Arial" w:hAnsi="Arial"/>
          <w:sz w:val="18"/>
          <w:szCs w:val="18"/>
          <w:color w:val="auto"/>
        </w:rPr>
        <w:t>. Prior to naming KBI Biopharma in any submission to a regulatory authority, Client shall so notify KBI Biopharma and provide copies of such regulatory submissions to KBI Biopharma for review and reasonable opportunity to comment within ten (10) days of receipt of such information from the Client.</w:t>
      </w:r>
    </w:p>
    <w:p>
      <w:pPr>
        <w:spacing w:after="0" w:line="141" w:lineRule="exact"/>
        <w:rPr>
          <w:rFonts w:ascii="Arial" w:cs="Arial" w:eastAsia="Arial" w:hAnsi="Arial"/>
          <w:sz w:val="18"/>
          <w:szCs w:val="18"/>
          <w:b w:val="1"/>
          <w:bCs w:val="1"/>
          <w:color w:val="auto"/>
        </w:rPr>
      </w:pPr>
    </w:p>
    <w:p>
      <w:pPr>
        <w:ind w:left="1260" w:hanging="1132"/>
        <w:spacing w:after="0"/>
        <w:tabs>
          <w:tab w:leader="none" w:pos="12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Section 4, Work Output, is deleted in its entirety and replaced with the following</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left="880" w:right="60"/>
        <w:spacing w:after="0"/>
        <w:rPr>
          <w:sz w:val="20"/>
          <w:szCs w:val="20"/>
          <w:color w:val="auto"/>
        </w:rPr>
      </w:pPr>
      <w:r>
        <w:rPr>
          <w:rFonts w:ascii="Arial" w:cs="Arial" w:eastAsia="Arial" w:hAnsi="Arial"/>
          <w:sz w:val="18"/>
          <w:szCs w:val="18"/>
          <w:u w:val="single" w:color="auto"/>
          <w:color w:val="auto"/>
        </w:rPr>
        <w:t>Work Output</w:t>
      </w:r>
      <w:r>
        <w:rPr>
          <w:rFonts w:ascii="Arial" w:cs="Arial" w:eastAsia="Arial" w:hAnsi="Arial"/>
          <w:sz w:val="18"/>
          <w:szCs w:val="18"/>
          <w:color w:val="auto"/>
        </w:rPr>
        <w:t>. All reports specified in the Proposal and other applicable cGMP documentation (“Work Output”) will be prepared using KBI Biopharma’s standard format(s) unless otherwise specified in the Proposal or this Agreement. Client will be supplied with copies of Work Output generated as a result of the Services as set forth in the Proposal or Quality Agreement. All Work Output and any required Product samples will be archived by KBI Biopharma for a period of seven</w:t>
      </w:r>
    </w:p>
    <w:p>
      <w:pPr>
        <w:jc w:val="both"/>
        <w:ind w:left="880" w:right="40"/>
        <w:spacing w:after="0"/>
        <w:rPr>
          <w:sz w:val="20"/>
          <w:szCs w:val="20"/>
          <w:color w:val="auto"/>
        </w:rPr>
      </w:pPr>
      <w:r>
        <w:rPr>
          <w:rFonts w:ascii="Arial" w:cs="Arial" w:eastAsia="Arial" w:hAnsi="Arial"/>
          <w:sz w:val="18"/>
          <w:szCs w:val="18"/>
          <w:color w:val="auto"/>
        </w:rPr>
        <w:t>(7) years following completion of the Services unless otherwise provided in the Proposal or required by applicable U.S. laws or regulations. At such time after completion of the Services, Work Output and Product samples will be sent to Client and a reasonable return fee will be charged. If Client chooses to have KBI Biopharma dispose of Work Output and Product samples, a reasonable disposal fee will be charged.</w:t>
      </w:r>
    </w:p>
    <w:p>
      <w:pPr>
        <w:spacing w:after="0" w:line="139" w:lineRule="exact"/>
        <w:rPr>
          <w:sz w:val="20"/>
          <w:szCs w:val="20"/>
          <w:color w:val="auto"/>
        </w:rPr>
      </w:pPr>
    </w:p>
    <w:p>
      <w:pPr>
        <w:ind w:left="880" w:hanging="752"/>
        <w:spacing w:after="0"/>
        <w:tabs>
          <w:tab w:leader="none" w:pos="8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Section 5.2, Change Order Process, is deleted in its entirety and replaced with the following</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left="1260" w:right="40" w:hanging="1"/>
        <w:spacing w:after="0" w:line="24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Change Order Process</w:t>
      </w:r>
      <w:r>
        <w:rPr>
          <w:rFonts w:ascii="Arial" w:cs="Arial" w:eastAsia="Arial" w:hAnsi="Arial"/>
          <w:sz w:val="18"/>
          <w:szCs w:val="18"/>
          <w:color w:val="auto"/>
        </w:rPr>
        <w:t>. In the event a Modification is requested by Client or by KBI Biopharma, KBI Biopharma shall provide Client with a change order containing an estimate of the required Modifications to the budget, activities and/or duration specified in the Proposal (“</w:t>
      </w:r>
      <w:r>
        <w:rPr>
          <w:rFonts w:ascii="Arial" w:cs="Arial" w:eastAsia="Arial" w:hAnsi="Arial"/>
          <w:sz w:val="18"/>
          <w:szCs w:val="18"/>
          <w:b w:val="1"/>
          <w:bCs w:val="1"/>
          <w:i w:val="1"/>
          <w:iCs w:val="1"/>
          <w:color w:val="auto"/>
        </w:rPr>
        <w:t>Change Order</w:t>
      </w:r>
      <w:r>
        <w:rPr>
          <w:rFonts w:ascii="Arial" w:cs="Arial" w:eastAsia="Arial" w:hAnsi="Arial"/>
          <w:sz w:val="18"/>
          <w:szCs w:val="18"/>
          <w:color w:val="auto"/>
        </w:rPr>
        <w:t>”). Client and KBI Biopharma shall negotiate in good faith to agree on a Change Order that is mutually acceptable. If practicable, and agreed to by Client, KBI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59" w:lineRule="exact"/>
        <w:rPr>
          <w:sz w:val="20"/>
          <w:szCs w:val="20"/>
          <w:color w:val="auto"/>
        </w:rPr>
      </w:pPr>
    </w:p>
    <w:p>
      <w:pPr>
        <w:jc w:val="both"/>
        <w:ind w:left="1260" w:right="20"/>
        <w:spacing w:after="0"/>
        <w:rPr>
          <w:sz w:val="20"/>
          <w:szCs w:val="20"/>
          <w:color w:val="auto"/>
        </w:rPr>
      </w:pPr>
      <w:r>
        <w:rPr>
          <w:rFonts w:ascii="Arial" w:cs="Arial" w:eastAsia="Arial" w:hAnsi="Arial"/>
          <w:sz w:val="18"/>
          <w:szCs w:val="18"/>
          <w:color w:val="auto"/>
        </w:rPr>
        <w:t>Biopharma shall continue to perform the Services as set forth in the applicable Proposal during any such negotiations but will not commence work with respect to any Change Order until such Change Order has been duly executed by both Parties. In the event the Parties are unable to agree upon such Change Order, KBI Biopharma may elect to cancel the affected Services or terminate the applicable Proposal, or if reasonably possible, continue to perform the Services as set forth in the applicable Proposal without regard to the unresolved Change Order if agreed in writing by both Parties; provided, however, that the estimated timelines shall be adjusted to reflect any delay resulting from Change Order negotiations. In the event that this Agreement is so terminated, the provisions with respect to the effect of termination set forth in Section 24.5 shall apply.</w:t>
      </w:r>
    </w:p>
    <w:p>
      <w:pPr>
        <w:spacing w:after="0" w:line="140" w:lineRule="exact"/>
        <w:rPr>
          <w:sz w:val="20"/>
          <w:szCs w:val="20"/>
          <w:color w:val="auto"/>
        </w:rPr>
      </w:pPr>
    </w:p>
    <w:p>
      <w:pPr>
        <w:ind w:left="860" w:right="560" w:hanging="732"/>
        <w:spacing w:after="0" w:line="281" w:lineRule="auto"/>
        <w:tabs>
          <w:tab w:leader="none" w:pos="8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Sections 6.1 and 6.2, Fees and Invoices and Initial Fee are deleted in their entirety and replaced with the following Sections</w:t>
      </w:r>
      <w:r>
        <w:rPr>
          <w:rFonts w:ascii="Arial" w:cs="Arial" w:eastAsia="Arial" w:hAnsi="Arial"/>
          <w:sz w:val="18"/>
          <w:szCs w:val="18"/>
          <w:color w:val="auto"/>
        </w:rPr>
        <w:t>:</w:t>
      </w:r>
    </w:p>
    <w:p>
      <w:pPr>
        <w:spacing w:after="0" w:line="352" w:lineRule="exact"/>
        <w:rPr>
          <w:sz w:val="20"/>
          <w:szCs w:val="20"/>
          <w:color w:val="auto"/>
        </w:rPr>
      </w:pPr>
    </w:p>
    <w:p>
      <w:pPr>
        <w:jc w:val="both"/>
        <w:ind w:left="1260"/>
        <w:spacing w:after="0" w:line="23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Fees and Invoices</w:t>
      </w:r>
      <w:r>
        <w:rPr>
          <w:rFonts w:ascii="Arial" w:cs="Arial" w:eastAsia="Arial" w:hAnsi="Arial"/>
          <w:sz w:val="18"/>
          <w:szCs w:val="18"/>
          <w:color w:val="auto"/>
        </w:rPr>
        <w:t>. In consideration for KBI Biopharma performing the Services, Client shall pay to KBI Biopharma such amounts as described in the Price and Payment Terms section of the Proposal and as otherwise described in this Agreement. Following payment of an Initial Fee as provided in Section 6.2, the remainder of the Services fees may be invoiced by KBI Biopharma monthly based on a billing schedule derived from the project schedule in the Proposal. Payments are due thirty (30) days from date of invoice issuance, except as specifically provided in this Agreement. Late payments are subject to an interest charge of [***] or, if less, the maximum legal interest rate per month. Failure to bill for interest due, , shall not be a waiver of KBI Biopharma’s right to charge interest. All payments are non-refundable. If paid by wire transfer, any applicable wire transfer fees must be included in the payment issued to KBI Biopharma. Client shall be responsible for, and shall promptly pay to KBI Biopharma upon demand, all costs and expenses (including without limitation reasonable attorneys’ fees and court costs) incurred by KBI Biopharma in connection with the collection of payments due under this Agreement. Unless within thirty (30) days of the date of invoice, Client has advised KBI Biopharma in good faith and in writing the specific basis for disputing an invoice, Client’s failure to promptly pay an invoice may, at KBI Biopharma’s election, constitute a material breach of this Agreement, and in addition to other remedies available to KBI Biopharma under Section 24.3, KBI Biopharma shall be entitled to suspend performance of Services until Client has paid any past due invoices.</w:t>
      </w:r>
    </w:p>
    <w:p>
      <w:pPr>
        <w:spacing w:after="0" w:line="188" w:lineRule="exact"/>
        <w:rPr>
          <w:sz w:val="20"/>
          <w:szCs w:val="20"/>
          <w:color w:val="auto"/>
        </w:rPr>
      </w:pPr>
    </w:p>
    <w:p>
      <w:pPr>
        <w:jc w:val="both"/>
        <w:ind w:left="1260"/>
        <w:spacing w:after="0" w:line="239" w:lineRule="auto"/>
        <w:rPr>
          <w:sz w:val="20"/>
          <w:szCs w:val="20"/>
          <w:color w:val="auto"/>
        </w:rPr>
      </w:pPr>
      <w:r>
        <w:rPr>
          <w:rFonts w:ascii="Arial" w:cs="Arial" w:eastAsia="Arial" w:hAnsi="Arial"/>
          <w:sz w:val="18"/>
          <w:szCs w:val="18"/>
          <w:color w:val="auto"/>
        </w:rPr>
        <w:t>Finance Working Group. Each Party shall designate an appropriate number of representatives for the Finance Working Group, which shall include the Project Manager designated by each party in 3.2 above. KBI will designate a representative from their finance/revenue recognition/billing team. Client will designate one or more representatives from its accounting and finance teams. The Financial Working Group will meet on a monthly basis. The purpose of the Finance Working Group is to evaluate percentage of completion estimates for each material Project Plan line item in order to assist Customer in assuring that it is recognizing costs in accordance with Generally Accepted Accounting Principles in the United States. Finance Working Group meetings will be regularly scheduled and shall occur withing 10 business days after the end of the preceding month. In lieu of the Finance Working Group, KBI shall provide Client with a spreadsheet estimating, in KBI’s view, the percentage of completion for each listed Project Plan line item within 8 business days after the end of the preceding month. It is anticipated that, generally, these meetings shall be no longer than one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Initial Fee and Materials Fees</w:t>
      </w:r>
      <w:r>
        <w:rPr>
          <w:rFonts w:ascii="Arial" w:cs="Arial" w:eastAsia="Arial" w:hAnsi="Arial"/>
          <w:sz w:val="18"/>
          <w:szCs w:val="18"/>
          <w:color w:val="auto"/>
        </w:rPr>
        <w:t>.</w:t>
      </w:r>
    </w:p>
    <w:p>
      <w:pPr>
        <w:spacing w:after="0" w:line="239" w:lineRule="exact"/>
        <w:rPr>
          <w:sz w:val="20"/>
          <w:szCs w:val="20"/>
          <w:color w:val="auto"/>
        </w:rPr>
      </w:pPr>
    </w:p>
    <w:p>
      <w:pPr>
        <w:jc w:val="both"/>
        <w:ind w:left="1260"/>
        <w:spacing w:after="0"/>
        <w:rPr>
          <w:sz w:val="20"/>
          <w:szCs w:val="20"/>
          <w:color w:val="auto"/>
        </w:rPr>
      </w:pPr>
      <w:r>
        <w:rPr>
          <w:rFonts w:ascii="Arial" w:cs="Arial" w:eastAsia="Arial" w:hAnsi="Arial"/>
          <w:sz w:val="18"/>
          <w:szCs w:val="18"/>
          <w:color w:val="auto"/>
        </w:rPr>
        <w:t>6.2(a) Initial Fee. KBI Biopharma requires payment of an initial fee as specified in the Proposal (“Initial Fee”), prior to commencement of Services, and before KBI Biopharma will begin facilities preparation and resource allocation commitments with respect to Client’s project(s). Initial Fees are due upon execution of this Agreement or the applicable Proposal, whichever occurs later. The Initial Fee shall be applied to the Services fees set forth in the final project invoice. Upon termination of a Proposal or this Agreement, any remaining portion of the Initial Fee shall be applied to any outstanding amounts due from Client under the applicable Proposal. Unless otherwise provided in this Agreement or the applicable Proposal, Initial Fees are non-creditable, nonrefundable, non-transferable to any Services other than under the applicable Proposal.</w:t>
      </w:r>
    </w:p>
    <w:p>
      <w:pPr>
        <w:spacing w:after="0" w:line="180" w:lineRule="exact"/>
        <w:rPr>
          <w:sz w:val="20"/>
          <w:szCs w:val="20"/>
          <w:color w:val="auto"/>
        </w:rPr>
      </w:pPr>
    </w:p>
    <w:p>
      <w:pPr>
        <w:jc w:val="both"/>
        <w:ind w:left="1260"/>
        <w:spacing w:after="0" w:line="242" w:lineRule="auto"/>
        <w:rPr>
          <w:sz w:val="20"/>
          <w:szCs w:val="20"/>
          <w:color w:val="auto"/>
        </w:rPr>
      </w:pPr>
      <w:r>
        <w:rPr>
          <w:rFonts w:ascii="Arial" w:cs="Arial" w:eastAsia="Arial" w:hAnsi="Arial"/>
          <w:sz w:val="18"/>
          <w:szCs w:val="18"/>
          <w:color w:val="auto"/>
        </w:rPr>
        <w:t xml:space="preserve">6.2(b) </w:t>
      </w:r>
      <w:r>
        <w:rPr>
          <w:rFonts w:ascii="Arial" w:cs="Arial" w:eastAsia="Arial" w:hAnsi="Arial"/>
          <w:sz w:val="18"/>
          <w:szCs w:val="18"/>
          <w:u w:val="single" w:color="auto"/>
          <w:color w:val="auto"/>
        </w:rPr>
        <w:t>Materials Fees</w:t>
      </w:r>
      <w:r>
        <w:rPr>
          <w:rFonts w:ascii="Arial" w:cs="Arial" w:eastAsia="Arial" w:hAnsi="Arial"/>
          <w:sz w:val="18"/>
          <w:szCs w:val="18"/>
          <w:color w:val="auto"/>
        </w:rPr>
        <w:t>. The cost of raw materials, consumables, and other supplies necessary for the performance of the Services (“Raw Materials”) purchased by KBI Biopharma will be passed through to Client, and Client agrees to pay, KBI Biopharma’s Raw Materials costs plus fees to compensate KBI Biopharma for Raw Material management and administration including purchasing, receiving, storage, handling, and inventory management (“Material Fees”). Materials Fees will be passed through to the Client as a percentage of the cost of the purchase of Raw Materials, or as pass-through line items, or a combination of the two, as set forth below and in the applicable Proposal:</w:t>
      </w:r>
    </w:p>
    <w:p>
      <w:pPr>
        <w:spacing w:after="0" w:line="125" w:lineRule="exact"/>
        <w:rPr>
          <w:sz w:val="20"/>
          <w:szCs w:val="20"/>
          <w:color w:val="auto"/>
        </w:rPr>
      </w:pPr>
    </w:p>
    <w:p>
      <w:pPr>
        <w:jc w:val="both"/>
        <w:ind w:left="2380" w:hanging="6"/>
        <w:spacing w:after="0" w:line="253" w:lineRule="auto"/>
        <w:tabs>
          <w:tab w:leader="none" w:pos="3119" w:val="left"/>
        </w:tabs>
        <w:numPr>
          <w:ilvl w:val="1"/>
          <w:numId w:val="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Analytical and Product Development Material Fees</w:t>
      </w:r>
      <w:r>
        <w:rPr>
          <w:rFonts w:ascii="Arial" w:cs="Arial" w:eastAsia="Arial" w:hAnsi="Arial"/>
          <w:sz w:val="18"/>
          <w:szCs w:val="18"/>
          <w:color w:val="auto"/>
        </w:rPr>
        <w:t>. For analytical Services and product development Services, the Material Fees for analytical services and product development services (differentiated for microbial and mammalian product development) are invoiced [***].</w:t>
      </w:r>
    </w:p>
    <w:p>
      <w:pPr>
        <w:spacing w:after="0" w:line="114" w:lineRule="exact"/>
        <w:rPr>
          <w:rFonts w:ascii="Arial" w:cs="Arial" w:eastAsia="Arial" w:hAnsi="Arial"/>
          <w:sz w:val="18"/>
          <w:szCs w:val="18"/>
          <w:u w:val="single" w:color="auto"/>
          <w:color w:val="auto"/>
        </w:rPr>
      </w:pPr>
    </w:p>
    <w:p>
      <w:pPr>
        <w:ind w:left="2380" w:hanging="6"/>
        <w:spacing w:after="0" w:line="271" w:lineRule="auto"/>
        <w:tabs>
          <w:tab w:leader="none" w:pos="3119" w:val="left"/>
        </w:tabs>
        <w:numPr>
          <w:ilvl w:val="1"/>
          <w:numId w:val="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Manufacturing Services Material Fees</w:t>
      </w:r>
      <w:r>
        <w:rPr>
          <w:rFonts w:ascii="Arial" w:cs="Arial" w:eastAsia="Arial" w:hAnsi="Arial"/>
          <w:sz w:val="18"/>
          <w:szCs w:val="18"/>
          <w:color w:val="auto"/>
        </w:rPr>
        <w:t>. For cGMP manufacturing services, Material Fees for manufacturing services will be [***].</w:t>
      </w:r>
    </w:p>
    <w:p>
      <w:pPr>
        <w:spacing w:after="0" w:line="113" w:lineRule="exact"/>
        <w:rPr>
          <w:rFonts w:ascii="Arial" w:cs="Arial" w:eastAsia="Arial" w:hAnsi="Arial"/>
          <w:sz w:val="18"/>
          <w:szCs w:val="18"/>
          <w:u w:val="single" w:color="auto"/>
          <w:color w:val="auto"/>
        </w:rPr>
      </w:pPr>
    </w:p>
    <w:p>
      <w:pPr>
        <w:ind w:left="2380" w:right="20" w:hanging="6"/>
        <w:spacing w:after="0" w:line="271" w:lineRule="auto"/>
        <w:tabs>
          <w:tab w:leader="none" w:pos="3119" w:val="left"/>
        </w:tabs>
        <w:numPr>
          <w:ilvl w:val="1"/>
          <w:numId w:val="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Third Party Services Material Fees</w:t>
      </w:r>
      <w:r>
        <w:rPr>
          <w:rFonts w:ascii="Arial" w:cs="Arial" w:eastAsia="Arial" w:hAnsi="Arial"/>
          <w:sz w:val="18"/>
          <w:szCs w:val="18"/>
          <w:color w:val="auto"/>
        </w:rPr>
        <w:t>. For all services where Client agrees to use third-party services, third-party services will be [***].</w:t>
      </w:r>
    </w:p>
    <w:p>
      <w:pPr>
        <w:spacing w:after="0" w:line="99" w:lineRule="exact"/>
        <w:rPr>
          <w:rFonts w:ascii="Arial" w:cs="Arial" w:eastAsia="Arial" w:hAnsi="Arial"/>
          <w:sz w:val="18"/>
          <w:szCs w:val="18"/>
          <w:u w:val="single" w:color="auto"/>
          <w:color w:val="auto"/>
        </w:rPr>
      </w:pPr>
    </w:p>
    <w:p>
      <w:pPr>
        <w:ind w:left="860" w:hanging="732"/>
        <w:spacing w:after="0"/>
        <w:tabs>
          <w:tab w:leader="none" w:pos="8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Section 6.3, Client Delays and Cancellations, is deleted in its entirety and replaced with the following:</w:t>
      </w:r>
    </w:p>
    <w:p>
      <w:pPr>
        <w:spacing w:after="0" w:line="200" w:lineRule="exact"/>
        <w:rPr>
          <w:sz w:val="20"/>
          <w:szCs w:val="20"/>
          <w:color w:val="auto"/>
        </w:rPr>
      </w:pPr>
    </w:p>
    <w:p>
      <w:pPr>
        <w:spacing w:after="0" w:line="228" w:lineRule="exact"/>
        <w:rPr>
          <w:sz w:val="20"/>
          <w:szCs w:val="20"/>
          <w:color w:val="auto"/>
        </w:rPr>
      </w:pPr>
    </w:p>
    <w:p>
      <w:pPr>
        <w:ind w:left="1620"/>
        <w:spacing w:after="0" w:line="27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Client Delays and Cancellations</w:t>
      </w:r>
      <w:r>
        <w:rPr>
          <w:rFonts w:ascii="Arial" w:cs="Arial" w:eastAsia="Arial" w:hAnsi="Arial"/>
          <w:sz w:val="18"/>
          <w:szCs w:val="18"/>
          <w:color w:val="auto"/>
        </w:rPr>
        <w:t>. In the event of a delay or cancellation of any Services KBI Biopharma may charge reasonable fees as set forth herein.</w:t>
      </w:r>
    </w:p>
    <w:p>
      <w:pPr>
        <w:spacing w:after="0" w:line="154" w:lineRule="exact"/>
        <w:rPr>
          <w:sz w:val="20"/>
          <w:szCs w:val="20"/>
          <w:color w:val="auto"/>
        </w:rPr>
      </w:pPr>
    </w:p>
    <w:p>
      <w:pPr>
        <w:jc w:val="both"/>
        <w:ind w:left="1620" w:firstLine="5"/>
        <w:spacing w:after="0" w:line="250" w:lineRule="auto"/>
        <w:tabs>
          <w:tab w:leader="none" w:pos="2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Services that do not include manufacturing Services, where Client cancels any part of the Services for any reason other than a material breach of this Agreement by KBI Biopharma, or in the event that the Services are cancelled or postponed for scientific or technical issues related to Client’s Product which are outside of KBI Biopharma’s control, upon receipt of invoice, Client shall pay KBI Biopharma: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9" w:lineRule="exact"/>
        <w:rPr>
          <w:sz w:val="20"/>
          <w:szCs w:val="20"/>
          <w:color w:val="auto"/>
        </w:rPr>
      </w:pPr>
    </w:p>
    <w:p>
      <w:pPr>
        <w:jc w:val="both"/>
        <w:ind w:left="1620" w:firstLine="5"/>
        <w:spacing w:after="0" w:line="237" w:lineRule="auto"/>
        <w:tabs>
          <w:tab w:leader="none" w:pos="2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otherwise set forth in the applicable Proposal, where the Services include manufacturing Services, in the event that Client cancels or postpones a manufacturing run (based on the manufacturing slots reserved for Client in the most recent schedule provided to Client) for any reason other than a material breach of this Agreement by KBI Biopharma, or in the event that a manufacturing run is cancelled or postponed for scientific or technical issues related to Client’s Product which are outside of KBI Biopharma’s control, Client shall pay KBI Biopharma, upon receipt of an invoice, the amounts set forth in 6.3(a) plus the following amounts, less all amounts already paid to KBI Biopharma for the applicable manufacturing Services.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respect to mammalian manufacturing services performed at KBI Biopharma’s facility in Durham, North Carolina:</w:t>
      </w:r>
    </w:p>
    <w:p>
      <w:pPr>
        <w:spacing w:after="0" w:line="198" w:lineRule="exact"/>
        <w:rPr>
          <w:sz w:val="20"/>
          <w:szCs w:val="20"/>
          <w:color w:val="auto"/>
        </w:rPr>
      </w:pPr>
    </w:p>
    <w:p>
      <w:pPr>
        <w:ind w:left="2360" w:hanging="735"/>
        <w:spacing w:after="0"/>
        <w:tabs>
          <w:tab w:leader="none" w:pos="2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2360" w:hanging="735"/>
        <w:spacing w:after="0"/>
        <w:tabs>
          <w:tab w:leader="none" w:pos="2360" w:val="left"/>
        </w:tabs>
        <w:numPr>
          <w:ilvl w:val="0"/>
          <w:numId w:val="78"/>
        </w:numPr>
        <w:rPr>
          <w:rFonts w:ascii="Arial" w:cs="Arial" w:eastAsia="Arial" w:hAnsi="Arial"/>
          <w:sz w:val="18"/>
          <w:szCs w:val="18"/>
          <w:color w:val="auto"/>
        </w:rPr>
      </w:pPr>
      <w:r>
        <w:rPr>
          <w:rFonts w:ascii="Arial" w:cs="Arial" w:eastAsia="Arial" w:hAnsi="Arial"/>
          <w:sz w:val="20"/>
          <w:szCs w:val="20"/>
          <w:color w:val="auto"/>
        </w:rPr>
        <w:t>[***]</w:t>
      </w:r>
    </w:p>
    <w:p>
      <w:pPr>
        <w:spacing w:after="0" w:line="204" w:lineRule="exact"/>
        <w:rPr>
          <w:rFonts w:ascii="Arial" w:cs="Arial" w:eastAsia="Arial" w:hAnsi="Arial"/>
          <w:sz w:val="18"/>
          <w:szCs w:val="18"/>
          <w:color w:val="auto"/>
        </w:rPr>
      </w:pPr>
    </w:p>
    <w:p>
      <w:pPr>
        <w:ind w:left="2360" w:hanging="735"/>
        <w:spacing w:after="0"/>
        <w:tabs>
          <w:tab w:leader="none" w:pos="2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360" w:hanging="735"/>
        <w:spacing w:after="0"/>
        <w:tabs>
          <w:tab w:leader="none" w:pos="2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respect to microbial manufacturing services performed at KBI Biopharma’s facility in Boulder, Colorado:</w:t>
      </w:r>
    </w:p>
    <w:p>
      <w:pPr>
        <w:spacing w:after="0" w:line="198" w:lineRule="exact"/>
        <w:rPr>
          <w:sz w:val="20"/>
          <w:szCs w:val="20"/>
          <w:color w:val="auto"/>
        </w:rPr>
      </w:pPr>
    </w:p>
    <w:p>
      <w:pPr>
        <w:ind w:left="2360" w:hanging="765"/>
        <w:spacing w:after="0"/>
        <w:tabs>
          <w:tab w:leader="none" w:pos="2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360" w:hanging="735"/>
        <w:spacing w:after="0"/>
        <w:tabs>
          <w:tab w:leader="none" w:pos="2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360" w:hanging="735"/>
        <w:spacing w:after="0"/>
        <w:tabs>
          <w:tab w:leader="none" w:pos="2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59" w:lineRule="exact"/>
        <w:rPr>
          <w:sz w:val="20"/>
          <w:szCs w:val="20"/>
          <w:color w:val="auto"/>
        </w:rPr>
      </w:pPr>
    </w:p>
    <w:p>
      <w:pPr>
        <w:ind w:left="2360" w:hanging="735"/>
        <w:spacing w:after="0"/>
        <w:tabs>
          <w:tab w:leader="none" w:pos="2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left="1540"/>
        <w:spacing w:after="0" w:line="247" w:lineRule="auto"/>
        <w:rPr>
          <w:sz w:val="20"/>
          <w:szCs w:val="20"/>
          <w:color w:val="auto"/>
        </w:rPr>
      </w:pPr>
      <w:r>
        <w:rPr>
          <w:rFonts w:ascii="Arial" w:cs="Arial" w:eastAsia="Arial" w:hAnsi="Arial"/>
          <w:sz w:val="18"/>
          <w:szCs w:val="18"/>
          <w:color w:val="auto"/>
        </w:rPr>
        <w:t>KBI Biopharma shall use commercially reasonable efforts to fill the unused capacity that becomes available as a result of a cancellation or postponement. Where KBI Biopharma is capable of filling such capacity, then the amount, if any, due under this section, shall be reduced to reflect the capacity that has been filled and the cost, if any, to KBI Biopharma in filling such capacity.</w:t>
      </w:r>
    </w:p>
    <w:p>
      <w:pPr>
        <w:spacing w:after="0" w:line="120" w:lineRule="exact"/>
        <w:rPr>
          <w:sz w:val="20"/>
          <w:szCs w:val="20"/>
          <w:color w:val="auto"/>
        </w:rPr>
      </w:pPr>
    </w:p>
    <w:p>
      <w:pPr>
        <w:ind w:left="860" w:hanging="732"/>
        <w:spacing w:after="0"/>
        <w:tabs>
          <w:tab w:leader="none" w:pos="8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Section 8.2, Process Technology and Process Inventions, is deleted in its entirety and replaced with the following</w:t>
      </w: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jc w:val="both"/>
        <w:ind w:left="8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Process Technology and Process Inventions</w:t>
      </w:r>
      <w:r>
        <w:rPr>
          <w:rFonts w:ascii="Arial" w:cs="Arial" w:eastAsia="Arial" w:hAnsi="Arial"/>
          <w:sz w:val="18"/>
          <w:szCs w:val="18"/>
          <w:color w:val="auto"/>
        </w:rPr>
        <w:t>. Notwithstanding the foregoing, Client acknowledges that KBI Biopharma possesses and shall retain full ownership of information and technology owned or controlled by KBI Biopharma as of the Effective Date, (“</w:t>
      </w:r>
      <w:r>
        <w:rPr>
          <w:rFonts w:ascii="Arial" w:cs="Arial" w:eastAsia="Arial" w:hAnsi="Arial"/>
          <w:sz w:val="18"/>
          <w:szCs w:val="18"/>
          <w:b w:val="1"/>
          <w:bCs w:val="1"/>
          <w:i w:val="1"/>
          <w:iCs w:val="1"/>
          <w:color w:val="auto"/>
        </w:rPr>
        <w:t>Process Technology</w:t>
      </w:r>
      <w:r>
        <w:rPr>
          <w:rFonts w:ascii="Arial" w:cs="Arial" w:eastAsia="Arial" w:hAnsi="Arial"/>
          <w:sz w:val="18"/>
          <w:szCs w:val="18"/>
          <w:color w:val="auto"/>
        </w:rPr>
        <w:t>”). KBI Biopharma shall also retain all rights to any data, ideas, know-how, information, developments, and inventions that are developed, conceived or reduced to practice in connection with the Services (1) that are improvements to the Process Technology or (2) which can be generally applied to the production of biologics other than the Product and for both (1) and (2), which do not use, reference, rely on or incorporate Client Materials or Client’s Confidential Information (collectively, “</w:t>
      </w:r>
      <w:r>
        <w:rPr>
          <w:rFonts w:ascii="Arial" w:cs="Arial" w:eastAsia="Arial" w:hAnsi="Arial"/>
          <w:sz w:val="18"/>
          <w:szCs w:val="18"/>
          <w:b w:val="1"/>
          <w:bCs w:val="1"/>
          <w:i w:val="1"/>
          <w:iCs w:val="1"/>
          <w:color w:val="auto"/>
        </w:rPr>
        <w:t>Process Inventions</w:t>
      </w:r>
      <w:r>
        <w:rPr>
          <w:rFonts w:ascii="Arial" w:cs="Arial" w:eastAsia="Arial" w:hAnsi="Arial"/>
          <w:sz w:val="18"/>
          <w:szCs w:val="18"/>
          <w:color w:val="auto"/>
        </w:rPr>
        <w:t>”).</w:t>
      </w:r>
    </w:p>
    <w:p>
      <w:pPr>
        <w:spacing w:after="0" w:line="118" w:lineRule="exact"/>
        <w:rPr>
          <w:rFonts w:ascii="Arial" w:cs="Arial" w:eastAsia="Arial" w:hAnsi="Arial"/>
          <w:sz w:val="18"/>
          <w:szCs w:val="18"/>
          <w:b w:val="1"/>
          <w:bCs w:val="1"/>
          <w:color w:val="auto"/>
        </w:rPr>
      </w:pPr>
    </w:p>
    <w:p>
      <w:pPr>
        <w:ind w:left="880" w:hanging="752"/>
        <w:spacing w:after="0"/>
        <w:tabs>
          <w:tab w:leader="none" w:pos="8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Section 10.1, Scope of Visit, is deleted in its entirety and replaced with the following</w:t>
      </w: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jc w:val="both"/>
        <w:ind w:left="88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Scope of Visit</w:t>
      </w:r>
      <w:r>
        <w:rPr>
          <w:rFonts w:ascii="Arial" w:cs="Arial" w:eastAsia="Arial" w:hAnsi="Arial"/>
          <w:sz w:val="18"/>
          <w:szCs w:val="18"/>
          <w:color w:val="auto"/>
        </w:rPr>
        <w:t>. Client shall have the right, upon reasonable advance notice, to visit KBI Biopharma and during regular business hours to observe the progress of the Services (i.e., person in the plant). Client shall also have the right upon no less than thirty (30) days’ advance written notice, to inspect records and data directly related to the Services. The form, participants, duration and procedures of all visits shall be subject to KBI Biopharma’s reasonable approval. Client may conduct additional “For Cause” visits as set forth in the applicable Quality Agreement, if applicable.</w:t>
      </w:r>
    </w:p>
    <w:p>
      <w:pPr>
        <w:spacing w:after="0" w:line="122" w:lineRule="exact"/>
        <w:rPr>
          <w:rFonts w:ascii="Arial" w:cs="Arial" w:eastAsia="Arial" w:hAnsi="Arial"/>
          <w:sz w:val="18"/>
          <w:szCs w:val="18"/>
          <w:b w:val="1"/>
          <w:bCs w:val="1"/>
          <w:color w:val="auto"/>
        </w:rPr>
      </w:pPr>
    </w:p>
    <w:p>
      <w:pPr>
        <w:ind w:left="880" w:hanging="752"/>
        <w:spacing w:after="0"/>
        <w:tabs>
          <w:tab w:leader="none" w:pos="8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Sections 13.1 and 13.2 are deleted in their entirety and replaced with the following</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left="860" w:hanging="740"/>
        <w:spacing w:after="0" w:line="239" w:lineRule="auto"/>
        <w:tabs>
          <w:tab w:leader="none" w:pos="8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Indemnification by KBI Biopharma</w:t>
      </w:r>
      <w:r>
        <w:rPr>
          <w:rFonts w:ascii="Arial" w:cs="Arial" w:eastAsia="Arial" w:hAnsi="Arial"/>
          <w:sz w:val="18"/>
          <w:szCs w:val="18"/>
          <w:color w:val="auto"/>
        </w:rPr>
        <w:t>. Subject to Section 13.2 below, KBI Biopharma will indemnify, defend and hold harmless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Client and its shareholders, directors, officers, employees and agents (each, a “</w:t>
      </w:r>
      <w:r>
        <w:rPr>
          <w:rFonts w:ascii="Arial" w:cs="Arial" w:eastAsia="Arial" w:hAnsi="Arial"/>
          <w:sz w:val="18"/>
          <w:szCs w:val="18"/>
          <w:b w:val="1"/>
          <w:bCs w:val="1"/>
          <w:i w:val="1"/>
          <w:iCs w:val="1"/>
          <w:color w:val="auto"/>
        </w:rPr>
        <w:t>Client Indemnitee</w:t>
      </w:r>
      <w:r>
        <w:rPr>
          <w:rFonts w:ascii="Arial" w:cs="Arial" w:eastAsia="Arial" w:hAnsi="Arial"/>
          <w:sz w:val="18"/>
          <w:szCs w:val="18"/>
          <w:color w:val="auto"/>
        </w:rPr>
        <w:t>”) from and against all costs, losses, expenses (including reasonable attorneys' fees) and direct damages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resulting from all lawsuits, claims, demands, actions and other proceedings by or on behalf of any third party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to the extent arising out of or resulting from: (i) KBI Biopharma’s material breach of any warranty made in Section 12 by KBI Biopharma; (ii) KBI Biopharma’s gross negligence or intentional misconduct; or (iii) the infringement or alleged infringement as a result of or arising from the Process Technology or Process Inventions, as used in the Services; except in each case to the extent such Claims or Losses arise from negligence or intentional misconduct on the part of a Client Indemnitee or a breach of this Agreement by Client.</w:t>
      </w:r>
    </w:p>
    <w:p>
      <w:pPr>
        <w:spacing w:after="0" w:line="170" w:lineRule="exact"/>
        <w:rPr>
          <w:sz w:val="20"/>
          <w:szCs w:val="20"/>
          <w:color w:val="auto"/>
        </w:rPr>
      </w:pPr>
    </w:p>
    <w:p>
      <w:pPr>
        <w:ind w:left="880"/>
        <w:spacing w:after="0" w:line="281"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Indemnification by Client</w:t>
      </w:r>
      <w:r>
        <w:rPr>
          <w:rFonts w:ascii="Arial" w:cs="Arial" w:eastAsia="Arial" w:hAnsi="Arial"/>
          <w:sz w:val="18"/>
          <w:szCs w:val="18"/>
          <w:color w:val="auto"/>
        </w:rPr>
        <w:t>. Client will indemnify, defend and hold harmless KBI Biopharma and its shareholders, directors, officers, employees and agents (each, a “</w:t>
      </w:r>
      <w:r>
        <w:rPr>
          <w:rFonts w:ascii="Arial" w:cs="Arial" w:eastAsia="Arial" w:hAnsi="Arial"/>
          <w:sz w:val="18"/>
          <w:szCs w:val="18"/>
          <w:b w:val="1"/>
          <w:bCs w:val="1"/>
          <w:i w:val="1"/>
          <w:iCs w:val="1"/>
          <w:color w:val="auto"/>
        </w:rPr>
        <w:t>KBI Biopharma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59"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from and against all Losses resulting from all Claims to the extent arising out of or resulting from: (i)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breach of any warranty made in Section 12 by Client; (ii) Client’s development (including the conduct of clinical trials in humans), handling, manufacturing, testing, storage, transportation, disposal, marketing, commercialization (including any recalls, field corrections or market withdrawals), distribution, promotion, sale or use of the Product or Deliverables (including without limitation as a result of any illness, injury or death to persons, including employees, agents or contractors of Client or damage to property); (iii) Client’s gross negligence or intentional misconduct; (iv) the infringement or alleged infringement as a result of, or arising from, the scope of the Services (or execution thereof), the Client Materials or the Product on the intellectual property rights of a third party, except in each case to the extent such Claims or Losses arise from negligence or intentional misconduct on the part of a KBI Biopharma Indemnitee or a breach of this Agreement by KBI Biopharma.</w:t>
      </w:r>
    </w:p>
    <w:p>
      <w:pPr>
        <w:spacing w:after="0" w:line="143" w:lineRule="exact"/>
        <w:rPr>
          <w:sz w:val="20"/>
          <w:szCs w:val="20"/>
          <w:color w:val="auto"/>
        </w:rPr>
      </w:pPr>
    </w:p>
    <w:p>
      <w:pPr>
        <w:ind w:left="860" w:hanging="732"/>
        <w:spacing w:after="0"/>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Section 24.1, Term, is hereby amended by deleting the first sentence and replacing with the following</w:t>
      </w: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ind w:left="880" w:right="100" w:hanging="2"/>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Term. The term of this Agreement (“Term”) shall be from the Effective Date until the tenth (10</w:t>
      </w:r>
      <w:r>
        <w:rPr>
          <w:rFonts w:ascii="Arial" w:cs="Arial" w:eastAsia="Arial" w:hAnsi="Arial"/>
          <w:sz w:val="11"/>
          <w:szCs w:val="11"/>
          <w:color w:val="auto"/>
        </w:rPr>
        <w:t>th</w:t>
      </w:r>
      <w:r>
        <w:rPr>
          <w:rFonts w:ascii="Arial" w:cs="Arial" w:eastAsia="Arial" w:hAnsi="Arial"/>
          <w:sz w:val="18"/>
          <w:szCs w:val="18"/>
          <w:color w:val="auto"/>
        </w:rPr>
        <w:t>) anniversary thereof, unless extended or terminated as provided herein.</w:t>
      </w:r>
    </w:p>
    <w:p>
      <w:pPr>
        <w:spacing w:after="0" w:line="113" w:lineRule="exact"/>
        <w:rPr>
          <w:rFonts w:ascii="Arial" w:cs="Arial" w:eastAsia="Arial" w:hAnsi="Arial"/>
          <w:sz w:val="18"/>
          <w:szCs w:val="18"/>
          <w:b w:val="1"/>
          <w:bCs w:val="1"/>
          <w:color w:val="auto"/>
        </w:rPr>
      </w:pPr>
    </w:p>
    <w:p>
      <w:pPr>
        <w:ind w:left="860" w:hanging="732"/>
        <w:spacing w:after="0"/>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Section 24.3, Termination for Breach, is deleted in its entirety and replaced with the following</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left="860" w:hanging="740"/>
        <w:spacing w:after="0" w:line="242" w:lineRule="auto"/>
        <w:tabs>
          <w:tab w:leader="none" w:pos="8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u w:val="single" w:color="auto"/>
          <w:color w:val="auto"/>
        </w:rPr>
        <w:t>Termination for Breach</w:t>
      </w:r>
      <w:r>
        <w:rPr>
          <w:rFonts w:ascii="Arial" w:cs="Arial" w:eastAsia="Arial" w:hAnsi="Arial"/>
          <w:sz w:val="18"/>
          <w:szCs w:val="18"/>
          <w:color w:val="auto"/>
        </w:rPr>
        <w:t>. In the event of a material breach of this Agreement by a Party that is not cured within thirty (30) days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written notice of such breach by the non-breaching Party, the non- breaching Party may terminate this Agreement or a Proposal immediately upon written notice. Upon such termination, KBI Biopharma will promptly scale down the affected portion of the Proposal and use its reasonable commercial efforts to avoid (or minimize, where non-cancellable) additional expenses. It is understood between the Parties that KBI Biopharma will incur substantial costs for reservations of resources and planning in order to undertake the provision of Services.</w:t>
      </w:r>
    </w:p>
    <w:p>
      <w:pPr>
        <w:spacing w:after="0" w:line="179" w:lineRule="exact"/>
        <w:rPr>
          <w:sz w:val="20"/>
          <w:szCs w:val="20"/>
          <w:color w:val="auto"/>
        </w:rPr>
      </w:pPr>
    </w:p>
    <w:p>
      <w:pPr>
        <w:ind w:left="880" w:right="20"/>
        <w:spacing w:after="0" w:line="271" w:lineRule="auto"/>
        <w:rPr>
          <w:sz w:val="20"/>
          <w:szCs w:val="20"/>
          <w:color w:val="auto"/>
        </w:rPr>
      </w:pPr>
      <w:r>
        <w:rPr>
          <w:rFonts w:ascii="Arial" w:cs="Arial" w:eastAsia="Arial" w:hAnsi="Arial"/>
          <w:sz w:val="18"/>
          <w:szCs w:val="18"/>
          <w:color w:val="auto"/>
        </w:rPr>
        <w:t>Therefore, in the event of termination under this Section 24.3 by KBI Biopharma, Client shall pay the following amounts to KBI Biopharma upon receipt of invoice:</w:t>
      </w:r>
    </w:p>
    <w:p>
      <w:pPr>
        <w:spacing w:after="0" w:line="154" w:lineRule="exact"/>
        <w:rPr>
          <w:sz w:val="20"/>
          <w:szCs w:val="20"/>
          <w:color w:val="auto"/>
        </w:rPr>
      </w:pPr>
    </w:p>
    <w:p>
      <w:pPr>
        <w:ind w:left="1180" w:hanging="304"/>
        <w:spacing w:after="0"/>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termination of Services that do not include manufacturing Services: [***].</w:t>
      </w:r>
    </w:p>
    <w:p>
      <w:pPr>
        <w:spacing w:after="0" w:line="198" w:lineRule="exact"/>
        <w:rPr>
          <w:rFonts w:ascii="Arial" w:cs="Arial" w:eastAsia="Arial" w:hAnsi="Arial"/>
          <w:sz w:val="18"/>
          <w:szCs w:val="18"/>
          <w:color w:val="auto"/>
        </w:rPr>
      </w:pPr>
    </w:p>
    <w:p>
      <w:pPr>
        <w:ind w:left="1180" w:hanging="304"/>
        <w:spacing w:after="0"/>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termination of Services that include manufacturing Services, [***].</w:t>
      </w:r>
    </w:p>
    <w:p>
      <w:pPr>
        <w:spacing w:after="0" w:line="211" w:lineRule="exact"/>
        <w:rPr>
          <w:rFonts w:ascii="Arial" w:cs="Arial" w:eastAsia="Arial" w:hAnsi="Arial"/>
          <w:sz w:val="18"/>
          <w:szCs w:val="18"/>
          <w:color w:val="auto"/>
        </w:rPr>
      </w:pPr>
    </w:p>
    <w:p>
      <w:pPr>
        <w:jc w:val="both"/>
        <w:ind w:left="860" w:hanging="732"/>
        <w:spacing w:after="0" w:line="253" w:lineRule="auto"/>
        <w:tabs>
          <w:tab w:leader="none" w:pos="8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Terms</w:t>
      </w:r>
      <w:r>
        <w:rPr>
          <w:rFonts w:ascii="Arial" w:cs="Arial" w:eastAsia="Arial" w:hAnsi="Arial"/>
          <w:sz w:val="18"/>
          <w:szCs w:val="18"/>
          <w:color w:val="auto"/>
        </w:rPr>
        <w:t>. Unless as otherwise indicated in this Amendment, the terms and conditions of the Agreement are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and made a part of this Amendment by this reference as if restated here. All references in the Agreement to such Agreement shall be deemed to include the provisions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DocuSign Envelope ID: EEF1D6D3-2768-4D08-A014-999612F16720</w:t>
      </w:r>
    </w:p>
    <w:p>
      <w:pPr>
        <w:spacing w:after="0" w:line="59"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IN WITNESS WHEREOF, the Parties have caused this First Amendment to be executed by their duly authorized representatives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57" w:right="49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arimar</w:t>
      </w:r>
      <w:r>
        <w:rPr>
          <w:rFonts w:ascii="Arial" w:cs="Arial" w:eastAsia="Arial" w:hAnsi="Arial"/>
          <w:sz w:val="18"/>
          <w:szCs w:val="18"/>
          <w:color w:val="auto"/>
        </w:rPr>
        <w:t xml:space="preserve"> T</w:t>
      </w:r>
      <w:r>
        <w:rPr>
          <w:rFonts w:ascii="Arial" w:cs="Arial" w:eastAsia="Arial" w:hAnsi="Arial"/>
          <w:sz w:val="12"/>
          <w:szCs w:val="12"/>
          <w:color w:val="auto"/>
        </w:rPr>
        <w:t>herapeutics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240"/>
        <w:spacing w:after="0"/>
        <w:tabs>
          <w:tab w:leader="none" w:pos="620" w:val="left"/>
          <w:tab w:leader="none" w:pos="2680" w:val="left"/>
        </w:tabs>
        <w:rPr>
          <w:sz w:val="20"/>
          <w:szCs w:val="20"/>
          <w:color w:val="auto"/>
        </w:rPr>
      </w:pPr>
      <w:r>
        <w:rPr>
          <w:rFonts w:ascii="Arial" w:cs="Arial" w:eastAsia="Arial" w:hAnsi="Arial"/>
          <w:sz w:val="18"/>
          <w:szCs w:val="18"/>
          <w:color w:val="auto"/>
        </w:rPr>
        <w:t>By:</w:t>
        <w:tab/>
        <w:t>/s/ Carole Ben-Maimon</w:t>
      </w:r>
      <w:r>
        <w:rPr>
          <w:sz w:val="20"/>
          <w:szCs w:val="20"/>
          <w:color w:val="auto"/>
        </w:rPr>
        <w:tab/>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-7620</wp:posOffset>
            </wp:positionV>
            <wp:extent cx="13265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4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Carole Ben-Maimon</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-19050</wp:posOffset>
            </wp:positionV>
            <wp:extent cx="139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KBI B</w:t>
      </w:r>
      <w:r>
        <w:rPr>
          <w:rFonts w:ascii="Arial" w:cs="Arial" w:eastAsia="Arial" w:hAnsi="Arial"/>
          <w:sz w:val="12"/>
          <w:szCs w:val="12"/>
          <w:color w:val="auto"/>
        </w:rPr>
        <w:t>iopharma</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 xml:space="preserve">/s/ Tim Lowery </w:t>
      </w:r>
      <w:r>
        <w:rPr>
          <w:rFonts w:ascii="Arial" w:cs="Arial" w:eastAsia="Arial" w:hAnsi="Arial"/>
          <w:sz w:val="18"/>
          <w:szCs w:val="18"/>
          <w:color w:val="auto"/>
        </w:rPr>
        <w:t>[signature]</w:t>
      </w:r>
    </w:p>
    <w:p>
      <w:pPr>
        <w:spacing w:after="0" w:line="6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Tim Lowery</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-19050</wp:posOffset>
            </wp:positionV>
            <wp:extent cx="139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Title: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14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CEO 14-Nov-2022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Title: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President 14-Nov-2022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4"/>
          <w:szCs w:val="14"/>
          <w:color w:val="auto"/>
        </w:rPr>
        <w:t>DocuSign Envelope ID: EEF1D6D3-2768-4D08-A014-999612F16720</w:t>
      </w:r>
    </w:p>
    <w:p>
      <w:pPr>
        <w:sectPr>
          <w:pgSz w:w="11900" w:h="16838" w:orient="portrait"/>
          <w:cols w:equalWidth="0" w:num="1">
            <w:col w:w="10139"/>
          </w:cols>
          <w:pgMar w:left="320" w:top="657" w:right="1440" w:bottom="1440" w:gutter="0" w:footer="0" w:header="0"/>
        </w:sectPr>
      </w:pPr>
    </w:p>
    <w:p>
      <w:pPr>
        <w:spacing w:after="0" w:line="3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Keith E. Lynch, Jr.</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Keith E. Lynch, Jr.</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VP, Manufacturing and Supply Chain 11-Nov-2022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376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LIST OF SUBSIDIARIES</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Jurisdiction of Incorporation or</w:t>
            </w:r>
          </w:p>
        </w:tc>
        <w:tc>
          <w:tcPr>
            <w:tcW w:w="0" w:type="dxa"/>
            <w:vAlign w:val="bottom"/>
          </w:tcPr>
          <w:p>
            <w:pPr>
              <w:spacing w:after="0"/>
              <w:rPr>
                <w:sz w:val="1"/>
                <w:szCs w:val="1"/>
                <w:color w:val="auto"/>
              </w:rPr>
            </w:pPr>
          </w:p>
        </w:tc>
      </w:tr>
      <w:tr>
        <w:trPr>
          <w:trHeight w:val="28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Subsidiary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Ownership Percentage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vMerge w:val="restart"/>
            <w:shd w:val="clear" w:color="auto" w:fill="BDD6EE"/>
          </w:tcPr>
          <w:p>
            <w:pPr>
              <w:jc w:val="center"/>
              <w:spacing w:after="0"/>
              <w:rPr>
                <w:sz w:val="20"/>
                <w:szCs w:val="20"/>
                <w:color w:val="auto"/>
              </w:rPr>
            </w:pPr>
            <w:r>
              <w:rPr>
                <w:rFonts w:ascii="Times New Roman" w:cs="Times New Roman" w:eastAsia="Times New Roman" w:hAnsi="Times New Roman"/>
                <w:sz w:val="22"/>
                <w:szCs w:val="22"/>
                <w:color w:val="auto"/>
                <w:w w:val="97"/>
              </w:rPr>
              <w:t>Zafgen Australia Pty Ltd.</w:t>
            </w:r>
          </w:p>
        </w:tc>
        <w:tc>
          <w:tcPr>
            <w:tcW w:w="3740" w:type="dxa"/>
            <w:vAlign w:val="bottom"/>
            <w:tcBorders>
              <w:right w:val="single" w:sz="8" w:color="auto"/>
            </w:tcBorders>
            <w:vMerge w:val="restart"/>
            <w:shd w:val="clear" w:color="auto" w:fill="BDD6EE"/>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right w:val="single" w:sz="8" w:color="auto"/>
            </w:tcBorders>
            <w:vMerge w:val="restart"/>
            <w:shd w:val="clear" w:color="auto" w:fill="BDD6EE"/>
          </w:tcPr>
          <w:p>
            <w:pPr>
              <w:jc w:val="center"/>
              <w:spacing w:after="0"/>
              <w:rPr>
                <w:sz w:val="20"/>
                <w:szCs w:val="20"/>
                <w:color w:val="auto"/>
              </w:rPr>
            </w:pPr>
            <w:r>
              <w:rPr>
                <w:rFonts w:ascii="Times New Roman" w:cs="Times New Roman" w:eastAsia="Times New Roman" w:hAnsi="Times New Roman"/>
                <w:sz w:val="22"/>
                <w:szCs w:val="22"/>
                <w:color w:val="auto"/>
                <w:w w:val="99"/>
              </w:rPr>
              <w:t>Australia</w:t>
            </w:r>
          </w:p>
        </w:tc>
        <w:tc>
          <w:tcPr>
            <w:tcW w:w="0" w:type="dxa"/>
            <w:vAlign w:val="bottom"/>
          </w:tcPr>
          <w:p>
            <w:pPr>
              <w:spacing w:after="0" w:line="20" w:lineRule="exact"/>
              <w:rPr>
                <w:sz w:val="1"/>
                <w:szCs w:val="1"/>
                <w:color w:val="auto"/>
              </w:rPr>
            </w:pPr>
          </w:p>
        </w:tc>
      </w:tr>
      <w:tr>
        <w:trPr>
          <w:trHeight w:val="252"/>
        </w:trPr>
        <w:tc>
          <w:tcPr>
            <w:tcW w:w="3760" w:type="dxa"/>
            <w:vAlign w:val="bottom"/>
            <w:tcBorders>
              <w:left w:val="single" w:sz="8" w:color="auto"/>
              <w:bottom w:val="single" w:sz="8" w:color="auto"/>
              <w:right w:val="single" w:sz="8" w:color="auto"/>
            </w:tcBorders>
            <w:vMerge w:val="continue"/>
            <w:shd w:val="clear" w:color="auto" w:fill="BDD6EE"/>
          </w:tcPr>
          <w:p>
            <w:pPr>
              <w:spacing w:after="0"/>
              <w:rPr>
                <w:sz w:val="21"/>
                <w:szCs w:val="21"/>
                <w:color w:val="auto"/>
              </w:rPr>
            </w:pPr>
          </w:p>
        </w:tc>
        <w:tc>
          <w:tcPr>
            <w:tcW w:w="3740" w:type="dxa"/>
            <w:vAlign w:val="bottom"/>
            <w:tcBorders>
              <w:bottom w:val="single" w:sz="8" w:color="auto"/>
              <w:right w:val="single" w:sz="8" w:color="auto"/>
            </w:tcBorders>
            <w:vMerge w:val="continue"/>
            <w:shd w:val="clear" w:color="auto" w:fill="BDD6EE"/>
          </w:tcPr>
          <w:p>
            <w:pPr>
              <w:spacing w:after="0"/>
              <w:rPr>
                <w:sz w:val="21"/>
                <w:szCs w:val="21"/>
                <w:color w:val="auto"/>
              </w:rPr>
            </w:pPr>
          </w:p>
        </w:tc>
        <w:tc>
          <w:tcPr>
            <w:tcW w:w="3740" w:type="dxa"/>
            <w:vAlign w:val="bottom"/>
            <w:tcBorders>
              <w:bottom w:val="single" w:sz="8" w:color="auto"/>
              <w:right w:val="single" w:sz="8" w:color="auto"/>
            </w:tcBorders>
            <w:vMerge w:val="continue"/>
            <w:shd w:val="clear" w:color="auto" w:fill="BDD6E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3" w:name="page144"/>
    <w:bookmarkEnd w:id="143"/>
    <w:p>
      <w:pPr>
        <w:ind w:left="254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333-239510, 333-246370, 333-268312) and Form S-8 (Nos. 333-239509, 333-249287) of Larimar Therapeutics, Inc. of our report dated March 14, 2023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769" w:right="7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Celano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35" w:lineRule="exact"/>
        <w:rPr>
          <w:sz w:val="20"/>
          <w:szCs w:val="20"/>
          <w:color w:val="auto"/>
        </w:rPr>
      </w:pPr>
    </w:p>
    <w:p>
      <w:pPr>
        <w:ind w:left="1500" w:right="660" w:hanging="690"/>
        <w:spacing w:after="0" w:line="282" w:lineRule="auto"/>
        <w:tabs>
          <w:tab w:leader="none" w:pos="11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2022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400" w:hanging="690"/>
        <w:spacing w:after="0" w:line="282" w:lineRule="auto"/>
        <w:tabs>
          <w:tab w:leader="none" w:pos="11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7"/>
          <w:szCs w:val="17"/>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Michael Celano</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2"/>
    </w:lvl>
  </w:abstractNum>
  <w:abstractNum w:abstractNumId="55">
    <w:nsid w:val="6B94764"/>
    <w:multiLevelType w:val="hybridMultilevel"/>
    <w:lvl w:ilvl="0">
      <w:lvlJc w:val="left"/>
      <w:lvlText w:val="%1."/>
      <w:numFmt w:val="decimal"/>
      <w:start w:val="3"/>
    </w:lvl>
  </w:abstractNum>
  <w:abstractNum w:abstractNumId="56">
    <w:nsid w:val="42C296BD"/>
    <w:multiLevelType w:val="hybridMultilevel"/>
    <w:lvl w:ilvl="0">
      <w:lvlJc w:val="left"/>
      <w:lvlText w:val="%1."/>
      <w:numFmt w:val="decimal"/>
      <w:start w:val="4"/>
    </w:lvl>
  </w:abstractNum>
  <w:abstractNum w:abstractNumId="57">
    <w:nsid w:val="168E121F"/>
    <w:multiLevelType w:val="hybridMultilevel"/>
    <w:lvl w:ilvl="0">
      <w:lvlJc w:val="left"/>
      <w:lvlText w:val="%1."/>
      <w:numFmt w:val="decimal"/>
      <w:start w:val="5"/>
    </w:lvl>
  </w:abstractNum>
  <w:abstractNum w:abstractNumId="58">
    <w:nsid w:val="1EBA5D23"/>
    <w:multiLevelType w:val="hybridMultilevel"/>
    <w:lvl w:ilvl="0">
      <w:lvlJc w:val="left"/>
      <w:lvlText w:val="%1."/>
      <w:numFmt w:val="decimal"/>
      <w:start w:val="6"/>
    </w:lvl>
  </w:abstractNum>
  <w:abstractNum w:abstractNumId="59">
    <w:nsid w:val="661E3F1E"/>
    <w:multiLevelType w:val="hybridMultilevel"/>
    <w:lvl w:ilvl="0">
      <w:lvlJc w:val="left"/>
      <w:lvlText w:val="%1."/>
      <w:numFmt w:val="decimal"/>
      <w:start w:val="7"/>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decimal"/>
      <w:start w:val="8"/>
    </w:lvl>
  </w:abstractNum>
  <w:abstractNum w:abstractNumId="62">
    <w:nsid w:val="7BD3EE7B"/>
    <w:multiLevelType w:val="hybridMultilevel"/>
    <w:lvl w:ilvl="0">
      <w:lvlJc w:val="left"/>
      <w:lvlText w:val="%1."/>
      <w:numFmt w:val="decimal"/>
      <w:start w:val="9"/>
    </w:lvl>
  </w:abstractNum>
  <w:abstractNum w:abstractNumId="63">
    <w:nsid w:val="51D9C564"/>
    <w:multiLevelType w:val="hybridMultilevel"/>
    <w:lvl w:ilvl="0">
      <w:lvlJc w:val="left"/>
      <w:lvlText w:val="%1."/>
      <w:numFmt w:val="decimal"/>
      <w:start w:val="10"/>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3"/>
    </w:lvl>
  </w:abstractNum>
  <w:abstractNum w:abstractNumId="66">
    <w:nsid w:val="11447B73"/>
    <w:multiLevelType w:val="hybridMultilevel"/>
    <w:lvl w:ilvl="0">
      <w:lvlJc w:val="left"/>
      <w:lvlText w:val="%1."/>
      <w:numFmt w:val="decimal"/>
      <w:start w:val="4"/>
    </w:lvl>
  </w:abstractNum>
  <w:abstractNum w:abstractNumId="67">
    <w:nsid w:val="42963E5A"/>
    <w:multiLevelType w:val="hybridMultilevel"/>
    <w:lvl w:ilvl="0">
      <w:lvlJc w:val="left"/>
      <w:lvlText w:val="%1."/>
      <w:numFmt w:val="decimal"/>
      <w:start w:val="11"/>
    </w:lvl>
  </w:abstractNum>
  <w:abstractNum w:abstractNumId="68">
    <w:nsid w:val="A0382C5"/>
    <w:multiLevelType w:val="hybridMultilevel"/>
    <w:lvl w:ilvl="0">
      <w:lvlJc w:val="left"/>
      <w:lvlText w:val="(%1)"/>
      <w:numFmt w:val="lowerLetter"/>
      <w:start w:val="4"/>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3"/>
    </w:lvl>
  </w:abstractNum>
  <w:abstractNum w:abstractNumId="72">
    <w:nsid w:val="68EB2F63"/>
    <w:multiLevelType w:val="hybridMultilevel"/>
    <w:lvl w:ilvl="0">
      <w:lvlJc w:val="left"/>
      <w:lvlText w:val="%1."/>
      <w:numFmt w:val="decimal"/>
      <w:start w:val="4"/>
    </w:lvl>
  </w:abstractNum>
  <w:abstractNum w:abstractNumId="73">
    <w:nsid w:val="4962813B"/>
    <w:multiLevelType w:val="hybridMultilevel"/>
    <w:lvl w:ilvl="0">
      <w:lvlJc w:val="left"/>
      <w:lvlText w:val="%1"/>
      <w:numFmt w:val="decimal"/>
      <w:start w:val="1"/>
    </w:lvl>
    <w:lvl w:ilvl="1">
      <w:lvlJc w:val="left"/>
      <w:lvlText w:val="(%2)"/>
      <w:numFmt w:val="lowerRoman"/>
      <w:start w:val="1"/>
    </w:lvl>
  </w:abstractNum>
  <w:abstractNum w:abstractNumId="74">
    <w:nsid w:val="60B6DF70"/>
    <w:multiLevelType w:val="hybridMultilevel"/>
    <w:lvl w:ilvl="0">
      <w:lvlJc w:val="left"/>
      <w:lvlText w:val="%1."/>
      <w:numFmt w:val="decimal"/>
      <w:start w:val="5"/>
    </w:lvl>
    <w:lvl w:ilvl="1">
      <w:lvlJc w:val="left"/>
      <w:lvlText w:val="%2"/>
      <w:numFmt w:val="lowerRoman"/>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2"/>
    </w:lvl>
  </w:abstractNum>
  <w:abstractNum w:abstractNumId="77">
    <w:nsid w:val="7FFFCA11"/>
    <w:multiLevelType w:val="hybridMultilevel"/>
    <w:lvl w:ilvl="0">
      <w:lvlJc w:val="left"/>
      <w:lvlText w:val="(%1)"/>
      <w:numFmt w:val="lowerRoman"/>
      <w:start w:val="1"/>
    </w:lvl>
  </w:abstractNum>
  <w:abstractNum w:abstractNumId="78">
    <w:nsid w:val="1A27709E"/>
    <w:multiLevelType w:val="hybridMultilevel"/>
    <w:lvl w:ilvl="0">
      <w:lvlJc w:val="left"/>
      <w:lvlText w:val="(%1)"/>
      <w:numFmt w:val="lowerRoman"/>
      <w:start w:val="1"/>
    </w:lvl>
    <w:lvl w:ilvl="1">
      <w:lvlJc w:val="left"/>
      <w:lvlText w:val="(%2)"/>
      <w:numFmt w:val="lowerRoman"/>
      <w:start w:val="2"/>
    </w:lvl>
  </w:abstractNum>
  <w:abstractNum w:abstractNumId="79">
    <w:nsid w:val="71EA1109"/>
    <w:multiLevelType w:val="hybridMultilevel"/>
    <w:lvl w:ilvl="0">
      <w:lvlJc w:val="left"/>
      <w:lvlText w:val="(%1)"/>
      <w:numFmt w:val="lowerRoman"/>
      <w:start w:val="4"/>
    </w:lvl>
  </w:abstractNum>
  <w:abstractNum w:abstractNumId="80">
    <w:nsid w:val="100F59DC"/>
    <w:multiLevelType w:val="hybridMultilevel"/>
    <w:lvl w:ilvl="0">
      <w:lvlJc w:val="left"/>
      <w:lvlText w:val="%1."/>
      <w:numFmt w:val="decimal"/>
      <w:start w:val="6"/>
    </w:lvl>
  </w:abstractNum>
  <w:abstractNum w:abstractNumId="81">
    <w:nsid w:val="7FB7E0AA"/>
    <w:multiLevelType w:val="hybridMultilevel"/>
    <w:lvl w:ilvl="0">
      <w:lvlJc w:val="left"/>
      <w:lvlText w:val="%1."/>
      <w:numFmt w:val="decimal"/>
      <w:start w:val="9"/>
    </w:lvl>
  </w:abstractNum>
  <w:abstractNum w:abstractNumId="82">
    <w:nsid w:val="6EB5BD4"/>
    <w:multiLevelType w:val="hybridMultilevel"/>
    <w:lvl w:ilvl="0">
      <w:lvlJc w:val="left"/>
      <w:lvlText w:val="%1"/>
      <w:numFmt w:val="decimal"/>
      <w:start w:val="1"/>
    </w:lvl>
    <w:lvl w:ilvl="1">
      <w:lvlJc w:val="left"/>
      <w:lvlText w:val="(%2)"/>
      <w:numFmt w:val="lowerLetter"/>
      <w:start w:val="1"/>
    </w:lvl>
  </w:abstractNum>
  <w:abstractNum w:abstractNumId="83">
    <w:nsid w:val="6F6DD9AC"/>
    <w:multiLevelType w:val="hybridMultilevel"/>
    <w:lvl w:ilvl="0">
      <w:lvlJc w:val="left"/>
      <w:lvlText w:val="%1."/>
      <w:numFmt w:val="decimal"/>
      <w:start w:val="1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61" Type="http://schemas.openxmlformats.org/officeDocument/2006/relationships/image" Target="media/image142.png"/><Relationship Id="rId163"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125" Type="http://schemas.openxmlformats.org/officeDocument/2006/relationships/hyperlink" Target="https://www.sec.gov/Archives/edgar/data/0001374690/000119312519316828/d845901dex21.htm" TargetMode="External"/><Relationship Id="rId129" Type="http://schemas.openxmlformats.org/officeDocument/2006/relationships/hyperlink" Target="https://www.sec.gov/Archives/edgar/data/0001374690/000119312520065288/d846972dex21.htm" TargetMode="External"/><Relationship Id="rId133" Type="http://schemas.openxmlformats.org/officeDocument/2006/relationships/hyperlink" Target="https://www.sec.gov/Archives/edgar/data/1374690/000119312514247362/d747935dex31.htm" TargetMode="External"/><Relationship Id="rId136" Type="http://schemas.openxmlformats.org/officeDocument/2006/relationships/hyperlink" Target="https://www.sec.gov/Archives/edgar/data/1374690/000119312520157924/d936040dex31.htm" TargetMode="External"/><Relationship Id="rId143" Type="http://schemas.openxmlformats.org/officeDocument/2006/relationships/hyperlink" Target="https://www.sec.gov/Archives/edgar/data/1374690/000119312514247362/d747935dex32.htm" TargetMode="External"/><Relationship Id="rId146" Type="http://schemas.openxmlformats.org/officeDocument/2006/relationships/hyperlink" Target="https://www.sec.gov/Archives/edgar/data/0001374690/000119312520157924/d936040dex41.htm" TargetMode="External"/><Relationship Id="rId149" Type="http://schemas.openxmlformats.org/officeDocument/2006/relationships/hyperlink" Target="https://www.sec.gov/Archives/edgar/data/1374690/000119312520257168/d887315dex101.htm" TargetMode="External"/><Relationship Id="rId152" Type="http://schemas.openxmlformats.org/officeDocument/2006/relationships/hyperlink" Target="https://www.sec.gov/Archives/edgar/data/1374690/000119312520257168/d887315dex102.htm" TargetMode="External"/><Relationship Id="rId157" Type="http://schemas.openxmlformats.org/officeDocument/2006/relationships/hyperlink" Target="https://www.sec.gov/Archives/edgar/data/0001374690/000119312520157924/d936040dex102.htm" TargetMode="External"/><Relationship Id="rId158" Type="http://schemas.openxmlformats.org/officeDocument/2006/relationships/hyperlink" Target="https://www.sec.gov/Archives/edgar/data/0001374690/000119312520181162/d926045dex103.htm" TargetMode="External"/><Relationship Id="rId159" Type="http://schemas.openxmlformats.org/officeDocument/2006/relationships/hyperlink" Target="https://www.sec.gov/Archives/edgar/data/0001374690/000119312520157924/d936040dex103.htm" TargetMode="External"/><Relationship Id="rId160" Type="http://schemas.openxmlformats.org/officeDocument/2006/relationships/hyperlink" Target="https://www.sec.gov/Archives/edgar/data/0001374690/000119312520157924/d936040dex104.htm" TargetMode="External"/><Relationship Id="rId162" Type="http://schemas.openxmlformats.org/officeDocument/2006/relationships/hyperlink" Target="https://www.sec.gov/ix?doc=/Archives/edgar/data/1374690/000119312523026958/d399840d8k.htm" TargetMode="External"/><Relationship Id="rId164" Type="http://schemas.openxmlformats.org/officeDocument/2006/relationships/hyperlink" Target="https://www.sec.gov/Archives/edgar/data/1374690/000156459020040314/lrmr-ex106_306.htm" TargetMode="External"/><Relationship Id="rId167" Type="http://schemas.openxmlformats.org/officeDocument/2006/relationships/hyperlink" Target="https://www.sec.gov/Archives/edgar/data/1374690/000156459020040314/lrmr-ex107_305.htm" TargetMode="External"/><Relationship Id="rId171" Type="http://schemas.openxmlformats.org/officeDocument/2006/relationships/hyperlink" Target="https://www.sec.gov/Archives/edgar/data/1374690/000156459020040314/lrmr-ex108_304.htm" TargetMode="External"/><Relationship Id="rId175" Type="http://schemas.openxmlformats.org/officeDocument/2006/relationships/hyperlink" Target="https://www.sec.gov/Archives/edgar/data/1374690/000156459020040314/lrmr-ex109_303.htm" TargetMode="External"/><Relationship Id="rId179" Type="http://schemas.openxmlformats.org/officeDocument/2006/relationships/hyperlink" Target="https://www.sec.gov/Archives/edgar/data/1374690/000156459020040314/lrmr-ex1010_302.htm" TargetMode="External"/><Relationship Id="rId183" Type="http://schemas.openxmlformats.org/officeDocument/2006/relationships/hyperlink" Target="https://www.sec.gov/Archives/edgar/data/1374690/000095017022016917/lrmr-ex10_1.htm" TargetMode="External"/><Relationship Id="rId187" Type="http://schemas.openxmlformats.org/officeDocument/2006/relationships/hyperlink" Target="https://www.sec.gov/Archives/edgar/data/1374690/000095017022016917/lrmr-ex10_2.htm" TargetMode="External"/><Relationship Id="rId191" Type="http://schemas.openxmlformats.org/officeDocument/2006/relationships/hyperlink" Target="https://www.sec.gov/Archives/edgar/data/0001374690/000119312520181158/d913803dex45.htm" TargetMode="External"/><Relationship Id="rId192" Type="http://schemas.openxmlformats.org/officeDocument/2006/relationships/hyperlink" Target="https://www.sec.gov/Archives/edgar/data/1374690/000156459019018086/zfgn-ex104_74.htm" TargetMode="External"/><Relationship Id="rId195" Type="http://schemas.openxmlformats.org/officeDocument/2006/relationships/hyperlink" Target="https://www.sec.gov/Archives/edgar/data/1374690/000119312520282731/d37391dex101.htm" TargetMode="External"/><Relationship Id="rId198" Type="http://schemas.openxmlformats.org/officeDocument/2006/relationships/hyperlink" Target="https://www.sec.gov/Archives/edgar/data/0001374690/000156459021026084/lrmr-ex101_148.htm" TargetMode="External"/><Relationship Id="rId199" Type="http://schemas.openxmlformats.org/officeDocument/2006/relationships/hyperlink" Target="https://www.sec.gov/Archives/edgar/data/0001374690/000156459021026084/lrmr-ex102_1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2023-03-14T15:17:54Z</dcterms:created>
  <dcterms:modified xsi:type="dcterms:W3CDTF">2023-03-14T15:17:54Z</dcterms:modified>
</cp:coreProperties>
</file>