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rmr-20250930.htm"/>
      <w:bookmarkStart w:id="1" w:name="kslrmr20250930"/>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t> </w:t>
      </w:r>
    </w:p>
    <w:p>
      <w:pPr>
        <w:pStyle w:val="TextBody"/>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 to ____</w:t>
      </w:r>
    </w:p>
    <w:p>
      <w:pPr>
        <w:pStyle w:val="TextBody"/>
        <w:bidi w:val="0"/>
        <w:spacing w:before="60" w:after="283"/>
        <w:jc w:val="center"/>
        <w:rPr>
          <w:rFonts w:ascii="Times New Roman" w:hAnsi="Times New Roman"/>
          <w:sz w:val="20"/>
        </w:rPr>
      </w:pPr>
      <w:r>
        <w:rPr>
          <w:rFonts w:ascii="Times New Roman" w:hAnsi="Times New Roman"/>
          <w:b/>
          <w:color w:val="000000"/>
          <w:sz w:val="20"/>
        </w:rPr>
        <w:t>Commission File Number: 001-36510</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6"/>
        </w:rPr>
        <w:t>LARIMAR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20-3857670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Bala Plaza East, Suite 506</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19004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Bala Cynwyd, PA</w:t>
            </w:r>
            <w:r>
              <w:rPr>
                <w:rFonts w:ascii="Times New Roman" w:hAnsi="Times New Roman"/>
                <w:color w:val="000000"/>
                <w:sz w:val="20"/>
              </w:rPr>
              <w:t xml:space="preserve">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(844) 511-9056</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4"/>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03" w:type="dxa"/>
        <w:jc w:val="left"/>
        <w:tblInd w:w="0" w:type="dxa"/>
        <w:tblLayout w:type="fixed"/>
        <w:tblCellMar>
          <w:top w:w="28" w:type="dxa"/>
          <w:left w:w="28" w:type="dxa"/>
          <w:bottom w:w="28" w:type="dxa"/>
          <w:right w:w="28" w:type="dxa"/>
        </w:tblCellMar>
      </w:tblPr>
      <w:tblGrid>
        <w:gridCol w:w="3151"/>
        <w:gridCol w:w="1426"/>
        <w:gridCol w:w="3226"/>
      </w:tblGrid>
      <w:tr>
        <w:trPr/>
        <w:tc>
          <w:tcPr>
            <w:tcW w:w="31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15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LRMR</w:t>
            </w:r>
          </w:p>
        </w:tc>
        <w:tc>
          <w:tcPr>
            <w:tcW w:w="32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30" w:type="dxa"/>
        <w:jc w:val="left"/>
        <w:tblInd w:w="0" w:type="dxa"/>
        <w:tblLayout w:type="fixed"/>
        <w:tblCellMar>
          <w:top w:w="28" w:type="dxa"/>
          <w:left w:w="28" w:type="dxa"/>
          <w:bottom w:w="28" w:type="dxa"/>
          <w:right w:w="28" w:type="dxa"/>
        </w:tblCellMar>
      </w:tblPr>
      <w:tblGrid>
        <w:gridCol w:w="1666"/>
        <w:gridCol w:w="316"/>
        <w:gridCol w:w="14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As of November 3, 2025, there were 85,590,392</w:t>
      </w:r>
      <w:r>
        <w:rPr>
          <w:rFonts w:ascii="Times New Roman" w:hAnsi="Times New Roman"/>
          <w:color w:val="000000"/>
          <w:sz w:val="20"/>
        </w:rPr>
        <w:t xml:space="preserve"> </w:t>
      </w:r>
      <w:r>
        <w:rPr>
          <w:rFonts w:ascii="Times New Roman" w:hAnsi="Times New Roman"/>
          <w:color w:val="000000"/>
          <w:sz w:val="18"/>
        </w:rPr>
        <w:t>shares of the registrant’s Common Stock, $0.001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Statements made in this Quarterly Report on Form 10-Q that are not statements of historical or current facts are “forward-looking statements” within the meaning of the Private Securities Litigation Reform Act of 1995, as amended.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understand that the following important factors could affect our future results and could cause those results or other outcomes to differ materially from those expressed or implied in our forward-looking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in obtaining successful non-clinical or clinical results that reliably and meaningfully demonstrate safety, tolerability and efficacy profiles that are satisfactory to the U.S. Food and Drug Administration (“FDA”), European Medicines Agency (“EMA”) and other comparable regulatory authorities for marketing approval for nomlabofusp (nomlabofusp is the International Nonproprietary Name and the United States Adopted Name for CTI-1601 ) or any other product candidates that we may develop in the future and unexpected costs that may result therefrom;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patient recruitment for our clinical trials (including as a result of the impact of FDA approval of competitive products for the treatment of Friedreich's ataxia (“FA”), and/or the impact of other clinical trials of competitive products), delays as a result of clinical and non-clinical results and/or the FDA's request for additional information or studies (whether clinical or non-clinical), changes in clinical protocols, including our ability to timely implement the revised nomlabofusp dosing regimen, adverse events, regulatory restrictions, including additional clinical holds, and milestones for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execute our ongoing open label trial and our planned Phase 3 global registration study, including the timing of site initiations and the rate of patient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benefit from participating in the FDA’s Support for Clinical Trials Advancing Rare Disease Therapeutics (“START”) pilot program for the development of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associated with the clinical development and regulatory approval for nomlabofusp in the United States and in other countries, including potential delays in the commencement, enrollment and completion of clinical trials, the timing of a potential Biologics License Application (“BLA”) submission to the FDA or similar applications to be submitted to other countries for accelerated approval, including our ability to supply to the FDA or to regulatory authorities in other countries all required data for the FDA and the regulatory bodies to which we apply, to review and accept an accelerated application, or any other product candidates that we may develop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difficulties and expenses associated with obtaining and maintaining regulatory approval for nomlabofusp or any other product candidates we may develop in the future, and the indication and labeling under any such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use of proceeds from the financing completed on July 31, 2025 and any future financings;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and the ability of third-party manufacturers we engage, to optimize, scale and validate nomlabofusp or any other product candidate’s manufacturing process and to manufacture sufficient quantities of clinical supplies, and, if approved, commercial supplies of nomlabofusp or any other product candidates that we may develop in the future and our ability to maintain our relationships and contracts with our key vendors and to identify and contract with alternate or secondary key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realize any value from nomlabofusp and/or any other product candidates we may develop in the future in light of inherent risks and difficulties involved in successfully bringing product candidates to market and the risk that the product candidates, if approved, will not achieve broad market acceptance;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regulatory requirements applicable to our business and other regulatory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of the potential markets for nomlabofusp, if approved, or any other product candidates that we may develop in the future, the rate and degree of market acceptance of nomlabofusp or any other product candidate, if approved, that we may develop in the future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both approved and competing therapies and products in non-clinical and clinical development for the treatment of FA, our ability to obtain and maintain designations or eligibility for expedited regulatory programs, and to commercialize current and future product candidates, if approved, (including the impact of potential barriers to entry if a competitor is able to establish and maintain a strong market position before we are able to commercialize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patent protection and defend our intellectual property rights against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and compliance with the rules and regulations of the FDA (and all other regulatory authorities) of third parties upon which we depend, including third-party contract research organizations (“CROs”), consultants, and third-party suppliers, manufacturers, distributors, and logistics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and retain key scientific, technical, commercial, and management personnel and to retain our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proper functionality and security of our internal computer and information systems and prevent or avoid cyber-attacks, malicious intrusion, breakdown, destruction, loss of data privacy or other significant disruption;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geopolitical tensions, including regional conflicts around the world, adverse macroeconomic events, including those due to inflationary pressures, rising interest rates, banking instability, monetary policy changes, changes in trade policies, (including the current U.S. Government shutdown, tariffs or trade protection measures that have been or may in the future be imposed by the U.S. or other countries), economic slowdowns or recessions, health epidemics, unforeseen emergencies and other outbreaks of communicable diseases that could disrupt our operations, the operations of third parties on which we rely or the operations of regulatory agencies we interact with in the development of nomlabofusp and any other product candidates that we may develop;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impact of regulatory developments in the U.S., including regulatory developments due to changes in the U.S. presidential administration, healthcare reform in the United States, including the Inflation Reduction Act of 2022 (“IRA”), and measures being taken worldwide designed to reduce healthcare costs and limit the overall level of government expenditures.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The factors that could cause or contribute to such differences include, but are not limited to, those discussed in our Annual Report on Form 10-K filed on March 24, 2025, our Quarterly Reports on Form 10-Q filed on April 30, 2025 and on August 14, 2025. All forward-looking statements are applicable only as of the date on which they were made and,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INDEX</w:t>
      </w:r>
      <w:r>
        <w:rPr>
          <w:rFonts w:ascii="Times New Roman" w:hAnsi="Times New Roman"/>
          <w:color w:val="000000"/>
          <w:sz w:val="20"/>
        </w:rPr>
        <w:t xml:space="preserve">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13"/>
        <w:gridCol w:w="146"/>
        <w:gridCol w:w="8688"/>
        <w:gridCol w:w="146"/>
        <w:gridCol w:w="512"/>
      </w:tblGrid>
      <w:tr>
        <w:trPr/>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Times New Roman" w:hAnsi="Times New Roman"/>
                  <w:b/>
                  <w:color w:val="0000FF"/>
                  <w:sz w:val="20"/>
                  <w:u w:val="single"/>
                </w:rPr>
                <w:t>PART I - FINANCIAL INFORMATION</w:t>
              </w:r>
            </w:hyperlink>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September 30, 2025 and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for the three and nine months ended September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hange">
              <w:r>
                <w:rPr>
                  <w:rStyle w:val="InternetLink"/>
                  <w:rFonts w:ascii="Times New Roman" w:hAnsi="Times New Roman"/>
                  <w:color w:val="0000FF"/>
                  <w:sz w:val="20"/>
                  <w:u w:val="single"/>
                </w:rPr>
                <w:t>Condensed Consolidated Statements of Changes in Stockholders' Equity for the three and nine months ended September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 for the nine months ended September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hyperlink w:anchor="part_ii_or_information">
              <w:r>
                <w:rPr>
                  <w:rStyle w:val="InternetLink"/>
                  <w:rFonts w:ascii="Times New Roman" w:hAnsi="Times New Roman"/>
                  <w:b/>
                  <w:color w:val="0000FF"/>
                  <w:sz w:val="20"/>
                  <w:u w:val="single"/>
                </w:rPr>
                <w:t>PART II - OTHER INFORMATION</w:t>
              </w:r>
            </w:hyperlink>
            <w:hyperlink w:anchor="part_ii_or_information">
              <w:r>
                <w:rPr>
                  <w:rStyle w:val="InternetLink"/>
                  <w:rFonts w:ascii="Times New Roman" w:hAnsi="Times New Roman"/>
                  <w:color w:val="0000FF"/>
                  <w:sz w:val="20"/>
                </w:rPr>
                <w:t xml:space="preserve"> </w:t>
              </w:r>
            </w:hyperlink>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financial_information"/>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360" w:after="283"/>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500" w:type="dxa"/>
        <w:jc w:val="left"/>
        <w:tblInd w:w="0" w:type="dxa"/>
        <w:tblLayout w:type="fixed"/>
        <w:tblCellMar>
          <w:top w:w="28" w:type="dxa"/>
          <w:left w:w="28" w:type="dxa"/>
          <w:bottom w:w="28" w:type="dxa"/>
          <w:right w:w="28" w:type="dxa"/>
        </w:tblCellMar>
      </w:tblPr>
      <w:tblGrid>
        <w:gridCol w:w="6216"/>
        <w:gridCol w:w="146"/>
        <w:gridCol w:w="228"/>
        <w:gridCol w:w="912"/>
        <w:gridCol w:w="166"/>
        <w:gridCol w:w="146"/>
        <w:gridCol w:w="219"/>
        <w:gridCol w:w="876"/>
        <w:gridCol w:w="591"/>
      </w:tblGrid>
      <w:tr>
        <w:trPr/>
        <w:tc>
          <w:tcPr>
            <w:tcW w:w="6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195,304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200,225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per share; 5,000,000 shares authorized</w:t>
              <w:br/>
              <w:t>   as of September 30, 2025 and December 31, 2024; no shares issued and</w:t>
              <w:br/>
              <w:t>   outstanding as of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per share; 115,000,000 shares</w:t>
              <w:br/>
              <w:t xml:space="preserve">   authorized as of September 30, 2025 and December 31, 2024; </w:t>
              <w:br/>
              <w:t xml:space="preserve">   85,590,392 and 63,815,065 shares issued and outstanding as of </w:t>
              <w:br/>
              <w:t>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440,758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(269,158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200,225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78,324,767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63,806,158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68,824,826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60,399,697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6" w:name="condensed_consolidated_statements_change"/>
      <w:bookmarkEnd w:id="6"/>
      <w:r>
        <w:rPr>
          <w:rFonts w:ascii="Times New Roman" w:hAnsi="Times New Roman"/>
          <w:b/>
          <w:color w:val="000000"/>
          <w:sz w:val="20"/>
        </w:rPr>
        <w:t>CONDENSED CONSOLIDATED STATEMENTS OF CHANGES IN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89"/>
        <w:gridCol w:w="146"/>
        <w:gridCol w:w="146"/>
        <w:gridCol w:w="1036"/>
        <w:gridCol w:w="146"/>
        <w:gridCol w:w="146"/>
        <w:gridCol w:w="249"/>
        <w:gridCol w:w="409"/>
        <w:gridCol w:w="146"/>
        <w:gridCol w:w="146"/>
        <w:gridCol w:w="211"/>
        <w:gridCol w:w="781"/>
        <w:gridCol w:w="146"/>
        <w:gridCol w:w="146"/>
        <w:gridCol w:w="211"/>
        <w:gridCol w:w="841"/>
        <w:gridCol w:w="166"/>
        <w:gridCol w:w="146"/>
        <w:gridCol w:w="404"/>
        <w:gridCol w:w="812"/>
        <w:gridCol w:w="166"/>
        <w:gridCol w:w="146"/>
        <w:gridCol w:w="224"/>
        <w:gridCol w:w="833"/>
        <w:gridCol w:w="213"/>
      </w:tblGrid>
      <w:tr>
        <w:trPr/>
        <w:tc>
          <w:tcPr>
            <w:tcW w:w="2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63,815,065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171,812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64,027,892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144,271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64,027,892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85,590,392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139,038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CONSOLIDATED STATEMENTS OF CHANGES IN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(Continued)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71"/>
        <w:gridCol w:w="146"/>
        <w:gridCol w:w="146"/>
        <w:gridCol w:w="1036"/>
        <w:gridCol w:w="146"/>
        <w:gridCol w:w="146"/>
        <w:gridCol w:w="248"/>
        <w:gridCol w:w="408"/>
        <w:gridCol w:w="146"/>
        <w:gridCol w:w="146"/>
        <w:gridCol w:w="211"/>
        <w:gridCol w:w="781"/>
        <w:gridCol w:w="166"/>
        <w:gridCol w:w="146"/>
        <w:gridCol w:w="211"/>
        <w:gridCol w:w="841"/>
        <w:gridCol w:w="166"/>
        <w:gridCol w:w="146"/>
        <w:gridCol w:w="370"/>
        <w:gridCol w:w="846"/>
        <w:gridCol w:w="166"/>
        <w:gridCol w:w="146"/>
        <w:gridCol w:w="224"/>
        <w:gridCol w:w="832"/>
        <w:gridCol w:w="214"/>
      </w:tblGrid>
      <w:tr>
        <w:trPr/>
        <w:tc>
          <w:tcPr>
            <w:tcW w:w="2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43,909,069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19,736,842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161,756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63,800,017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230,844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63,802,517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211,404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63,806,628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198,400</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52"/>
        <w:gridCol w:w="346"/>
        <w:gridCol w:w="211"/>
        <w:gridCol w:w="841"/>
        <w:gridCol w:w="546"/>
        <w:gridCol w:w="546"/>
        <w:gridCol w:w="211"/>
        <w:gridCol w:w="841"/>
        <w:gridCol w:w="611"/>
      </w:tblGrid>
      <w:tr>
        <w:trPr/>
        <w:tc>
          <w:tcPr>
            <w:tcW w:w="60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 on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Changes in operating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(83,600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(189,248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66,309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net of issuance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161,806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 and warrants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cash equivalents and 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90,746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Offering costs included in accounts payable and accrued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Leased assets obtained in exchange for new 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8" w:name="notes_to_condensed_consolidated_financia"/>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Description of Business and 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nomlabofusp (nomlabofusp is the International Nonproprietary Name and the United States Adopted Name for CTI-1601),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Larimar initiated human clinical studies of nomlabofusp in 2019. Since then, the Company has completed four clinical studies: (i) two Phase 1 clinical studies, (ii) a Phase 2 dose exploration study and (iii) a PK run-in study in adolescents (12-17 years old).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2024, the Company initiated its open label extension study in patients with FA. The open label extension study's eligibility criteria only allowed patients who previously participated in the Company’s prior nomlabofusp Phase 1 or Phase 2 studies. In 2025, the Company amended the study protocol to include adolescent and adult patients who had not participated in a prior nomlabofusp study and the study name was changed to the open label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engaged in multiple discussions and interactions with the U.S. Food and Drug Administration (“FDA”) in connection with its clinical development of nomlabofusp and such communications remain ongoing. The Company was selected for, and currently participates in the FDA’s Center for Drug Evaluation and Research (“CDER”) Support for Clinical Trials Advancing Rare Disease Therapeutics (“START”) pilot program. The objective of this program is to accelerate the development of drugs for rare diseases that lead to significant disability or death by facilitating frequent advice and regular communication with the FDA to expedite the review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also had numerous interactions with the European Medicines Agency (“EMA”) and the United Kingdom’s Medicines and Healthcare Regulatory Agency (“MHRA”) regarding the clinical development of nomlabofusp.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received Orphan Drug Designation and Fast Track Designation from the FDA. The Company has been granted orphan drug designation by the EMA and access to the EMA's Priority Medicines Program (“PRIME”) scheme. The Company has also received access to the MHRA's Innovative Licensing and Access Pathway (“ILAP”). All these programs are designed to facilitate drug development of therapeutics for rare and/or orphan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significant developments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the Company reported positive initial data from its ongoing open label study. This data included safety, FXN levels, clinical and pharmacokinetic data. Also in December 2024, the Company announced that it was increasing the dose in the open label study to 50 mg of nomlabofusp daily for then currently enrolled participants. All newly enrolled participants start dosing at 50 mg nomlabofusp daily. In March 2025, the Company announced that its Safety Monitoring Team has deemed anaphylaxis as an adverse drug reaction likely associated with nomlabofusp had identified anaphylaxis as an adverse drug reaction likely associated with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2025, the Company initiated dosing of adolescents (12-17 years old) in its PK run-in study for patients with FA. Study participants were randomized 2:1 to receive either nomlabofusp at a weight-base dose expected to match the PK of adults receiving the 50 mg dose, or placebo, daily for seven days. The Company completed dosing of 14 adolescents in March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FDA accepted the data supporting the comparability of the lyophilized drug product to the frozen solution and agreed with the Company's plans to introduce the lyophilized product into its clinical development program. The frozen solution is the dosage form currently being used in the open label study. In July 2025, the Company began to introduce the lyophilized product formulation, which is intended for commercialization, into the open label study with new study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the Company announced that FDA stated as part of a START pilot program meeting that it is open to considering the use of FXN concentration as a reasonably likely surrogate endpoint (“RLSE”) and the acceptability of FXN concentration as an RLSE to support accelerated approval will be a matter of review in a future marketing application. FDA recommended focusing on assessments of skin FXN concentrations rather than buccal FXN concentrations due to more consistent sampling and less variability. FDA acknowledged that data the Company recently submitted appear to support a relationship between increased FXN concentrations in skin cells and relevant tissues such as the heart, dorsal root ganglion and skeletal muscle. FDA also acknowledged that the nonclinical studies the Company submitted were performed at relevant human doses. FDA also suggested that the Company consider exploring the relationship between increases in FXN in skin and changes in pharmacodynamic (“PD”) markers such as lipid profiles and/or clinical measures to provide additional support for the use of FXN as an RLSE. The Company continues to interact with the FDA under the START pilot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2025, the FDA provided safety database recommendations for a Biologics License Application, (“BLA”), seeking accelerated approval, which included evaluating safety in at least 30 participants with continuous study drug exposure for six months and a subset of at least 10 of those participants with continuous study drug exposure for one year, with the large majority of data coming from participants receiving the 50 mg dose.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Company announced the publication of two peer-reviewed articles with nonclinical data evaluating the mechanism of action, pharmacodynamics and pharmacology of nomlabofusp as a novel FXN protein replacement therapy designed to address the underlying cause of FA. These data were included in the briefing package reviewed by the FDA in support of using skin FXN concentrations as a RLSE for the Company's registrational program seeking accelerated approval for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Company announced data from its ongoing long-term open label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four completed studies and its ongoing open label study, 65 participants received at least one dose of nomlabofusp, including 39 in the open label study, with 14 on treatment for at least six months and eight for over one year in the open label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Consistent directional improvements across four key clinical outcomes were observed in the open label study relative to a Friedreich’s Ataxia Clinical Outcomes Measure Study (FACOMS) reference population and the observed increase in skin FXN levels. The Company believes these new data, as well as the improvement in abnormal lipid profiles observed in prior completed studies, provide support that nomlabofusp increases FXN in patients with FA and that the strategy of FXN replacement has the potential to result in a clinical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observed in skin FXN levels and clinical outcomes after nomlabofusp administration across diverse participants with FA, including individuals with advanced disease, are all directionally consistent and suggest a potential treatment effect.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39 participants in the open label study (and of 65 total participants who received at least 1 dose in all nomlabofusp studies), 7 experienced anaphylaxis in the first 6 weeks of dosing and returned to their usual state of health after standard treatment. Anaphylaxis is more common upon re-exposure to a drug after a gap in dosing; in the open label study, of the 10 participants who had not had prior exposure to nomlabofusp only 1 experienced anaphylaxis (this reaction was one of the 7 events discussed above). Excluding these events, long term dosing of nomlabofusp was generally well tolerated including 14 on treatment for at least 6 months and 8 on treatment for over 1 year. The Company is implementing a modified starting dose regimen designed to mitigate the risk of anaphylaxis events as agreed to by the FDA.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nomlabofusp plans and milestones include the following: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plans to provide an update on regulatory discussions and open label study status in the first quarter of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BLA submission seeking accelerated approval targeted in the second quarter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modified starting dose regimen is also being incorporated into the global phase 3 protocol. The Company continues to qualify sites globally and prepare for study initiation and patient enrollment.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risks and uncertainties common to pre-commercial companies in the biotechnology industry, including, but not limited to, development and commercialization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its operations. Product candidates under development will require extensive non-clinical and clinical testing and regulatory approval prior to commercialization. These efforts require significant amounts of additional capital, adequate personnel, infrastructure and extensive compliance-reporting capabilities. Even if the Company's drug development efforts are successful, it is uncertain when, if ever, it will realize significant revenue from product sales.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include the accounts of Larimar and its wholly owned subsidiary. All intercompany balances and transactions have been eliminated. The accompanying condensed consolidated financial statements have been prepared in conformity with U.S. Generally Accepted Accounting Principles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balance sheet as of December 31, 2024 was derived from the Company’s audited financial statements but does not include all disclosures required by GAAP. The accompanying unaudited condensed consolidated financial statements as of September 30, 2025 and for the three and nine months ended September 30, 2025 and 2024,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2024 included in the Company’s Annual Report on Form 10-K filed with the SEC on March 24,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opinion of management, all adjustments, consisting only of normal recurring adjustments necessary for a fair statement of the Company’s condensed consolidated financial position as of September 30, 2025, condensed consolidated results of operations for the three and nine months ended September 30, 2025 and condensed consolidated statement of cash flows for the nine months ended September 30, 2025 have been made. The results of operations for the three and nine months ended September 30, 2025 are not necessarily indicative of the results of operations that may be expected for the year ending December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condensed consolidated financial statements have been presented on the basis that it will continue as a going concern, which contemplates the realization of assets and satisfaction of liabilities in the normal course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its inception, the Company has incurred significant recurring operating losses and negative cash flows from operations. The Company has incurred net losses of $103.2 million and $51.8 million for the nine months ended September 30, 2025 and 2024, respectively. In addition, as of September 30, 2025, the Company had an accumulated deficit of $372.3 million. The Company expects to continue to generate operating losses for the foreseeable future. As of September 30, 2025, the Company had approximately $175.4 million of cash, cash equivalents and marketable securities available for use to fund its operations and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funded its operations to date primarily with proceeds from sales of common stock and proceeds from the sale of prefunded warrants for the purchase of common stock, the acquisition in 2020 of cash, cash equivalents and marketable securities upon the merger with Zafgen, Inc. (“Zafgen”) and, prior to the 2020 merger with Zafgen, capital contributions from Chondrial Holdings, LLC.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31, 2025, the Company completed an underwritten public offering of common stock raising net proceeds of approximately $65.0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Accounting Standards Update (“ASU”) No. 2014-15,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these condensed consolidated financial statements are issued. As of the issuance date of these condensed consolidated financial statements, the Company expects its cash, cash equivalents and marketable securities will be sufficient to fund its forecasted operating expenses and capital expenditure requirements for at least twelve months from the date these financial statements are issued, into the fourth quarter of 2026. If the timing of the Company's clinical assumptions are delayed or if there are other forecasted assumption changes that negatively impact its operating plan, the Company would reduce commercial and other expenditures in order to further extend cash resources. The Company continually evaluates various financing alternatives further as discussed below. If the Company is unable to raise sufficient additional funding prior to the issuance of its 2025 financial statements for the fiscal year ending December 31, 2025, the Company may conclude there is substantial doubt about our ability to continue as a going concern for the twelve months following the filing of its annual report on 2025 Form 10K for the fiscal year ending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that it will need additional capital to fund its future operating and capital requirements. Unless and until the Company can generate substantial revenue, management continuously evaluates different strategies to obtain the required funding for future operations. These strategies include seeking additional funding through a combination of public or private equity offerings, debt or royalty financings, collaborations and licensing arrangements, strategic partnerships with pharmaceutical and/or larger biotechnology companies,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Significant estimates and assumptions reflected in these condensed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key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Upfront payments, milestone payments and annual maintenance fees under license agreements are currently expensed in the period in which they are incurred.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patent-related costs incurred in connection with filing and prosecuting patent applications are expensed as incurred due to the uncertainty about the recovery of the expenditure. Amounts incurred are classified as general and administrative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measures all stock-based awards granted to employees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vesting conditions and records the expense for these awards using the straight-line method. The Company accounts for forfeitures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May 28, 2020, the Company had been a private company and lacked company-specific historical and implied volatility information for its common stock. Prior to January 1, 2023, the Company estimated its expected common stock price volatility solely based on the historical volatility of publicly traded peer companies. Beginning on January 1, 2023, based on the availability of sufficient historical trading data of the Company's own common stock on the Nasdaq Global Market to calculate accurately its volatility, the Company began blending its volatility starting from June 2020 (following its merger with Zafgen in 2020) to the date of each stock-based award, and weighing the volatility of its peer group for the amount of time from May 31, 2020 backwards so that the blended volatility equals the expected term of the related stock-based award. The expected term of the Company’s stock options has been determined utilizing the “simplified” method for awards that qualify as “plain-vanilla” options.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risk-free interest rate is determined by reference to the U.S. Treasury yield curve in effect at the time of grant of the award for time periods approximately equal to the expected term of the award. The expected dividend yield considers the fact that the Company has never paid cash dividends on common stock and does not expect to pay any cash dividends in the foreseeable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by dividing the net loss attributable to common stockholders by the weighted average number of common shares outstanding for the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Diluted net loss per share attributable to common stockholders is computed by dividing the diluted net loss attributable to common stockholders by the weighted average number of common shares, including potentially dilutive common stock equivalents assuming the dilutive effect of outstanding stock options, outstanding restricted stock units, and unvested restricted common shares, as determined using the treasury stock method. For periods in which the Company has reported net losses (all periods since inception), diluted net loss per common share attributable to common stockholders is the same as basic net loss per common share attributable to common stockholders, since dilutive common stock equivalents are not assumed to have been issued if their effect is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excluded 9,618,132 and 6,990,827 common stock equivalents outstanding as of September 30, 2025 and 2024, respectively, from the computation of diluted net loss per share for the three and nine months ended September 30, 2025 and 2024 because they had an anti-dilutive impact due to the net loss incurred for the periods presented.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for which separate discrete information is available for evaluation by the chief operating decision maker, or decision making group, in deciding how to allocate resources in assessing performance. The Company is managed on a consolidated basis and has one operating and reportable segment related to the development of clinical and preclinical product candidates for the development of the Company’s proprietary new therapies, primarily nomlabofusp, the Company's life science segment. The Company’s chief operating decision maker (“COPM”) is the Company's chief executive officer (“CEO”).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of the life science segment are the same as those described in the summary of significant accounting policies. The CODM assesses performance for the Company and its reportable segment based on net loss, which is reported on the consolidated Statements of Operations. The measure of segment assets is reported on the balance sheet as total consolidated assets. All long-lived assets are located in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 Company has not generated any product revenue. The Company expects to continue to incur significant expenses and operating losses for the foreseeable future as it advances product candidates through all stages of development and clinical trials and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uses consolidated financial information, including consolidated net loss, to evaluate performance, forecast future period financial results, allocate resources for the company by, among other things, comparing budgeted to actual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summarizes the significant expense categories regularly provided to the CODM for the three and nine months ended September 30, 2025 and 2024:</w:t>
      </w:r>
    </w:p>
    <w:p>
      <w:pPr>
        <w:pStyle w:val="TextBody"/>
        <w:bidi w:val="0"/>
        <w:jc w:val="left"/>
        <w:rPr/>
      </w:pPr>
      <w:r>
        <w:rPr/>
        <w:t> </w:t>
      </w:r>
    </w:p>
    <w:tbl>
      <w:tblPr>
        <w:tblW w:w="9820" w:type="dxa"/>
        <w:jc w:val="left"/>
        <w:tblInd w:w="0" w:type="dxa"/>
        <w:tblLayout w:type="fixed"/>
        <w:tblCellMar>
          <w:top w:w="28" w:type="dxa"/>
          <w:left w:w="28" w:type="dxa"/>
          <w:bottom w:w="28" w:type="dxa"/>
          <w:right w:w="28" w:type="dxa"/>
        </w:tblCellMar>
      </w:tblPr>
      <w:tblGrid>
        <w:gridCol w:w="2771"/>
        <w:gridCol w:w="146"/>
        <w:gridCol w:w="312"/>
        <w:gridCol w:w="1091"/>
        <w:gridCol w:w="246"/>
        <w:gridCol w:w="216"/>
        <w:gridCol w:w="312"/>
        <w:gridCol w:w="1091"/>
        <w:gridCol w:w="166"/>
        <w:gridCol w:w="290"/>
        <w:gridCol w:w="1157"/>
        <w:gridCol w:w="228"/>
        <w:gridCol w:w="200"/>
        <w:gridCol w:w="290"/>
        <w:gridCol w:w="1013"/>
        <w:gridCol w:w="291"/>
      </w:tblGrid>
      <w:tr>
        <w:trPr/>
        <w:tc>
          <w:tcPr>
            <w:tcW w:w="2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Technical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62,800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Development </w:t>
            </w:r>
            <w:r>
              <w:rPr>
                <w:rFonts w:ascii="Times New Roman" w:hAnsi="Times New Roman"/>
                <w:color w:val="000000"/>
                <w:sz w:val="13"/>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27,757</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Nomlabofusp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(c)(d)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11,569</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Commercial </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108,479</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(5,304</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(103,175</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Development expenses include research and development related stock compensation expense of approximately $0.9 million and $0.9 million for the three months ended September 30,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Development expenses include research and development related stock compensation expense of approximately $2.7 million and $2.8 million for the nine months ended September 30,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General and administrative expenses include general and administrative related stock compensation expense of approximately $0.9 million and $1.0 million for the three months ended September 30,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General and administrative expenses include general and administrative related stock compensation expense of approximately $2.7 million and $3.6 million for the nine months ended September 30,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 Commercial expenses relate to commercial readiness activities.</w:t>
      </w:r>
    </w:p>
    <w:p>
      <w:pPr>
        <w:pStyle w:val="TextBody"/>
        <w:bidi w:val="0"/>
        <w:spacing w:before="120" w:after="283"/>
        <w:jc w:val="left"/>
        <w:rPr>
          <w:rFonts w:ascii="Times New Roman" w:hAnsi="Times New Roman"/>
          <w:sz w:val="20"/>
        </w:rPr>
      </w:pPr>
      <w:r>
        <w:rPr>
          <w:rFonts w:ascii="Times New Roman" w:hAnsi="Times New Roman"/>
          <w:b/>
          <w:i/>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condensed consolidated results of operations, cash flows or financial position.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“Improvements to Income Tax Disclosures (Topic 740),” which requires entities to disclose in their rate reconciliation table additional categories of information about federal, state and foreign income taxes as well as additional information about reconciling items if certain quantitative thresholds are met. This ASU will require all entities to disclose income taxes paid, net of refunds, disaggregated by federal (national), state and foreign taxes for annual periods and to disaggregate the information by jurisdiction based on a quantitative threshold. All entities are required to apply the guidance prospectively, with the option to apply it retrospectively. The ASU is effective for fiscal years beginning after December 15, 2024, with early adoption permitted. The Company will adopt ASU-203-09 beginning with our annual reporting period ending December 31, 2025. The Company is currently evaluating the impact that this standard may have on its year-end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which requires disaggregated disclosures in the notes of the financial statements of certain categories of expenses that are included in expense line items on the face of the income statement. This ASU is effective for annual periods beginning after December 15, 2026, and interim periods within annual reporting periods beginning after December 15, 2027. Early adoption is permitted. The Company will evaluate the impact adopting ASU 2024-03 will have on the Company's consolidated financial statements and disclosures.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We record valuation allowances to reduce deferred tax assets to the amount we believe is more likely than not to be realized. During the three and nine months ended September 30, 2025 and 2024, the Company recorded no income tax benefits for the net operating losses incurred in each period due to the uncertainty of realizing a benefit from those items.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4, 2025, Public Law 119-21 (“The Law”) became effective. The Law includes significant provisions, such as the permanent extension of certain expiring provisions of the Tax Cuts and Jobs Act, modifications to the international tax framework and the restoration of favorable tax treatment for certain business provisions.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legislation has multiple effective dates, with certain provisions effective in 2025 and others implemented through 2027. The Law did not have a material impact on its estimated annual effective tax rate or cash flows in 2025.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 and Marketable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assets and liabilities that are measured at fair value on a recurring basis as of September 30, 2025 and December 31, 2024 are measured in accordance with the standards of ASC 820,“</w:t>
      </w:r>
      <w:r>
        <w:rPr>
          <w:rFonts w:ascii="Times New Roman" w:hAnsi="Times New Roman"/>
          <w:i/>
          <w:color w:val="000000"/>
          <w:sz w:val="20"/>
        </w:rPr>
        <w:t>Fair Value Measurements and Disclosures</w:t>
      </w:r>
      <w:r>
        <w:rPr>
          <w:rFonts w:ascii="Times New Roman" w:hAnsi="Times New Roman"/>
          <w:color w:val="000000"/>
          <w:sz w:val="20"/>
        </w:rPr>
        <w:t xml:space="preserve">”,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
        <w:gridCol w:w="9490"/>
      </w:tblGrid>
      <w:tr>
        <w:trPr/>
        <w:tc>
          <w:tcPr>
            <w:tcW w:w="715" w:type="dxa"/>
            <w:tcBorders/>
            <w:vAlign w:val="center"/>
          </w:tcPr>
          <w:p>
            <w:pPr>
              <w:pStyle w:val="TableContents"/>
              <w:bidi w:val="0"/>
              <w:spacing w:before="0" w:after="283"/>
              <w:jc w:val="left"/>
              <w:rPr>
                <w:sz w:val="4"/>
                <w:szCs w:val="4"/>
              </w:rPr>
            </w:pPr>
            <w:r>
              <w:rPr>
                <w:sz w:val="4"/>
                <w:szCs w:val="4"/>
              </w:rPr>
            </w:r>
          </w:p>
        </w:tc>
        <w:tc>
          <w:tcPr>
            <w:tcW w:w="9490" w:type="dxa"/>
            <w:tcBorders/>
            <w:vAlign w:val="center"/>
          </w:tcPr>
          <w:p>
            <w:pPr>
              <w:pStyle w:val="TableContents"/>
              <w:bidi w:val="0"/>
              <w:spacing w:before="0" w:after="283"/>
              <w:jc w:val="left"/>
              <w:rPr>
                <w:sz w:val="4"/>
                <w:szCs w:val="4"/>
              </w:rPr>
            </w:pPr>
            <w:r>
              <w:rPr>
                <w:sz w:val="4"/>
                <w:szCs w:val="4"/>
              </w:rPr>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 1</w:t>
            </w:r>
          </w:p>
        </w:tc>
        <w:tc>
          <w:tcPr>
            <w:tcW w:w="94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to the valuation methodology are quoted prices (unadjusted) for identical assets or liabilities in active markets.</w:t>
            </w:r>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 2</w:t>
            </w:r>
          </w:p>
        </w:tc>
        <w:tc>
          <w:tcPr>
            <w:tcW w:w="94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to the valuation methodology include quoted prices for similar assets and liabilities in active markets, and inputs that are observable for the asset or liability, either directly or indirectly, for substantially the full term of the financial instrument.</w:t>
            </w:r>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 3</w:t>
            </w:r>
          </w:p>
        </w:tc>
        <w:tc>
          <w:tcPr>
            <w:tcW w:w="94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to the valuation methodology are unobservable and significant to the fair value measurement.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instruments consist primarily of cash, cash equivalents, marketable securities, accounts payable and accrued liabilities. For accounts payable and accrued liabilities, the carrying amounts of these financial instruments as of September 30, 2025 and December 31, 2024 were considered representative of their fair values due to their short term to maturity.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Company’s cash equivalents and marketable securities as of September 30, 2025 and December 31,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25"/>
        <w:gridCol w:w="146"/>
        <w:gridCol w:w="211"/>
        <w:gridCol w:w="781"/>
        <w:gridCol w:w="146"/>
        <w:gridCol w:w="146"/>
        <w:gridCol w:w="211"/>
        <w:gridCol w:w="676"/>
        <w:gridCol w:w="146"/>
        <w:gridCol w:w="146"/>
        <w:gridCol w:w="211"/>
        <w:gridCol w:w="781"/>
        <w:gridCol w:w="146"/>
        <w:gridCol w:w="146"/>
        <w:gridCol w:w="415"/>
        <w:gridCol w:w="681"/>
        <w:gridCol w:w="691"/>
      </w:tblGrid>
      <w:tr>
        <w:trPr/>
        <w:tc>
          <w:tcPr>
            <w:tcW w:w="4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Prices in</w:t>
              <w:br/>
              <w:t>Active</w:t>
              <w:br/>
              <w:t xml:space="preserve">Markets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 xml:space="preserve">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 xml:space="preserve">Inputs </w:t>
              <w:br/>
              <w:t>(Level 3)</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 invested in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85,402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85,402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85,295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 invested in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52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accrued interest receivable related to the Company’s investments was $1.0 million and $1.1 million as of September 30, 2025 and December 31, 2024, respectively, and is included in prepaid expenses and other current assets on the condensed consolidated balance sheet.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its money market funds and U.S. treasury bills, which are valued based on quoted market prices in active markets with no valuation adjustment, as Level 1 assets within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its investments in U.S. government and agency securities, corporate commercial paper, and corporate bonds, if any,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the unrealized losses for available-for-sale investments were non-credit related, and the Company does not intend to sell the investments that were in an unrealized loss position, nor will it be required to sell those investments before recovery of their amortized cost basis, which may be maturity. As of September 30, 2025 and December 31, 2024, no allowances for credit losses for the Company’s investments were recorded. During the three and nine months ended September 30, 2025 and 2024, the Company did not recognize any impairment losses related to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the Company's cash equivalents and marketable securities consisted of a U.S. government money market fund, U.S. Treasury Bills and U.S. government and agency securities, all held in our name in a separate custody account with U.S. Bank. The U.S. government money market fund has same-day liquidity access and the U.S. government and agency securities all have maturities of 360 days or less.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Company's marketable securities as of September 30, 2025 and December 31, 2024: </w:t>
      </w:r>
    </w:p>
    <w:p>
      <w:pPr>
        <w:pStyle w:val="TextBody"/>
        <w:bidi w:val="0"/>
        <w:jc w:val="left"/>
        <w:rPr/>
      </w:pPr>
      <w:r>
        <w:rPr/>
        <w:t> </w:t>
      </w:r>
    </w:p>
    <w:tbl>
      <w:tblPr>
        <w:tblW w:w="8144" w:type="dxa"/>
        <w:jc w:val="left"/>
        <w:tblInd w:w="0" w:type="dxa"/>
        <w:tblLayout w:type="fixed"/>
        <w:tblCellMar>
          <w:top w:w="28" w:type="dxa"/>
          <w:left w:w="28" w:type="dxa"/>
          <w:bottom w:w="28" w:type="dxa"/>
          <w:right w:w="28" w:type="dxa"/>
        </w:tblCellMar>
      </w:tblPr>
      <w:tblGrid>
        <w:gridCol w:w="2711"/>
        <w:gridCol w:w="146"/>
        <w:gridCol w:w="211"/>
        <w:gridCol w:w="781"/>
        <w:gridCol w:w="146"/>
        <w:gridCol w:w="146"/>
        <w:gridCol w:w="295"/>
        <w:gridCol w:w="591"/>
        <w:gridCol w:w="146"/>
        <w:gridCol w:w="146"/>
        <w:gridCol w:w="334"/>
        <w:gridCol w:w="596"/>
        <w:gridCol w:w="166"/>
        <w:gridCol w:w="146"/>
        <w:gridCol w:w="211"/>
        <w:gridCol w:w="781"/>
        <w:gridCol w:w="591"/>
      </w:tblGrid>
      <w:tr>
        <w:trPr/>
        <w:tc>
          <w:tcPr>
            <w:tcW w:w="2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 xml:space="preserve">Unrealized </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85,230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85,295</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150,236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the Company held no investments that have been in a continuous loss position for 12 months or longer.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w:t>
      </w:r>
    </w:p>
    <w:p>
      <w:pPr>
        <w:pStyle w:val="TextBody"/>
        <w:bidi w:val="0"/>
        <w:jc w:val="left"/>
        <w:rPr/>
      </w:pPr>
      <w:r>
        <w:rPr/>
        <w:t> </w:t>
      </w:r>
    </w:p>
    <w:tbl>
      <w:tblPr>
        <w:tblW w:w="6540" w:type="dxa"/>
        <w:jc w:val="left"/>
        <w:tblInd w:w="0" w:type="dxa"/>
        <w:tblLayout w:type="fixed"/>
        <w:tblCellMar>
          <w:top w:w="28" w:type="dxa"/>
          <w:left w:w="28" w:type="dxa"/>
          <w:bottom w:w="28" w:type="dxa"/>
          <w:right w:w="28" w:type="dxa"/>
        </w:tblCellMar>
      </w:tblPr>
      <w:tblGrid>
        <w:gridCol w:w="3676"/>
        <w:gridCol w:w="146"/>
        <w:gridCol w:w="307"/>
        <w:gridCol w:w="833"/>
        <w:gridCol w:w="146"/>
        <w:gridCol w:w="146"/>
        <w:gridCol w:w="260"/>
        <w:gridCol w:w="835"/>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Fixed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Fixed assets, net consisted of the following:</w:t>
      </w:r>
    </w:p>
    <w:p>
      <w:pPr>
        <w:pStyle w:val="TextBody"/>
        <w:bidi w:val="0"/>
        <w:jc w:val="left"/>
        <w:rPr/>
      </w:pPr>
      <w:r>
        <w:rPr/>
        <w:t> </w:t>
      </w:r>
    </w:p>
    <w:tbl>
      <w:tblPr>
        <w:tblW w:w="6697" w:type="dxa"/>
        <w:jc w:val="left"/>
        <w:tblInd w:w="0" w:type="dxa"/>
        <w:tblLayout w:type="fixed"/>
        <w:tblCellMar>
          <w:top w:w="28" w:type="dxa"/>
          <w:left w:w="28" w:type="dxa"/>
          <w:bottom w:w="28" w:type="dxa"/>
          <w:right w:w="28" w:type="dxa"/>
        </w:tblCellMar>
      </w:tblPr>
      <w:tblGrid>
        <w:gridCol w:w="2731"/>
        <w:gridCol w:w="146"/>
        <w:gridCol w:w="916"/>
        <w:gridCol w:w="146"/>
        <w:gridCol w:w="285"/>
        <w:gridCol w:w="855"/>
        <w:gridCol w:w="166"/>
        <w:gridCol w:w="146"/>
        <w:gridCol w:w="274"/>
        <w:gridCol w:w="821"/>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was $0.1 million and $0.3 million for the three and nine months ended September 30, 2025, respectively. Depreciation expense was $0.1 million and $0.2 million for the three and nine months ended September 30, 2024, respectively. In addition, for the three and nine months ended September 30, 2025 and 2024, there was less than $0.1 million of depreciation related to sublet assets recorded as other expense.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consisted of the following: </w:t>
      </w:r>
    </w:p>
    <w:p>
      <w:pPr>
        <w:pStyle w:val="TextBody"/>
        <w:bidi w:val="0"/>
        <w:jc w:val="left"/>
        <w:rPr/>
      </w:pPr>
      <w:r>
        <w:rPr/>
        <w:t> </w:t>
      </w:r>
    </w:p>
    <w:tbl>
      <w:tblPr>
        <w:tblW w:w="6600" w:type="dxa"/>
        <w:jc w:val="left"/>
        <w:tblInd w:w="0" w:type="dxa"/>
        <w:tblLayout w:type="fixed"/>
        <w:tblCellMar>
          <w:top w:w="28" w:type="dxa"/>
          <w:left w:w="28" w:type="dxa"/>
          <w:bottom w:w="28" w:type="dxa"/>
          <w:right w:w="28" w:type="dxa"/>
        </w:tblCellMar>
      </w:tblPr>
      <w:tblGrid>
        <w:gridCol w:w="3736"/>
        <w:gridCol w:w="146"/>
        <w:gridCol w:w="271"/>
        <w:gridCol w:w="869"/>
        <w:gridCol w:w="146"/>
        <w:gridCol w:w="146"/>
        <w:gridCol w:w="260"/>
        <w:gridCol w:w="835"/>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w:t>
      </w:r>
    </w:p>
    <w:p>
      <w:pPr>
        <w:pStyle w:val="TextBody"/>
        <w:bidi w:val="0"/>
        <w:jc w:val="left"/>
        <w:rPr>
          <w:rFonts w:ascii="Times New Roman" w:hAnsi="Times New Roman"/>
          <w:b/>
          <w:color w:val="000000"/>
          <w:sz w:val="20"/>
        </w:rPr>
      </w:pPr>
      <w:r>
        <w:rPr>
          <w:rFonts w:ascii="Times New Roman" w:hAnsi="Times New Roman"/>
          <w:b/>
          <w:color w:val="000000"/>
          <w:sz w:val="20"/>
        </w:rPr>
        <w:t>Stockholders’ Equity and Stock Options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were exercisable at an exercise price of $0.01 and were exercisable indefinitely. In August 2023, the 628,403 shares of prefunded warrants were exercised and the Company received cash proceeds of six thousand two hundred and eighty-four dollars.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the Company issued MTS Health Partners 35,260 shares of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the Company’s Ninth Amended and Restated Certificate of Incorporation, as amended, authorized the Company to issue up to 115,000,000 shares of common stock, par value $0.001 per share, of which 85,590,392 shares were issued and outstanding, and up to 5,000,000 shares of undesignated preferred stock, par value $0.001 per share, of which no shares were issued or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completed an underwritten public offering in which the Company issued and sold 19,736,842 shares of its common stock at a public offering price of $8.74 per share. The Company received net proceeds of approximately $161.8 million after deducting underwriting discounts, commissions and other offering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2025, the Company completed an underwritten public offering in which the Company issued and sold 21,562,500 shares of its common stock including the exercise in full of the underwriters’ option to purchase additional shares of common stock, at a public offering price of $3.20 per share. The Company received net proceeds of approximately $65.0 million, after deducting underwriting discounts, commissions and other offering expenses.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ATM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the Company entered into a sales agreement (the “2022 ATM Agreement”) with Guggenheim Securities, LLC in connection with the establishment of an “at-the-market” offering program under which the Company could sell up to an aggregate of $50.0 million of shares of common stock (the “ATM Shares”) from time to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in connection with the underwritten public offering described above, the Company terminated the 2022 ATM Agreement. No ATM Shares were ever sold pursuant to the 2022 ATM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the Company entered into a sales agreement (the“2024 ATM Agreement”) with Guggenheim Securities, LLC in connection with the establishment of an “at-the-market” offering program under which the Company could sell up to an aggregate of $100 million of shares of common stock (the “ATM Shares”) from time to time. To date, no sales of common stock have been made under the 2024 ATM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adopted the 2020 Equity Incentive Plan (the(“2020 Plan”) on July 16, 2020 and the stockholders of the Company approved the 2020 Plan on September 29, 2020. The 2020 Plan replaced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2020 Plan provides for the grant of incentive stock options (“ISOs”), nonstatutory stock options (“NSOs”), stock appreciation rights, restricted stock awards, restricted stock unit awards, performance-based restricted stock units,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is 8,000,000 over the ten-year term of the 2020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permitted by the 2020 Plan, the Company added 2,552,603 and 1,756,363 shares available for grant to the 2020 Plan on January 1, 2025 and January 1, 2024, respectively. As of September 30, 2025, 483,960 shares of common stock were available for grant under the 2020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2025 and twelve months ended December 31, 2024, options to purchase 1,333 and 1,242 shares, respectively, issued under the Prior Plans were cancelled and became available for grant under the 2020 Plan.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 Valuation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on a weighted average basis, the assumptions used in the Black-Scholes option-pricing model to determine the grant-date fair value of stock options granted to employees during the nine months ended September 30, 2025:</w:t>
      </w:r>
    </w:p>
    <w:p>
      <w:pPr>
        <w:pStyle w:val="TextBody"/>
        <w:bidi w:val="0"/>
        <w:jc w:val="left"/>
        <w:rPr/>
      </w:pPr>
      <w:r>
        <w:rPr/>
        <w:t> </w:t>
      </w:r>
    </w:p>
    <w:tbl>
      <w:tblPr>
        <w:tblW w:w="3418" w:type="dxa"/>
        <w:jc w:val="left"/>
        <w:tblInd w:w="0" w:type="dxa"/>
        <w:tblLayout w:type="fixed"/>
        <w:tblCellMar>
          <w:top w:w="28" w:type="dxa"/>
          <w:left w:w="28" w:type="dxa"/>
          <w:bottom w:w="28" w:type="dxa"/>
          <w:right w:w="28" w:type="dxa"/>
        </w:tblCellMar>
      </w:tblPr>
      <w:tblGrid>
        <w:gridCol w:w="2086"/>
        <w:gridCol w:w="146"/>
        <w:gridCol w:w="118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4.43%</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stock option activity for the nine months ended September 30, 2025 (amounts in millions, except for share, contractual term,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1"/>
        <w:gridCol w:w="146"/>
        <w:gridCol w:w="146"/>
        <w:gridCol w:w="931"/>
        <w:gridCol w:w="166"/>
        <w:gridCol w:w="146"/>
        <w:gridCol w:w="248"/>
        <w:gridCol w:w="548"/>
        <w:gridCol w:w="146"/>
        <w:gridCol w:w="146"/>
        <w:gridCol w:w="418"/>
        <w:gridCol w:w="1005"/>
        <w:gridCol w:w="146"/>
        <w:gridCol w:w="146"/>
        <w:gridCol w:w="351"/>
        <w:gridCol w:w="602"/>
        <w:gridCol w:w="593"/>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(a)</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Options forfeited/expired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Exercisable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4,332,406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expected to vest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The aggregate intrinsic value is calculated as the difference between the exercise price of the underlying options and the fair value of the common stock for the options that were(“In the money”) at September 30,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Option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the Company granted options to purchase 2,417,137 shares of common stock to employees and directors under the 2020 Plan. The options have an exercise price equal to the closing stock price as of the grant date. Of the 2,417,137 options granted, 2,322,137 were granted to employees and vest over four years, with 25% vesting on the first anniversary of the grant and the remainder vesting in equal monthly installments thereafter. The remaining 95,000 options were annual grants to the Company's directors and vest on the earlier of (i) one year from the grant date or (ii) the date of the Company's next annual meeting of stockholders. The options have an exercise price equal to the closing stock price as of the grant date. The weighted-average grant date fair value of options granted under the 2020 Plan during the nine months ended September 30, 2025 was $2.64.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total unrecognized compensation expense related to unvested stock options granted under the 2020 Plan was $12.2 million, which is expected to be recognized over a weighted average period of 2.53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Inducement Stock Option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inducement awards granted in the nine months ended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total unrecognized compensation expense related to unvested inducement options granted was $0.5 million, which is expected to be recognized over a weighted average period of 1.54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2025, RSUs were granted under the 2020 Plan to certain of the Company's employees in order to retain key employees. The value of an RSU award is based on the Company's stock price on the date of grant. The shares underlying the RSUs are not issued until the RSUs vest.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Activity with respect to the Company's RSUs and performance-based RSUs during the nine months ended September 30, 2025 was as follows (in millions, except share, contractual term,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41"/>
        <w:gridCol w:w="146"/>
        <w:gridCol w:w="146"/>
        <w:gridCol w:w="931"/>
        <w:gridCol w:w="166"/>
        <w:gridCol w:w="146"/>
        <w:gridCol w:w="287"/>
        <w:gridCol w:w="635"/>
        <w:gridCol w:w="146"/>
        <w:gridCol w:w="146"/>
        <w:gridCol w:w="418"/>
        <w:gridCol w:w="966"/>
        <w:gridCol w:w="146"/>
        <w:gridCol w:w="146"/>
        <w:gridCol w:w="349"/>
        <w:gridCol w:w="597"/>
        <w:gridCol w:w="593"/>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(a)</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and expected to vest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Restricted Stock Unit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2025, the Company granted 344,988 shares of RSUs to employees under the 2020 Plan. The RSUs vest annually over four years and have a weighted-average grant date fair value of $3.46 per unit.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total unrecognized compensation expense for RSUs was $2.5 million, which is expected to be recognized over a weighted average period of 2.32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Performance-Based Restricted Stock Unit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granted performance-based RSUs (the “January 2025 PSU Awards”) " to each of the four executive officers of the Company under the 2020 Plan. Each award was expressed as a target number of RSUs. With respect to the January 2025 PSU Awards, the Board established specified regulatory-related performance criteria and a corresponding performance period over which such performance criteria must be achieved, the satisfaction of which are conditions to earning the January 2025 PSU Awards and vesting of the underlying RSUs. As of September 30, 2025, the January 2025 PSU Awards were outstanding covering 200,000 common stock underlying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 date fair value of the performance-based RSUs was $3.46 per unit based on the grant date closing price per share. As of September 30, 2025, the underlying performance criteria of the January 2025 PSU Awards were determined to be not probable of achievement for accounting purposes, and no stock-based compensation expense was recognized for the three and nine months ended September 30,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was classified in the condensed consolidated statements of operations as follows:</w:t>
      </w:r>
    </w:p>
    <w:p>
      <w:pPr>
        <w:pStyle w:val="TextBody"/>
        <w:bidi w:val="0"/>
        <w:jc w:val="left"/>
        <w:rPr/>
      </w:pPr>
      <w:r>
        <w:rPr/>
        <w:t> </w:t>
      </w:r>
    </w:p>
    <w:tbl>
      <w:tblPr>
        <w:tblW w:w="8218" w:type="dxa"/>
        <w:jc w:val="left"/>
        <w:tblInd w:w="0" w:type="dxa"/>
        <w:tblLayout w:type="fixed"/>
        <w:tblCellMar>
          <w:top w:w="28" w:type="dxa"/>
          <w:left w:w="28" w:type="dxa"/>
          <w:bottom w:w="28" w:type="dxa"/>
          <w:right w:w="28" w:type="dxa"/>
        </w:tblCellMar>
      </w:tblPr>
      <w:tblGrid>
        <w:gridCol w:w="2311"/>
        <w:gridCol w:w="146"/>
        <w:gridCol w:w="305"/>
        <w:gridCol w:w="826"/>
        <w:gridCol w:w="211"/>
        <w:gridCol w:w="211"/>
        <w:gridCol w:w="305"/>
        <w:gridCol w:w="826"/>
        <w:gridCol w:w="146"/>
        <w:gridCol w:w="146"/>
        <w:gridCol w:w="295"/>
        <w:gridCol w:w="798"/>
        <w:gridCol w:w="204"/>
        <w:gridCol w:w="204"/>
        <w:gridCol w:w="295"/>
        <w:gridCol w:w="798"/>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w:t>
      </w:r>
    </w:p>
    <w:p>
      <w:pPr>
        <w:pStyle w:val="TextBody"/>
        <w:bidi w:val="0"/>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Intellectual Property Licenses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party to an exclusive License Agreement (the “WFUHS License”), dated November 30, 2016, as amended,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the development of nomlabofusp. Both agreements continue from their effective date through the last to date of expiration of the licensed patents, unless earlier terminated by either party in accordance with their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which commenced with the enrollment of the first patient in a Phase 1 clinical trial. The Company enrolled the first patient in its SAD trial on December 11, 2019 and paid WFUHS and IU less than $0.1 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the Company initiated dosing of a Phase 2 study. Pursuant to the terms of both the WFUHS License and the IU License, the company recognized milestone expense of $0.3 million within research and development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Both agreements continue from their effective date through the last date of expiration of the licensed patents, unless earlier terminated by either party in accordance with their terms.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Bala Cynwyd Office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9, 2023, the Company executed a lease extension agreement on its original 4,642 square footage of office space in Bala Cynwyd, Pennsylvania (which was set to expire in August 2023) and agreed to lease an additional 3,462 square feet of office space from the same landlord.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lease extension on the original 4,642 square footage commenced on September 1, 2023 and the Company recorded a right of use asset and lease liability of $0.5 million as of that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new lease on 3,462 additional square footage commenced on October 1, 2023 and the Company recorded a right of use asset and lease liability of $0.3 million as of that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 of use assets and lease liabilities with both these leases are reflected in the financial statements for nine months ended September 30, 2025 as are the right of use asset and lease liability of the Company's Boston office space discussed below.</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Boston Office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Company's 2020 merger with Zafgen, on May 28, 2020, the Company acquired a non-cancellable operating lease for approximately 17,705 square feet of office space (the “Premises”). The lease expires on October 30, 2029. As part of the agreement, the Company was initially required to maintain a letter of credit, of $1.3 million. In October of 2024, upon the agreement with the landlord that we had achieved certain clinical development milestones required in the lease, this letter of credit was reduced to $0.6 million. During both periods presented, this cash deposit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right-of-use asset is being amortized to other income/(expense) over the remaining lease term as a result of the sublease described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(“Impairment Testing: Long-Lived Assets Classified as Held and Used”) and determined there was no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Lab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In September 2023, the Company extended this lease for an additional year with the option to terminate with four months' notice. On March 28, 2024, the Company gave the requisite notice and vacated the property in May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16, 2023, the Company entered into an operating lease for lab space in King of Prussia, Pennsylvania for a period of four years. Due to required tenant improvements to be completed by the landlord, the Company did not take immediate possession of the leased property. The actual lease term commenced on May 10, 2024. Upon commencement of the lease term, the Company recorded a right of use asset and lease liability of $0.5 million which are reflected in these condensed consolidated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 arising from operating leases was $0.1 million and $0.4 million during the three and nine months ended September 30, 2025, respectively. Expense arising from operating leases was $0.1 million and $0.4 million during the three and nine months ended September 30, 2024, respectively. For operating leases, the weighted-average remaining lease term for leases at September 30, 2025 and December 31, 2024 was 3.8 and 4.5 years, respectively. For operating leases, the weighted average discount rate for leases at September 30, 2025 and December 31, 2024 was 11.0%. The Company has not entered into any financing 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Maturities of lease liabilities due under these lease agreements as of September 30, 2025 are as follows: </w:t>
      </w:r>
    </w:p>
    <w:p>
      <w:pPr>
        <w:pStyle w:val="TextBody"/>
        <w:bidi w:val="0"/>
        <w:jc w:val="left"/>
        <w:rPr/>
      </w:pPr>
      <w:r>
        <w:rPr/>
        <w:t> </w:t>
      </w:r>
    </w:p>
    <w:tbl>
      <w:tblPr>
        <w:tblW w:w="4879" w:type="dxa"/>
        <w:jc w:val="left"/>
        <w:tblInd w:w="0" w:type="dxa"/>
        <w:tblLayout w:type="fixed"/>
        <w:tblCellMar>
          <w:top w:w="28" w:type="dxa"/>
          <w:left w:w="28" w:type="dxa"/>
          <w:bottom w:w="28" w:type="dxa"/>
          <w:right w:w="28" w:type="dxa"/>
        </w:tblCellMar>
      </w:tblPr>
      <w:tblGrid>
        <w:gridCol w:w="3466"/>
        <w:gridCol w:w="146"/>
        <w:gridCol w:w="230"/>
        <w:gridCol w:w="626"/>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 months ending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not currently a party to any litigation, nor is management aware of any pending or threatened litigation against the Company, that it believes would materially affect the Company's business, operating results, financial condition or cash flows.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the Company entered into an agreement with the Friedreich’s Ataxia Research Alliance (“FARA”) to join the TRACK-FA Neuroimaging Consortium that includes pharmaceutical, biotechnology, academic and clinical partners. The consortium is conducting a natural history study designed to establish disease-specific neuroimaging biomarkers to track disease progression in the brain and spinal cord and provide a basis for utilizing these biomarkers in clinical trials. As an industry partner, the Company is helping to fund the study and contribute to the study design, research activities, and analysis. The Company has access to all study data for use in its regulatory filings, as appropriate. During the twelve months ended December 31, 2024, the Company incurred $0.9 million of costs related to the Track-FA program and will fund future costs going forward. One of the Company’s Directors is also a director of FARA. During the nine months ended September 30, 2025, the Company incurred less than $0.1 million of costs related to the Track-FA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during three and nine months ended September 30, 2025, the Company sponsored patient and caregiver awareness events held by FARA for a cumulative of less than $0.1 million and $0.1 million, respectively. During the twelve months ended December 31, 2024, the Company sponsored patient and caregiver awareness events held by FARA for a cumulative $0.1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(“Quarterly Report”), and the audited consolidated financial statements and notes thereto and management’s discussion and analysis of financial condition and results of operations for the year ended December 31, 2024 included in our Annual Report on Form 10-K filed with the Securities and Exchange Commission (“SEC”) on March 24, 2025 (the </w:t>
      </w:r>
      <w:r>
        <w:rPr>
          <w:rFonts w:ascii="Times New Roman" w:hAnsi="Times New Roman"/>
          <w:color w:val="000000"/>
          <w:sz w:val="20"/>
        </w:rPr>
        <w:t>“2024 Annual Report”)</w:t>
      </w:r>
      <w:r>
        <w:rPr>
          <w:rFonts w:ascii="Times New Roman" w:hAnsi="Times New Roman"/>
          <w:i/>
          <w:color w:val="000000"/>
          <w:sz w:val="20"/>
        </w:rPr>
        <w:t>.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2024 Annual Report, in addition to the</w:t>
      </w:r>
      <w:r>
        <w:rPr>
          <w:rFonts w:ascii="Times New Roman" w:hAnsi="Times New Roman"/>
          <w:color w:val="000000"/>
          <w:sz w:val="20"/>
        </w:rPr>
        <w:t xml:space="preserve">(“Risk Factors”) </w:t>
      </w:r>
      <w:r>
        <w:rPr>
          <w:rFonts w:ascii="Times New Roman" w:hAnsi="Times New Roman"/>
          <w:i/>
          <w:color w:val="000000"/>
          <w:sz w:val="20"/>
        </w:rPr>
        <w:t>and “Cautionary Note Regarding Forward-Looking Statements” sections of this Quarterly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biotechnology company focused on developing treatments for patients suffering from complex rare diseases using our novel cell penetrating peptide (“CPP”) technology platform. Our lead product candidate, nomlabofusp (nomlabofusp is the International Nonproprietary Name and the United States Adopted Name for CTI-1601), is a subcutaneously administered, recombinant fusion protein intended to deliver tissue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systemically increase FXN levels in patients with FA.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devoted substantially all of our resources to developing nomlabofusp, building our intellectual property portfolio, developing third-party manufacturing capabilities, business planning, raising capital, developing sales and marketing capacities, and providing general and administrative support for such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Nomlabofusp Program Update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initiated human clinical studies of nomlabofusp in 2019. Since then, we have completed four clinical studies: (i) two Phase 1 clinical studies, (ii) a Phase 2 dose exploration study and (iii) a PK run-in study in adolescents (12-17 years old).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2024, we initiated our open label extension study in patients with FA. The open label extension study's eligibility criteria only allowed patients who previously participated in our prior nomlabofusp Phase 1 or Phase 2 studies. In 2025, we changed the name of the open label extension study to the open label study, due to the inclusion of patients who had not participated in prior nomlabofusp clinical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engaged in multiple discussions and interactions with the U.S. Food and Drug Administration (“FDA”) in connection with our clinical development of nomlabofusp. Communications remain ongoing. We currently participate in the FDA’s Center for Drug Evaluation and Research (“CDER”) Support for Clinical Trials Advancing Rare Disease Therapeutics (“START”) pilot program. The objective of this program is to accelerate the development of drugs for rare diseases that lead to significant disability or death by facilitating frequent advice and regular communication with the FDA staff to expedite the review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also had numerous interactions with the European Medicines Agency (“EMA”) and the United Kingdom’s Medicines and Healthcare Regulatory Agency (“MHRA”) regarding the clinical development of nomlabofusp.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Orphan Drug Designation and Fast Track Designation from the FDA. We have been granted orphan drug designation in the European Union (the “EU”) and access to the EU’s Priority Medicines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 (“PRIME”) Scheme. We have also received access to the EMA’s Innovative Licensing and Access Pathway (“ILAP”). All these programs are designed to facilitate drug development of therapeutics for rare and/or orphan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significant developments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2024, we reported positive initial data from our ongoing open label study. This data included safety, FXN levels, clinical and pharmacokinetic data. Also in December 2024, we announced that we were increasing the dose in the open label study to 50 mg of nomlabofusp daily for then currently enrolled participants. All newly enrolled participants will start dosing at 50 mg of nomlabofusp daily. In March 2025, we announced that our Safety Monitoring Team had identified anaphylaxis as an adverse drug reaction likely associated with nomlabofusp.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2025, we initiated dosing of adolescents (12-17 years old) in our PK run-in study for patients with FA. Study participants were randomized 2:1 to receive either nomlabofusp at a weight-base dose expected to match the PK of adults receiving the 50 mg dose, or placebo, daily for seven days. We completed dosing of 14 adolescents in March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FDA accepted the data supporting the comparability of the lyophilized drug product to the frozen solution and agreed with our plans to introduce the lyophilized product into our clinical development program. The frozen solution is the dosage form currently being used in the open label study. In July 2025, we began to introduce the lyophilized product formulation, which is intended for commercialization, into the open label study with new study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we announced that FDA stated as part of a START pilot program that it is open to considering the use of FXN concentration as a reasonably likely surrogate endpoint (“RLSE”) and the acceptability of FXN concentration as an RLSE to support accelerated approval will be a matter of review in a future marketing application. The FDA recommended focusing on assessments of skin FXN concentrations rather than buccal FXN concentrations due to more consistent sampling and less variability. FDA acknowledged that data we recently submitted appear to support a relationship between increased FXN concentrations in skin cells and relevant tissues such as the heart, dorsal root ganglion and skeletal muscle. FDA also acknowledged that the nonclinical studies we submitted were performed at relevant human doses. FDA also suggested that we consider exploring the relationship between increases in FXN in skin and changes in pharmacodynamic (“PD”) markers such as lipid profiles and/or clinical measures to provide additional support for the use of FXN as an RLSE. We continue to interact with the FDA under the START pilot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2025, the FDA provided safety database recommendations for a Biologics License Application, (“BLA”) seeking accelerated approval, which included evaluating safety in at least 30 participants with continuous study drug exposure for six months and a subset of at least 10 of those participants with continuous study drug exposure for one year, with the large majority of data coming from participants receiving the 50 mg dose.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2025, we announced the publication of nonclinical data evaluating the mechanism of action, pharmacodynamics and pharmacology of nomlabofusp as a novel FXN protein replacement therapy designed to address the underlying cause of FA in two peer-reviewed articles. These data were included in the briefing package reviewed by the U.S. FDA in support of using skin FXN concentrations as a RLSE for our registrational program seeking accelerated approval for nomlabofusp.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we announced positive data from our ongoing long-term open label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four completed studies and the ongoing open label study, 65 participants received at least one dose of nomlabofusp, including 39 in the open label study, with 14 on treatment for at least six months and eight for over one year in the open label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 directional improvements across four key clinical outcomes observed in the open label study relative to a Friedreich’s Ataxia Clinical Outcomes Measure Study (FACOMS) reference population and the observed increase in skin FXN levels. We believe these new data, as well as the improvement in abnormal lipid profiles observed in prior completed studies, provide support that nomlabofusp increases FXN in patients with FA and that the strategy of FXN replacement has the potential to result in a clinical benefit.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observed in skin FXN levels, and clinical outcomes after nomlabofusp administration across diverse participants with FA, including individuals with advanced disease are all directionally consistent and suggest a potential treatment effect.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the 39 participants in the open label study (and of 65 total participants who received at least 1 dose in all nomlabofusp studies), 7 experienced anaphylaxis in the first 6 weeks of dosing and returned to their usual state of health after standard treatment. Anaphylaxis is more common upon re-exposure to a drug after a gap in dosing; in the open label study, of the 10 participants who had not had prior exposure to nomlabofusp only 1 experienced anaphylaxis (this reaction was one of the 7 events discussed above). Excluding these events, long term dosing of nomlabofusp was generally well tolerated including 14 on treatment for at least 6 months and 8 on treatment for over 1 year.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nomlabofusp plans and milestones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amended the open label study protocol to include adolescent and adult patients who have not previously participated in a prior nomlabofusp study. After the anaphylaxis events discussed above, we introduced a new dosing regimen that the FDA accepted. Participants will initially receive a 5 mg test dose followed by a 25 mg dose one hour later under observation. Nomlabofusp 25 mg will then be administered once daily through Day 30 and then the dose will be increased to 50 mg once daily.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provide an update on regulatory discussions and an open label study update in the first quarter of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submit a BLA seeking accelerated approval in the second quarter of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modified starting dose regimen is also being incorporated into the global phase 3 protocol. We continue to qualify sites globally and prepare for study initiation and patient enrollment.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Financing Activities, including Recent Material Financings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we completed an underwritten public offering in which we issued and sold 19,736,842 shares of our common stock at a public offering price of $8.74 per share. We received net proceeds of approximately $161.8 million after deducting underwriting discounts, commissions and other offering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we entered into a Sales Agreement (“2024 ATM Agreement”) with Guggenheim Securities, LLC in connection with the establishment of an “at-the-market” offering program providing for the sale of up to an aggregate of $100 million of shares of our common stock from time to time. To date, we have made no sales under the 2024 ATM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2025, we completed an underwritten public offering in which we issued and sold 21,562,500 shares of our common stock, including the exercise in full of the underwriters' option to purchase additional shares, at a public offering price of $3.20 per share. We received net proceeds of approximately $65.0 million, after deducting underwriting discounts, commissions and other offering expenses .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financial statements are prepared in accordance with Generally Accepted Accounting Principles (“GAAP”). The preparation of our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these estimates and assumptions on an ongoing basis. Our actual results may differ from these estimates under different assumptions and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We expect to increase our investment in research and development in order to advance nomlabofusp through additional clinical trials. As a result, we expect that our research and development expenses will continue to increase in the foreseeable future as we pursue clinical development of nomlabofusp and/or any other product candidates we develop.</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all stock-based awards granted to employees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and thus are inherently subjective. If factors change and different assumptions are used, our stock-based compensation expense could be materially different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May 28, 2020, we were a private company and lacked company-specific historical and implied volatility information for our common stock. Prior to January 1, 2023, we estimated our expected common stock price volatility solely based on the historical volatility of publicly traded peer companies with comparable characteristics including enterprise value, risk profiles, and position within the industry. Beginning on January 1, 2023, we began blending our historical data starting in June 2020 (following our merger with Zafgen in 2020) with its historical peer group.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full historical data regarding the volatility of our own traded stock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we have never paid cash dividends on common stock and do not expect to pay any cash dividends in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our Board of Directors (“Board”) approved the issuance of an aggregate of 200,000 performance-based restricted stock units (“RSUs”) to certain of our executive officers (the “January 2025 PSU Awards”). The Board established specified performance criteria and a corresponding performance period over which such performance criteria must be achieved, the satisfaction of which are conditions to earning the January 2025 PSU Awards, and vesting of the underlying RSUs. As of September 30, 2025, the underlying performance criteria of the January 2025 PSU Awards were determined to be not probable of achievement for accounting purposes and no stock-based compensation expense was recognized for the three months ended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classify stock-based compensation expense in our consolidated statements of operations and comprehensive loss in the same manner in which the award recipient’s payroll costs are classified or in which the award recipient’s service payments are classified.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operating expenses since inception have consisted primarily of research and development activities, and general and administrative costs.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which consist primarily of costs associated with our product research and development efforts, are expensed as incurred. Research and development expenses consist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 costs relating to research, formulation, manufacturing, non-clinical studies and clinical trial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related costs, including salaries, benefits and stock-based compensation expenses for employees engaged in scientific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costs of outside consultants and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under our third-party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consumables;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allocated facility-related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this time, we cannot reasonably estimate or know the nature, timing and estimated costs of the efforts that will be necessary to complete the clinical and commercial development of nomlabofusp, or any other product candidates we develop. We are also unable to predict when, if ever, material net cash inflows will commence from sales of our product candidates. The duration, costs, and timing of clinical trials and development of nomlabofusp or any other product candidates we develop will depend on a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rate of progress and expense of clinical trials and other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in clinical trial enrollment rate or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and changing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receipt of any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influence of the FDA or other regulatory authorities on our clinical trial design and timing;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patent and trade secret protection and regulatory exclusivity for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and retain key research and development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change in the outcome of one or more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required to expend significant additional financial resources and time on the completion of clinical development.</w:t>
      </w:r>
    </w:p>
    <w:p>
      <w:pPr>
        <w:pStyle w:val="Heading2"/>
        <w:bidi w:val="0"/>
        <w:spacing w:before="120" w:after="120"/>
        <w:jc w:val="left"/>
        <w:rPr>
          <w:rFonts w:ascii="Times New Roman" w:hAnsi="Times New Roman"/>
          <w:b w:val="false"/>
          <w:i/>
          <w:color w:val="000000"/>
          <w:sz w:val="20"/>
        </w:rPr>
      </w:pPr>
      <w:r>
        <w:rPr>
          <w:rFonts w:ascii="Times New Roman" w:hAnsi="Times New Roman"/>
          <w:b w:val="false"/>
          <w:i/>
          <w:color w:val="000000"/>
          <w:sz w:val="20"/>
        </w:rPr>
        <w:t>General and Administrative Expenses</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 costs, consisting of salaries, related benefits and stock-based compensation, costs related to our executive, finance, commercial, information technology, and costs related to other administrative functions. General and administrative expenses also include insurance expenses and professional fees for auditing, commercial readiness costs, tax, and legal services, including legal expenses to pursue patent protection for our intellectual property as well as reimbursability and related costs. We expect that our general and administrative expenses will increase in the foreseeable future as we hire additional employees to implement, improve, and scale our operational, financial, commercial and management systems. </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three months ended September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September 30, 2025 and 2024:</w:t>
      </w:r>
    </w:p>
    <w:p>
      <w:pPr>
        <w:pStyle w:val="TextBody"/>
        <w:bidi w:val="0"/>
        <w:jc w:val="left"/>
        <w:rPr/>
      </w:pPr>
      <w:r>
        <w:rPr/>
        <w:t> </w:t>
      </w:r>
    </w:p>
    <w:tbl>
      <w:tblPr>
        <w:tblW w:w="6693" w:type="dxa"/>
        <w:jc w:val="left"/>
        <w:tblInd w:w="0" w:type="dxa"/>
        <w:tblLayout w:type="fixed"/>
        <w:tblCellMar>
          <w:top w:w="28" w:type="dxa"/>
          <w:left w:w="28" w:type="dxa"/>
          <w:bottom w:w="28" w:type="dxa"/>
          <w:right w:w="28" w:type="dxa"/>
        </w:tblCellMar>
      </w:tblPr>
      <w:tblGrid>
        <w:gridCol w:w="2671"/>
        <w:gridCol w:w="146"/>
        <w:gridCol w:w="211"/>
        <w:gridCol w:w="736"/>
        <w:gridCol w:w="166"/>
        <w:gridCol w:w="146"/>
        <w:gridCol w:w="211"/>
        <w:gridCol w:w="736"/>
        <w:gridCol w:w="166"/>
        <w:gridCol w:w="146"/>
        <w:gridCol w:w="211"/>
        <w:gridCol w:w="736"/>
        <w:gridCol w:w="41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for the three months ended September 30, 2025 increased $31.0 million compared to the three months ended September 30, 2024. The increase in research and development expenses was primarily attributable to an increase of $25.8 million in nomlabofusp manufacturing costs, an increase of $1.8 million in professional and consulting fees associated with ongoing clinical studies and increasing worldwide regulatory activities, an increase of $1.5 million in clinical costs primarily associated with the start of an anticipated confirmatory study that are required as part of an accelerated approval of our planned BLA submission expected in the second quarter of 2026, an increase of $1.0 million in personnel costs associated with increased headcount, and an increase of $0.9 million in non-clinical costs related to assay development.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for the three months ended September 30, 2025 increased $0.2 million compared to the three months ended September 30, 2024. The increase in general and administrative expenses was primarily due to an increase of $0.3 million of personnel costs associated with increased headcount and an increase of $0.2 million in professional fees primarily related to legal services performed. The increase was largely offset by a decrease of $0.2 million in stock compensation costs related to the full vesting of previously issued stock options granted at higher value stock options.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was $1.8 million income in the three months ended September 30, 2025 compared to $2.8 million income in the three months ended September 30, 2024. The decrease was primarily driven by lower interest and accretion income due to lower interest yields and lower average investable cash, cash equivalents, and marketable securities balances.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nine months ended September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nine months ended September 30, 2025 and 2024:</w:t>
      </w:r>
    </w:p>
    <w:p>
      <w:pPr>
        <w:pStyle w:val="TextBody"/>
        <w:bidi w:val="0"/>
        <w:jc w:val="left"/>
        <w:rPr/>
      </w:pPr>
      <w:r>
        <w:rPr/>
        <w:t> </w:t>
      </w:r>
    </w:p>
    <w:tbl>
      <w:tblPr>
        <w:tblW w:w="6798" w:type="dxa"/>
        <w:jc w:val="left"/>
        <w:tblInd w:w="0" w:type="dxa"/>
        <w:tblLayout w:type="fixed"/>
        <w:tblCellMar>
          <w:top w:w="28" w:type="dxa"/>
          <w:left w:w="28" w:type="dxa"/>
          <w:bottom w:w="28" w:type="dxa"/>
          <w:right w:w="28" w:type="dxa"/>
        </w:tblCellMar>
      </w:tblPr>
      <w:tblGrid>
        <w:gridCol w:w="2671"/>
        <w:gridCol w:w="146"/>
        <w:gridCol w:w="211"/>
        <w:gridCol w:w="841"/>
        <w:gridCol w:w="166"/>
        <w:gridCol w:w="146"/>
        <w:gridCol w:w="211"/>
        <w:gridCol w:w="736"/>
        <w:gridCol w:w="166"/>
        <w:gridCol w:w="146"/>
        <w:gridCol w:w="211"/>
        <w:gridCol w:w="736"/>
        <w:gridCol w:w="41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for the nine months ended September 30, 2025 increased $48.3 million compared to the nine months ended September 30, 2024. The increase in research and development expenses was primarily attributable to an increase of $32.9 million in nomlabofusp manufacturing costs, an increase of $5.4 million in professional consulting fees associated with ongoing clinical studies and worldwide regulatory activities, an increase of $4.8 million in clinical costs primarily associated with initiating the anticipated confirmatory study required as part of an accelerated approval of our planned BLA submission expected in the second quarter of 2026, an increase of $3.9 million in personnel costs associated with increased quality and regulatory headcount and an increase of $1.7 million in nonclinical costs related to assay development, and partially offset by a decrease of $0.8 million in costs incurred under the TRACK-FA program.</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for the nine months ended September 30, 2025 increased $0.6 million compared to the nine months ended September 30, 2024. The increase in general and administrative expenses was primarily due to an increase of $1.1 million of personnel costs associated with increased headcount (primarily commercial) and an increase of $0.5 million in professional service expenses primarily related to commercial start-up activities, partially offset by a decrease of $0.8 million in stock compensation costs related to the full vesting of previously issued stock options granted at higher value stock options.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was $5.3 million income in the nine months ended September 30, 2025 compared to $7.8 million income in the nine months ended September 30, 2024. The decrease was primarily driven by lower interest and accretion income due to lower interest yields and lower average investable cash, cash equivalents, and marketable securities balances.</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from any sources, including from product sales, and have incurred significant operating losses and negative cash flows from our operations. We have devoted substantially all of our resources to developing nomlabofusp, building our intellectual property portfolio, developing third-party manufacturing capabilities, business planning, capital raising, and providing general and administrative support for such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sources and uses of cash for each of the periods presented below:</w:t>
      </w:r>
    </w:p>
    <w:p>
      <w:pPr>
        <w:pStyle w:val="TextBody"/>
        <w:bidi w:val="0"/>
        <w:jc w:val="left"/>
        <w:rPr/>
      </w:pPr>
      <w:r>
        <w:rPr/>
        <w:t> </w:t>
      </w:r>
    </w:p>
    <w:tbl>
      <w:tblPr>
        <w:tblW w:w="7662" w:type="dxa"/>
        <w:jc w:val="left"/>
        <w:tblInd w:w="0" w:type="dxa"/>
        <w:tblLayout w:type="fixed"/>
        <w:tblCellMar>
          <w:top w:w="28" w:type="dxa"/>
          <w:left w:w="28" w:type="dxa"/>
          <w:bottom w:w="28" w:type="dxa"/>
          <w:right w:w="28" w:type="dxa"/>
        </w:tblCellMar>
      </w:tblPr>
      <w:tblGrid>
        <w:gridCol w:w="4711"/>
        <w:gridCol w:w="146"/>
        <w:gridCol w:w="237"/>
        <w:gridCol w:w="826"/>
        <w:gridCol w:w="186"/>
        <w:gridCol w:w="164"/>
        <w:gridCol w:w="237"/>
        <w:gridCol w:w="944"/>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66,309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65,287</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56,922</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operating activities used $74.7 million of cash, resulting from our net loss of $103.2 million, adjusted for noncash expenses of $4.0 million and changes in our operating assets and liabilities resulting in a source of cash of $24.5 million. Our net loss was primarily attributed to research and development activities related to our nomlabofusp program and our general and administrative expenses as described above. Noncash expenses primarily relate to stock-based compensation expenses. The change in operating assets and liabilities was primarily due to a increases in prepaid expenses, accounts payable, and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operating activities used $48.9 million of cash, resulting from our net loss of $51.8 million, adjusted for noncash expenses of $2.4 million and changes in our operating assets and liabilities resulting in a source of cash of $0.4 million. Our net loss was primarily attributed to research and development activities related to our nomlabofusp program and our general and administrative expenses as described above. Noncash expenses are primarily stock-based compensation expenses. The change in operating assets and liabilities was primarily due to an increase in accrued expenses and accounts payable, partially offset by a decrease in prepaid expense.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cash provided by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investing activities provided $66.3 million. This source of cash resulted from the maturities of $150.0 million of marketable securities partially offset by purchases of $83.6 million of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investing activities used $104.6 million. This net use of cash was due to the purchase of $189.2 million of marketable securities, partially offset by $85.0 million of cash provided by maturities of marketable securities.</w:t>
      </w:r>
    </w:p>
    <w:p>
      <w:pPr>
        <w:pStyle w:val="TextBody"/>
        <w:bidi w:val="0"/>
        <w:spacing w:before="120" w:after="283"/>
        <w:jc w:val="left"/>
        <w:rPr>
          <w:rFonts w:ascii="Times New Roman" w:hAnsi="Times New Roman"/>
          <w:sz w:val="20"/>
        </w:rPr>
      </w:pPr>
      <w:r>
        <w:rPr>
          <w:rFonts w:ascii="Times New Roman" w:hAnsi="Times New Roman"/>
          <w:b/>
          <w:i/>
          <w:color w:val="000000"/>
          <w:sz w:val="20"/>
        </w:rPr>
        <w:t>Net 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financing activities provided $65.3 million of cash flows from an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financing activities provided $161.8 million of cash flows primarily from an offering of common stock.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Operating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commercialized any products and do not expect to generate revenue from the commercial sale of any products for several years,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of approximately $103.2 million and $51.8 million for the nine months ended September 30, 2025 and 2024, respectively. As of September 30, 2025, we had an accumulated deficit of $372.3 million and cash, cash equivalents, and marketable securities of $175.4 million, excluding restricted cash of $0.6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Losses have resulted principally from costs incurred in connection with research and development activities, and general and administrative costs associated with the development of nomlabofusp and our operations. We expect to incur significant expenses and operating losses for the foreseeable future as we expect to continue to incur expenses in connection with our ongoing activities,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advance the development of nomlabofusp through additional clinical trials, including related manufacturing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and advance development of additional product candidates into clinical development and identify additional indications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obtain regulatory approvals for nomlabofusp and other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leverage and expand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commercial and management systems and personnel, including personnel to support our clinical development and future commercialization efforts and our operations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current cash, cash equivalents, and marketable securities as of September 30, 2025 will fund operations into the fourth quarter of 2026.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debt/royalty financings, collaborations, strategic alliances,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strategic alliances,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tensions including regional conflicts around the world, adverse macroeconomic events, including those due to inflationary pressures, rising interest rates, banking instability, monetary policy changes, changes in trade policies, including the current U.S. Government shutdown, tariffs (including tariffs and trade protection measures that have been or may in the future be imposed by the U.S. or other countries), new laws and regulations, including, but not limited to the recently enacted Public Law 119-21, 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 and any other product candidates that we may develop which may reduce our ability to access capital, which could negatively affect our liquidity and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and/or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Any additional fundraising efforts may divert our management from their day-to-day activities, which may adversely affect our capability to develop and commercialize our product candidates.</w:t>
      </w:r>
    </w:p>
    <w:p>
      <w:pPr>
        <w:pStyle w:val="TextBody"/>
        <w:bidi w:val="0"/>
        <w:spacing w:before="12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periods presented, and through the date of this filing, we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 </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Please read Note 2 to our condensed consolidated financial statements included in Part I of Item 1 of this Quarterly Report on Form 10-Q for a description of recent accounting pronouncements applicable to our business, if any. </w:t>
      </w:r>
    </w:p>
    <w:p>
      <w:pPr>
        <w:pStyle w:val="TextBody"/>
        <w:bidi w:val="0"/>
        <w:spacing w:before="120" w:after="283"/>
        <w:jc w:val="left"/>
        <w:rPr>
          <w:rFonts w:ascii="Times New Roman" w:hAnsi="Times New Roman"/>
          <w:sz w:val="20"/>
        </w:rPr>
      </w:pPr>
      <w:r>
        <w:rPr>
          <w:rFonts w:ascii="Times New Roman" w:hAnsi="Times New Roman"/>
          <w:b/>
          <w:color w:val="000000"/>
          <w:sz w:val="20"/>
        </w:rPr>
        <w:t>Other Company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Securities Exchange Act of 1934, as amended (the "Exchange Act") and are not required to provide the information under this item.</w:t>
      </w:r>
    </w:p>
    <w:p>
      <w:pPr>
        <w:pStyle w:val="TextBody"/>
        <w:bidi w:val="0"/>
        <w:spacing w:before="120" w:after="283"/>
        <w:jc w:val="left"/>
        <w:rPr>
          <w:rFonts w:ascii="Times New Roman" w:hAnsi="Times New Roman"/>
          <w:sz w:val="20"/>
        </w:rPr>
      </w:pPr>
      <w:bookmarkStart w:id="11" w:name="item_4_controls_and_procedures"/>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any disclosure controls and procedures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the quarter ended September 30, 2025,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that have occurred during the fiscal quarter ended September 30, 2025, which have materially affected or reasonably probable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part_ii_or_information"/>
      <w:bookmarkEnd w:id="12"/>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are subject to claims in legal proceedings arising in the normal course of business. To our knowledge, during the nine months ended September 30, 2025, there were none, and as of the date of this Quarterly Report, there are no threatened or pending legal actions that could reasonably be expected to have a material adverse effect on our business, financial condition, results of operations, or cash flows. </w:t>
      </w:r>
    </w:p>
    <w:p>
      <w:pPr>
        <w:pStyle w:val="TextBody"/>
        <w:bidi w:val="0"/>
        <w:spacing w:before="12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carefully consider the risk factors described in our 2024 Annual Report under the caption “Item 1A. Risk Factors.” The risks described in our 2024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jc w:val="left"/>
        <w:rPr/>
      </w:pPr>
      <w:r>
        <w:rPr/>
        <w:t> </w:t>
      </w:r>
    </w:p>
    <w:p>
      <w:pPr>
        <w:pStyle w:val="TextBody"/>
        <w:bidi w:val="0"/>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7" w:name="item_4_mine_safety_disclosures"/>
      <w:bookmarkEnd w:id="17"/>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Rule 10b5-1 Trading Arrangements</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quarter ended September 30, 2025, none of our directors or officers (as defined in Rule 16a-1(f) under the Exchange Act) adopted, modified or terminated a “Rule 10b5-1 trading arrangement” or “non-Rule 10b5-1 trading arrangement” (as each term is defined in Item 408(a) of Regulation 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filed as part of this Quarterly Report are set forth on the Exhibit Index, which is incorporated herein by reference. </w:t>
      </w:r>
    </w:p>
    <w:p>
      <w:pPr>
        <w:pStyle w:val="TextBody"/>
        <w:bidi w:val="0"/>
        <w:spacing w:before="360" w:after="283"/>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5"/>
        <w:gridCol w:w="299"/>
        <w:gridCol w:w="9021"/>
      </w:tblGrid>
      <w:tr>
        <w:trPr/>
        <w:tc>
          <w:tcPr>
            <w:tcW w:w="88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021" w:type="dxa"/>
            <w:tcBorders/>
            <w:vAlign w:val="center"/>
          </w:tcPr>
          <w:p>
            <w:pPr>
              <w:pStyle w:val="TableContents"/>
              <w:bidi w:val="0"/>
              <w:spacing w:before="0" w:after="283"/>
              <w:jc w:val="left"/>
              <w:rPr>
                <w:sz w:val="4"/>
                <w:szCs w:val="4"/>
              </w:rPr>
            </w:pPr>
            <w:r>
              <w:rPr>
                <w:sz w:val="4"/>
                <w:szCs w:val="4"/>
              </w:rPr>
            </w:r>
          </w:p>
        </w:tc>
      </w:tr>
      <w:tr>
        <w:trPr/>
        <w:tc>
          <w:tcPr>
            <w:tcW w:w="885"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Exhibit No.</w:t>
            </w:r>
            <w:r>
              <w:rPr>
                <w:rFonts w:ascii="Times New Roman" w:hAnsi="Times New Roman"/>
                <w:color w:val="000000"/>
                <w:sz w:val="16"/>
              </w:rPr>
              <w:t xml:space="preserve"> </w:t>
            </w:r>
          </w:p>
        </w:tc>
        <w:tc>
          <w:tcPr>
            <w:tcW w:w="299"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90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hyperlink w:anchor="lrmr-ex31_1.htm">
              <w:r>
                <w:rPr>
                  <w:rStyle w:val="InternetLink"/>
                  <w:rFonts w:ascii="Times New Roman" w:hAnsi="Times New Roman"/>
                  <w:color w:val="0000FF"/>
                  <w:sz w:val="20"/>
                  <w:u w:val="single"/>
                </w:rPr>
                <w:t>Certification of Principal Executive Officer pursuant to Rule 13a-14(a) or Rule 15d-14(a) of the Securities Exchange Act of 1934, as adopted pursuant to Section 302 of the Sarbanes-Oxley Act of 2002.</w:t>
              </w:r>
            </w:hyperlink>
          </w:p>
        </w:tc>
      </w:tr>
      <w:tr>
        <w:trPr/>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hyperlink w:anchor="lrmr-ex31_2.htm">
              <w:r>
                <w:rPr>
                  <w:rStyle w:val="InternetLink"/>
                  <w:rFonts w:ascii="Times New Roman" w:hAnsi="Times New Roman"/>
                  <w:color w:val="0000FF"/>
                  <w:sz w:val="20"/>
                  <w:u w:val="single"/>
                </w:rPr>
                <w:t>Certification of Principal Financial Officer pursuant to Rule 13a-14(a) or Rule 15d-14(a) of the Securities Exchange Act of 1934, as adopted pursuant to Section 302 of the Sarbanes-Oxley Act of 2002.</w:t>
              </w:r>
            </w:hyperlink>
          </w:p>
        </w:tc>
      </w:tr>
      <w:tr>
        <w:trPr/>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hyperlink w:anchor="lrmr-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ind w:left="0" w:right="0" w:firstLine="153"/>
              <w:jc w:val="left"/>
              <w:rPr>
                <w:rFonts w:ascii="Times New Roman" w:hAnsi="Times New Roman"/>
                <w:color w:val="000000"/>
                <w:sz w:val="20"/>
              </w:rPr>
            </w:pPr>
            <w:r>
              <w:rPr>
                <w:rFonts w:ascii="Times New Roman" w:hAnsi="Times New Roman"/>
                <w:color w:val="000000"/>
                <w:sz w:val="20"/>
              </w:rPr>
              <w:t>101.INS*</w:t>
            </w:r>
          </w:p>
        </w:tc>
        <w:tc>
          <w:tcPr>
            <w:tcW w:w="299" w:type="dxa"/>
            <w:tcBorders/>
            <w:tcMar>
              <w:top w:w="0" w:type="dxa"/>
              <w:left w:w="0" w:type="dxa"/>
              <w:bottom w:w="0" w:type="dxa"/>
              <w:right w:w="0" w:type="dxa"/>
            </w:tcMar>
            <w:vAlign w:val="center"/>
          </w:tcPr>
          <w:p>
            <w:pPr>
              <w:pStyle w:val="TableContents"/>
              <w:bidi w:val="0"/>
              <w:spacing w:before="0" w:after="283"/>
              <w:ind w:left="0" w:right="0" w:firstLine="15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 re embedded within the Inline XBRL document</w:t>
            </w:r>
          </w:p>
        </w:tc>
      </w:tr>
      <w:tr>
        <w:trPr/>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ind w:left="0" w:right="0" w:firstLine="153"/>
              <w:jc w:val="left"/>
              <w:rPr>
                <w:rFonts w:ascii="Times New Roman" w:hAnsi="Times New Roman"/>
                <w:color w:val="000000"/>
                <w:sz w:val="20"/>
              </w:rPr>
            </w:pPr>
            <w:r>
              <w:rPr>
                <w:rFonts w:ascii="Times New Roman" w:hAnsi="Times New Roman"/>
                <w:color w:val="000000"/>
                <w:sz w:val="20"/>
              </w:rPr>
              <w:t>101.SCH*</w:t>
            </w:r>
          </w:p>
        </w:tc>
        <w:tc>
          <w:tcPr>
            <w:tcW w:w="299" w:type="dxa"/>
            <w:tcBorders/>
            <w:tcMar>
              <w:top w:w="0" w:type="dxa"/>
              <w:left w:w="0" w:type="dxa"/>
              <w:bottom w:w="0" w:type="dxa"/>
              <w:right w:w="0" w:type="dxa"/>
            </w:tcMar>
            <w:vAlign w:val="center"/>
          </w:tcPr>
          <w:p>
            <w:pPr>
              <w:pStyle w:val="TableContents"/>
              <w:bidi w:val="0"/>
              <w:spacing w:before="0" w:after="283"/>
              <w:ind w:left="0" w:right="0" w:firstLine="15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ind w:left="0" w:right="0" w:firstLine="153"/>
              <w:jc w:val="left"/>
              <w:rPr>
                <w:rFonts w:ascii="Times New Roman" w:hAnsi="Times New Roman"/>
                <w:color w:val="000000"/>
                <w:sz w:val="20"/>
              </w:rPr>
            </w:pPr>
            <w:r>
              <w:rPr>
                <w:rFonts w:ascii="Times New Roman" w:hAnsi="Times New Roman"/>
                <w:color w:val="000000"/>
                <w:sz w:val="20"/>
              </w:rPr>
              <w:t>104</w:t>
            </w:r>
          </w:p>
        </w:tc>
        <w:tc>
          <w:tcPr>
            <w:tcW w:w="299" w:type="dxa"/>
            <w:tcBorders/>
            <w:tcMar>
              <w:top w:w="0" w:type="dxa"/>
              <w:left w:w="0" w:type="dxa"/>
              <w:bottom w:w="0" w:type="dxa"/>
              <w:right w:w="0" w:type="dxa"/>
            </w:tcMar>
            <w:vAlign w:val="center"/>
          </w:tcPr>
          <w:p>
            <w:pPr>
              <w:pStyle w:val="TableContents"/>
              <w:bidi w:val="0"/>
              <w:spacing w:before="0" w:after="283"/>
              <w:ind w:left="0" w:right="0" w:firstLine="153"/>
              <w:jc w:val="left"/>
              <w:rPr/>
            </w:pPr>
            <w:r>
              <w:rPr/>
              <w:t> </w:t>
            </w:r>
          </w:p>
        </w:tc>
        <w:tc>
          <w:tcPr>
            <w:tcW w:w="9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6670" w:type="dxa"/>
        <w:jc w:val="left"/>
        <w:tblInd w:w="0" w:type="dxa"/>
        <w:tblLayout w:type="fixed"/>
        <w:tblCellMar>
          <w:top w:w="28" w:type="dxa"/>
          <w:left w:w="28" w:type="dxa"/>
          <w:bottom w:w="28" w:type="dxa"/>
          <w:right w:w="28" w:type="dxa"/>
        </w:tblCellMar>
      </w:tblPr>
      <w:tblGrid>
        <w:gridCol w:w="2101"/>
        <w:gridCol w:w="146"/>
        <w:gridCol w:w="406"/>
        <w:gridCol w:w="146"/>
        <w:gridCol w:w="387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LARIMAR THERAPEUTICS, INC.</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2025</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Carole S. Ben-Maimon, M.D.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Carole S. Ben-Maimon, M.D.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bottom w:val="single" w:sz="6" w:space="0" w:color="FFFFFF"/>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2025</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6" w:space="0" w:color="FFFFFF"/>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Celano</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Celano</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0"/>
        </w:rPr>
      </w:pPr>
      <w:bookmarkStart w:id="21" w:name="lrmr-ex31_1.htm"/>
      <w:bookmarkStart w:id="22" w:name="kslrmrex31_1"/>
      <w:bookmarkEnd w:id="21"/>
      <w:bookmarkEnd w:id="22"/>
      <w:r>
        <w:rPr>
          <w:rFonts w:ascii="Times New Roman" w:hAnsi="Times New Roman"/>
          <w:b/>
          <w:color w:val="000000"/>
          <w:sz w:val="20"/>
        </w:rPr>
        <w:t>Exhibit 31.1</w:t>
      </w:r>
      <w:r>
        <w:br w:type="page"/>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I, Carole S. Ben-Maimon, M.D., certify that: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 I have reviewed this Quarterly Report on Form 10-Q of Larimar Therapeutics, Inc.;</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Date: November 5, 2025</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Carole S. Ben-Maimon, M.D.</w:t>
            </w:r>
          </w:p>
        </w:tc>
      </w:tr>
      <w:tr>
        <w:trPr/>
        <w:tc>
          <w:tcPr>
            <w:tcW w:w="32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Carole S. Ben-Maimon, M.D.</w:t>
            </w:r>
          </w:p>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0"/>
        </w:rPr>
      </w:pPr>
      <w:bookmarkStart w:id="23" w:name="lrmr-ex31_2.htm"/>
      <w:bookmarkStart w:id="24" w:name="kslrmrex31_2"/>
      <w:bookmarkEnd w:id="23"/>
      <w:bookmarkEnd w:id="24"/>
      <w:r>
        <w:rPr>
          <w:rFonts w:ascii="Times New Roman" w:hAnsi="Times New Roman"/>
          <w:b/>
          <w:color w:val="000000"/>
          <w:sz w:val="20"/>
        </w:rPr>
        <w:t>Exhibit 31.2</w:t>
      </w:r>
      <w:r>
        <w:br w:type="page"/>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I, Michael Celano, certify that: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 I have reviewed this Quarterly Report on Form 10-Q of Larimar Therapeutics, Inc.;</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 xml:space="preserve">Date: November 5, 2025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283"/>
              <w:jc w:val="left"/>
              <w:rPr>
                <w:sz w:val="4"/>
                <w:szCs w:val="4"/>
              </w:rPr>
            </w:pPr>
            <w:r>
              <w:rPr>
                <w:sz w:val="4"/>
                <w:szCs w:val="4"/>
              </w:rPr>
            </w:r>
          </w:p>
        </w:tc>
      </w:tr>
      <w:tr>
        <w:trPr/>
        <w:tc>
          <w:tcPr>
            <w:tcW w:w="43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Celano</w:t>
            </w:r>
          </w:p>
        </w:tc>
      </w:tr>
      <w:tr>
        <w:trPr/>
        <w:tc>
          <w:tcPr>
            <w:tcW w:w="43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Celano</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lrmr-ex32_1.htm"/>
      <w:bookmarkStart w:id="26" w:name="kslrmrex32_1"/>
      <w:bookmarkEnd w:id="25"/>
      <w:bookmarkEnd w:id="26"/>
      <w:r>
        <w:rPr/>
        <w:t> </w:t>
      </w:r>
      <w:r>
        <w:br w:type="page"/>
      </w:r>
    </w:p>
    <w:p>
      <w:pPr>
        <w:pStyle w:val="TextBody"/>
        <w:bidi w:val="0"/>
        <w:spacing w:before="0" w:after="20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center"/>
        <w:rPr>
          <w:rFonts w:ascii="Times New Roman" w:hAnsi="Times New Roman"/>
          <w:b/>
          <w:color w:val="000000"/>
          <w:sz w:val="20"/>
        </w:rPr>
      </w:pPr>
      <w:r>
        <w:rPr>
          <w:rFonts w:ascii="Times New Roman" w:hAnsi="Times New Roman"/>
          <w:b/>
          <w:color w:val="000000"/>
          <w:sz w:val="20"/>
        </w:rPr>
        <w:t>(Subsections (a) and (b) of Section 1350, Chapter 63 of Title 18, United States Code)</w:t>
      </w:r>
    </w:p>
    <w:p>
      <w:pPr>
        <w:pStyle w:val="TextBody"/>
        <w:bidi w:val="0"/>
        <w:jc w:val="center"/>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Quarterly Report on Form 10-Q for the quarter ended September 30, 2025 (the “Report”) of the Company fully complies with the requirements of Section 13(a) or 15(d) of the Securities Exchange Act of 1934;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6425" w:type="dxa"/>
        <w:jc w:val="left"/>
        <w:tblInd w:w="0" w:type="dxa"/>
        <w:tblLayout w:type="fixed"/>
        <w:tblCellMar>
          <w:top w:w="28" w:type="dxa"/>
          <w:left w:w="28" w:type="dxa"/>
          <w:bottom w:w="28" w:type="dxa"/>
          <w:right w:w="28" w:type="dxa"/>
        </w:tblCellMar>
      </w:tblPr>
      <w:tblGrid>
        <w:gridCol w:w="2101"/>
        <w:gridCol w:w="146"/>
        <w:gridCol w:w="146"/>
        <w:gridCol w:w="146"/>
        <w:gridCol w:w="388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Carole S. Ben-Maimon, M.D.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Carole S. Ben-Maimon, M.D.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President and 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Michael Celano</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Michael Celano</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20356</Words>
  <Characters>113693</Characters>
  <CharactersWithSpaces>135010</CharactersWithSpaces>
  <Paragraphs>4378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