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three months ended March 31, 2018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73"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500" w:space="720"/>
            <w:col w:w="3200"/>
          </w:cols>
          <w:pgMar w:left="240" w:top="368"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360" w:space="720"/>
            <w:col w:w="3340"/>
          </w:cols>
          <w:pgMar w:left="240" w:top="368" w:right="239"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420"/>
          </w:cols>
          <w:pgMar w:left="240" w:top="368" w:right="239" w:bottom="1440" w:gutter="0" w:footer="0" w:header="0"/>
          <w:type w:val="continuous"/>
        </w:sectPr>
      </w:pP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108585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3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44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2018, there were 27,563,346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9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metabolic diseases including type 2 diabetes, either alone, in combination with or through a strategic partner;</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the Phase 2 clinical trial of ZGN-1061, and successfully advance ZGN-1061 into later-stage clinical trials, including in the United States through the filing of an Investigational New Drug, or IND, application;</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file and have our IND application for ZGN-1258 go into effect and to successfully advance ZGN-1258 into clinical trials;</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our first-generation compound, beloranib;</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distinguish ZGN-1061 and other novel MetAP2 inhibitors relative to our first-generation compound;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560" w:type="dxa"/>
            <w:vAlign w:val="bottom"/>
            <w:gridSpan w:val="8"/>
            <w:vMerge w:val="restart"/>
          </w:tcPr>
          <w:p>
            <w:pPr>
              <w:jc w:val="center"/>
              <w:ind w:right="2600"/>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560" w:type="dxa"/>
            <w:vAlign w:val="bottom"/>
            <w:gridSpan w:val="8"/>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5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2018 and December 31, 2017</w:t>
              </w:r>
            </w:hyperlink>
          </w:p>
        </w:tc>
        <w:tc>
          <w:tcPr>
            <w:tcW w:w="36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and Comprehensive Loss for the Three Months Ended March 31, 2018 and 2017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2018 and 2017</w:t>
              </w:r>
            </w:hyperlink>
          </w:p>
        </w:tc>
        <w:tc>
          <w:tcPr>
            <w:tcW w:w="18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5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Evaluation of our Disclosure 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6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auto"/>
              </w:rPr>
              <w:t>PART II—OTHER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6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90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980" w:type="dxa"/>
            <w:vAlign w:val="bottom"/>
            <w:gridSpan w:val="7"/>
          </w:tcPr>
          <w:p>
            <w:pPr>
              <w:ind w:left="4540"/>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43,339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91,422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Tax incentive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105,510</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3,796</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$0.001 par value per share; 5,000,000 shares authorized as of March 31, 2018 and December 31, 2017;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 shares issued and outstanding as of March 31, 2018 and December 31, 2017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tcPr>
          <w:p>
            <w:pPr>
              <w:ind w:left="340"/>
              <w:spacing w:after="0" w:line="201" w:lineRule="exact"/>
              <w:rPr>
                <w:sz w:val="20"/>
                <w:szCs w:val="20"/>
                <w:color w:val="auto"/>
              </w:rPr>
            </w:pPr>
            <w:r>
              <w:rPr>
                <w:rFonts w:ascii="Arial" w:cs="Arial" w:eastAsia="Arial" w:hAnsi="Arial"/>
                <w:sz w:val="18"/>
                <w:szCs w:val="18"/>
                <w:color w:val="auto"/>
                <w:w w:val="94"/>
              </w:rPr>
              <w:t>Common stock, $0.001 par value per share; 115,000,000 shares authorized as of March 31, 2018 and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520"/>
              <w:spacing w:after="0"/>
              <w:rPr>
                <w:sz w:val="20"/>
                <w:szCs w:val="20"/>
                <w:color w:val="auto"/>
              </w:rPr>
            </w:pPr>
            <w:r>
              <w:rPr>
                <w:rFonts w:ascii="Arial" w:cs="Arial" w:eastAsia="Arial" w:hAnsi="Arial"/>
                <w:sz w:val="18"/>
                <w:szCs w:val="18"/>
                <w:color w:val="auto"/>
                <w:w w:val="95"/>
              </w:rPr>
              <w:t>2017; 27,558,883 and 27,489,457 shares issued and outstanding as of March 31, 2018 and December 31,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370,551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(305,533)</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Foreign currency transaction gains (losses),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27,541,594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27,350,673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(15,956)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(15,947</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(15,956)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interest expense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Unrealized foreign currency transaction losses (gains)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Premium on marketable securities</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premium on marketable securities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420"/>
              <w:spacing w:after="0"/>
              <w:rPr>
                <w:sz w:val="20"/>
                <w:szCs w:val="20"/>
                <w:color w:val="auto"/>
              </w:rPr>
            </w:pPr>
            <w:r>
              <w:rPr>
                <w:rFonts w:ascii="Arial" w:cs="Arial" w:eastAsia="Arial" w:hAnsi="Arial"/>
                <w:sz w:val="18"/>
                <w:szCs w:val="18"/>
                <w:color w:val="auto"/>
              </w:rPr>
              <w:t>Tax incentive receivable</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4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sales and maturities of marketable securities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Repayments of notes payable</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40,777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45,731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Zafgen, Inc., or the Company, was incorporated on November 22, 2005 under the laws of the State of Delaware. The Company is a clinical-stage biopharmaceutical company leveraging its proprietary knowledge of the methionine aminopeptidase 2 (“MetAP2”) pathway to develop novel therapies for patients affected by a range of complex metabolic diseases. Zafgen has pioneered the study of MetAP2 inhibitors in both common and rare metabolic disorders, and its current disease areas of focus are type 2 diabetes, Prader-Willi syndrome (“PWS”) and liver diseases. The Company’s lead product candidate is ZGN-1061, a MetAP2 inhibitor with unique properties that maximize impact on metabolic parameters relevant to the treatment of type 2 diabetes and other related metabolic disorders, is in Phase 2 clinical development. In January 2018, the Company announced advancement of its highly optimized MetAP2 development candidate ZGN-1258, and in the first quarter of 2018, initiated investigational new drug (“IND”) application enabling nonclinical efforts for evaluation of ZGN-1258 in the treatment of people affected by PWS.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incurred losses and negative cash flows from operations since its inception. As of March 31, 2018, the Company had an accumulated deficit of $305.5 million. From its inception through March 31, 2018, the Company received net proceeds of $333.3 million from the sales of redeemable convertible preferred stock, the issuance of convertible promissory notes, the proceeds from its initial public offering (“IPO”) in June 2014 and its follow-on offering in January 2015. As disclosed in Note 5 to the condensed consolidated financial statements, the Company has a term loan with an aggregate principal balance of $20.0 million as of March 31, 2018. The loan agreement requires that the Company maintain certain minimum liquidity at all times, which as of March 31, 2018, was approximately $21.0 million. If the minimum liquidity covenant is not met, the Company may be required to repay the loans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its current operating plans, the Company believes its cash, cash equivalents and marketable securities of $89.1 million as of March 31, 2018 will be sufficient to fund its anticipated level of operations, capital expenditures and satisfy debt repayments for a period of at least one year from the issuance date of this Quarterly Report.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88"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condensed consolidated balance sheet as of December 31, 2017 was derived from the Company’s audited financial statements, but does not include all disclosures required by accounting principles generally accepted in the United States of America, or GAAP. The accompanying unaudited condensed consolidated financial statements as of March 31, 2018 and for the three months ended March 31, 2018 and 2017, have been prepared by the Company,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thereto for the year ended December 31, 2017, included in the Company’s Annual Report on Form 10-K, for the year ended December 31, 2017, on file with the SEC. In the opinion of management, all adjustments, consisting only of normal recurring adjustments necessary for a fair statement of the Company’s condensed consolidated financial position as of March 31, 2018 and condensed consolidated results of operations and cash flows for the three months ended March 31, 2018 and 2017 have been made. The results of operations for the three months ended March 31, 2018 are not necessarily indicative of the results of operations that may be expected for the year ending December 31, 2018.</w:t>
      </w:r>
    </w:p>
    <w:p>
      <w:pPr>
        <w:spacing w:after="0" w:line="277" w:lineRule="exact"/>
        <w:rPr>
          <w:sz w:val="20"/>
          <w:szCs w:val="20"/>
          <w:color w:val="auto"/>
        </w:rPr>
      </w:pPr>
    </w:p>
    <w:p>
      <w:pPr>
        <w:ind w:right="784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20" w:firstLine="456"/>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Basic net income (loss) per share is computed by dividing the net income (loss) attributable to common stockholders by the weighted average number of common shares outstanding for the period. Diluted net income (loss) per share attributable to common stockholders is computed by dividing the diluted net income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6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excluded the following common stock equivalents, outstanding as of March 31, 2018 and 2017, from the computation of diluted net loss per share for the three months ended March 31, 2018 and 2017 because they had an anti-dilutive impact due to the net loss incurred for the periods: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44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6740" w:type="dxa"/>
            <w:vAlign w:val="bottom"/>
          </w:tcPr>
          <w:p>
            <w:pPr>
              <w:spacing w:after="0"/>
              <w:rPr>
                <w:sz w:val="12"/>
                <w:szCs w:val="12"/>
                <w:color w:val="auto"/>
              </w:rPr>
            </w:pPr>
          </w:p>
        </w:tc>
        <w:tc>
          <w:tcPr>
            <w:tcW w:w="7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5,839,261</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4,048,377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6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5,852,654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4,064,974</w:t>
            </w:r>
          </w:p>
        </w:tc>
        <w:tc>
          <w:tcPr>
            <w:tcW w:w="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ind w:right="1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This guidance addresses the presentation and classification of certain cash receipts and cash payments in the statement of cash flows. This standard will be effective for annual periods beginning after December 15, 2017, and interim periods therein. The adoption of this guidance had no impact on the Company’s condensed consolidated financial statements as of and for the three months ended March 31, 2018.</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Scope of Modification Accounting</w:t>
      </w:r>
      <w:r>
        <w:rPr>
          <w:rFonts w:ascii="Arial" w:cs="Arial" w:eastAsia="Arial" w:hAnsi="Arial"/>
          <w:sz w:val="17"/>
          <w:szCs w:val="17"/>
          <w:color w:val="auto"/>
        </w:rPr>
        <w:t>. This guidance addresses which changes to the terms or conditions of a share-based payment award require an entity to apply modification accounting. This standard will be effective for annual periods beginning after December 15, 2017, and interim periods therein. The adoption of this guidance had no impact on the Company’s condensed consolidated financial statements as of and for the three months ended March 31, 2018.</w:t>
      </w:r>
    </w:p>
    <w:p>
      <w:pPr>
        <w:spacing w:after="0" w:line="276" w:lineRule="exact"/>
        <w:rPr>
          <w:sz w:val="20"/>
          <w:szCs w:val="20"/>
          <w:color w:val="auto"/>
        </w:rPr>
      </w:pPr>
    </w:p>
    <w:p>
      <w:pPr>
        <w:ind w:right="71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40" w:firstLine="456"/>
        <w:spacing w:after="0" w:line="254" w:lineRule="auto"/>
        <w:rPr>
          <w:sz w:val="20"/>
          <w:szCs w:val="20"/>
          <w:color w:val="auto"/>
        </w:rPr>
      </w:pPr>
      <w:r>
        <w:rPr>
          <w:rFonts w:ascii="Arial" w:cs="Arial" w:eastAsia="Arial" w:hAnsi="Arial"/>
          <w:sz w:val="18"/>
          <w:szCs w:val="18"/>
          <w:color w:val="auto"/>
        </w:rPr>
        <w:t>The following tables present information about the Company’s financial assets that have been measured at fair value as of March 31, 2018 and December 31, 2017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months ended March 31, 2018 and the year ended December 31, 2017, there were no transfers between Level 1 and Level 2 financial assets.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tables summarize the Company’s cash equivalents and marketable securities as of March 31, 2018 and December 31, 2017:</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4"/>
              </w:rPr>
              <w:t>March 31, 2018</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Active</w:t>
            </w:r>
          </w:p>
        </w:tc>
        <w:tc>
          <w:tcPr>
            <w:tcW w:w="4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right="8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$28,311</w:t>
            </w:r>
          </w:p>
        </w:tc>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$28,311</w:t>
            </w: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6,089</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60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28,311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27,214</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27,214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600" w:type="dxa"/>
            <w:vAlign w:val="bottom"/>
          </w:tcPr>
          <w:p>
            <w:pPr>
              <w:jc w:val="right"/>
              <w:spacing w:after="0"/>
              <w:rPr>
                <w:sz w:val="20"/>
                <w:szCs w:val="20"/>
                <w:color w:val="auto"/>
              </w:rPr>
            </w:pPr>
            <w:r>
              <w:rPr>
                <w:rFonts w:ascii="Arial" w:cs="Arial" w:eastAsia="Arial" w:hAnsi="Arial"/>
                <w:sz w:val="18"/>
                <w:szCs w:val="18"/>
                <w:color w:val="auto"/>
              </w:rPr>
              <w:t>16,125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16,125</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marketable securities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43,339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cash equivalents and marketable securities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78,937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28,311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50,626</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Quoted</w:t>
            </w:r>
          </w:p>
        </w:tc>
        <w:tc>
          <w:tcPr>
            <w:tcW w:w="480" w:type="dxa"/>
            <w:vAlign w:val="bottom"/>
          </w:tcPr>
          <w:p>
            <w:pPr>
              <w:spacing w:after="0"/>
              <w:rPr>
                <w:sz w:val="10"/>
                <w:szCs w:val="10"/>
                <w:color w:val="auto"/>
              </w:rPr>
            </w:pP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Active</w:t>
            </w:r>
          </w:p>
        </w:tc>
        <w:tc>
          <w:tcPr>
            <w:tcW w:w="4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center"/>
              <w:ind w:right="8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$15,802</w:t>
            </w:r>
          </w:p>
        </w:tc>
        <w:tc>
          <w:tcPr>
            <w:tcW w:w="86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$15,802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60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15,802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50,844</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50,844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9,951</w:t>
            </w:r>
          </w:p>
        </w:tc>
        <w:tc>
          <w:tcPr>
            <w:tcW w:w="26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9,951</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Total marketable securities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61,275</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 and marketable securities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78,624</w:t>
            </w:r>
          </w:p>
        </w:tc>
        <w:tc>
          <w:tcPr>
            <w:tcW w:w="86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62,822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74"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marketable securities as of March 31, 2018 and December 31, 2017:</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4"/>
              </w:rPr>
              <w:t>March 31, 2018</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Corporate bonds (due within 1 year)</w:t>
            </w:r>
          </w:p>
        </w:tc>
        <w:tc>
          <w:tcPr>
            <w:tcW w:w="3160" w:type="dxa"/>
            <w:vAlign w:val="bottom"/>
            <w:gridSpan w:val="3"/>
          </w:tcPr>
          <w:p>
            <w:pPr>
              <w:jc w:val="right"/>
              <w:ind w:right="500"/>
              <w:spacing w:after="0"/>
              <w:rPr>
                <w:sz w:val="20"/>
                <w:szCs w:val="20"/>
                <w:color w:val="auto"/>
              </w:rPr>
            </w:pPr>
            <w:r>
              <w:rPr>
                <w:rFonts w:ascii="Arial" w:cs="Arial" w:eastAsia="Arial" w:hAnsi="Arial"/>
                <w:sz w:val="18"/>
                <w:szCs w:val="18"/>
                <w:color w:val="auto"/>
              </w:rPr>
              <w:t>$ 27,250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$27,214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(due within 1 year)</w:t>
            </w:r>
          </w:p>
        </w:tc>
        <w:tc>
          <w:tcPr>
            <w:tcW w:w="3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16,136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$ 43,386</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(47)</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1"/>
              </w:rPr>
              <w:t>December 31, 2017</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Corporate bonds (due within 1 year)</w:t>
            </w:r>
          </w:p>
        </w:tc>
        <w:tc>
          <w:tcPr>
            <w:tcW w:w="3160" w:type="dxa"/>
            <w:vAlign w:val="bottom"/>
            <w:gridSpan w:val="3"/>
          </w:tcPr>
          <w:p>
            <w:pPr>
              <w:jc w:val="right"/>
              <w:ind w:right="500"/>
              <w:spacing w:after="0"/>
              <w:rPr>
                <w:sz w:val="20"/>
                <w:szCs w:val="20"/>
                <w:color w:val="auto"/>
              </w:rPr>
            </w:pPr>
            <w:r>
              <w:rPr>
                <w:rFonts w:ascii="Arial" w:cs="Arial" w:eastAsia="Arial" w:hAnsi="Arial"/>
                <w:sz w:val="18"/>
                <w:szCs w:val="18"/>
                <w:color w:val="auto"/>
              </w:rPr>
              <w:t>$ 50,892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$50,844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(due within 1 year)</w:t>
            </w:r>
          </w:p>
        </w:tc>
        <w:tc>
          <w:tcPr>
            <w:tcW w:w="3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9,961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Certificates of deposit (due within 1 year)</w:t>
            </w:r>
          </w:p>
        </w:tc>
        <w:tc>
          <w:tcPr>
            <w:tcW w:w="20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$ 61,333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61,275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0" w:type="dxa"/>
            <w:vAlign w:val="bottom"/>
            <w:vMerge w:val="restart"/>
          </w:tcPr>
          <w:p>
            <w:pPr>
              <w:jc w:val="right"/>
              <w:ind w:right="850"/>
              <w:spacing w:after="0"/>
              <w:rPr>
                <w:sz w:val="20"/>
                <w:szCs w:val="20"/>
                <w:color w:val="auto"/>
              </w:rPr>
            </w:pPr>
            <w:r>
              <w:rPr>
                <w:rFonts w:ascii="Arial" w:cs="Arial" w:eastAsia="Arial" w:hAnsi="Arial"/>
                <w:sz w:val="18"/>
                <w:szCs w:val="18"/>
                <w:color w:val="auto"/>
              </w:rPr>
              <w:t>11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0" w:right="6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Accrued Expenses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as of March 31, 2018 and December 31, 2017:</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300" w:type="dxa"/>
            <w:vAlign w:val="bottom"/>
            <w:gridSpan w:val="3"/>
          </w:tcPr>
          <w:p>
            <w:pPr>
              <w:ind w:left="1660"/>
              <w:spacing w:after="0"/>
              <w:rPr>
                <w:sz w:val="20"/>
                <w:szCs w:val="20"/>
                <w:color w:val="auto"/>
              </w:rPr>
            </w:pPr>
            <w:r>
              <w:rPr>
                <w:rFonts w:ascii="Arial" w:cs="Arial" w:eastAsia="Arial" w:hAnsi="Arial"/>
                <w:sz w:val="14"/>
                <w:szCs w:val="14"/>
                <w:b w:val="1"/>
                <w:bCs w:val="1"/>
                <w:color w:val="auto"/>
                <w:w w:val="95"/>
              </w:rPr>
              <w:t>March 31,</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17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Accrued other</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r>
      <w:tr>
        <w:trPr>
          <w:trHeight w:val="216"/>
        </w:trPr>
        <w:tc>
          <w:tcPr>
            <w:tcW w:w="48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6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9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entering into this Term Loan, the Company is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March 31, 2018 was 4.75%.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13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Additionally, the Company, as the borrower, is required to maintain a minimum cash, cash equivalents and marketable securities balance at Silicon Valley Bank of no less than 105% of the total outstanding principal balance of the Term Loan, which as of March 31, 2018 and December 31, 2017 was $21.0 million.</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as of 45 days after the Term Loan was entered in, the Company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3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permit the aggregate value of cash maintained by its Australian subsidiary not to exceed $4.0 million and certain other business transactions.</w:t>
      </w:r>
    </w:p>
    <w:p>
      <w:pPr>
        <w:spacing w:after="0" w:line="1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and December 31, 2017, notes payable was $20.2 million and $20.0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estimated future principal payments due are as follows: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8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10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80" w:type="dxa"/>
            <w:vAlign w:val="bottom"/>
            <w:vMerge w:val="restart"/>
          </w:tcPr>
          <w:p>
            <w:pPr>
              <w:jc w:val="right"/>
              <w:ind w:right="305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2018, the Company recognized $0.5 million of interest expense related to the Term Loan. The effective annual interest rate of the outstanding debt under the Term Loan is approximately 9.2%.</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During the three months ended March 31, 2017, the Company recognized $0.1 million of interest expense related to amounts due under its 2014 Credit Facility, which was repaid in full in December 2017. The effective annual interest rate of the debt under the 2014 Credit Facility was approximately 10.8%.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also has outstanding stock-based awards under its Amended and Restated 2006 Stock Option Plan but is no longer granting awards under this plan. As of March 31, 2018, 1,677,858 shares are available for grant under the 2014 Plan, including 1,099,578 shares automatically added to the 2014 Stock Option Plan on January 1, 2018.</w:t>
      </w:r>
    </w:p>
    <w:p>
      <w:pPr>
        <w:spacing w:after="0" w:line="17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Company recorded stock-based compensation expense related to stock options and restricted common stock in the following expense categories within its condensed consolidated statements of operations for the three months ended March 31, 2018 and 2017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CEEFF"/>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6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62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firstLine="456"/>
        <w:spacing w:after="0" w:line="271" w:lineRule="auto"/>
        <w:rPr>
          <w:sz w:val="20"/>
          <w:szCs w:val="20"/>
          <w:color w:val="auto"/>
        </w:rPr>
      </w:pPr>
      <w:r>
        <w:rPr>
          <w:rFonts w:ascii="Arial" w:cs="Arial" w:eastAsia="Arial" w:hAnsi="Arial"/>
          <w:sz w:val="17"/>
          <w:szCs w:val="17"/>
          <w:color w:val="auto"/>
        </w:rPr>
        <w:t>The Company has a lease for office space in Boston, Massachusetts, effective as of July 28, 2014, with a term expiring July 31, 2017 and an option to extend the lease for three additional years. In March 2015, the Company entered into an operating lease for additional office space in Boston, Massachusetts, effective as of April 15, 2015, with a term expiring on July 31, 2017, and two options to extend this lease for three additional years each. In January 2017, the Company extended the leases for both office spaces in Boston, Massachusetts with new terms expiring on July 31, 2020. In addition, with the landlord’s consent, the Company has subleased 2,976 square feet of office space in Boston, Massachusetts to an unrelated third party beginning on January 1, 2017 and expiring on December 31, 2018, and the Company expects to receive approximately $0.2 million in sublease rental income. In October 2015, the Company entered into an operating lease for office space in San Diego, California, effective as of October 1, 2015, with a term expiring on September 30, 2019, and an option to extend this lease for five additional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for its operating leases as of March 31, 2018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(April - December)</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1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1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vMerge w:val="restart"/>
          </w:tcPr>
          <w:p>
            <w:pPr>
              <w:jc w:val="right"/>
              <w:ind w:right="315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2018 and 2017, the Company recognized $0.1 million of rental expense related to office space.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March 31, 2018,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There were no milestones achieved during the three months ended March 31, 2018 and 2017. The Company is also obligated to pay to the licensors a percentage of fees received if and when the Company sublicenses the technology. As of March 31, 2018, the Company has not yet developed a commercial product using the licensed technologies and it has not entered into any sublicense agreements for the technologies.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March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 The Company terminated its Savings Incentive Match Plan, or SIMPLE IRA as of December 31,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2018, the Company recognized $0.1 million of expense related to its contributions to the 401(k) plan.</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three months ended March 31, 2017, the Company recognized less than $0.1 million of expense related to its contributions to the SIMPLE IRA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Australia Research and Development Tax Incentive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three months ended March 31, 2018 and 2017, $0.6 million and nil, respectively, were recorded as a reduction to research and development expenses in the condensed consolidated statements of operations. These amounts represented 43.5% of the Company’s qualified research and development spending in Australia. The refund is denominated in Australian dollars and, therefore, the related receivable is re-measured into U.S. dollars as of each reporting date. For the three months ended March 31, 2018 and 2017, the Company recorded in its condensed consolidated statements of operations unrealized foreign currency exchange gains (losses) of less than $0.1 million related to this tax incentive receivable. As of March 31, 2018 and December 31, 2017, the Company’s tax incentive receivable from the Australian government was $1.5 million and $0.9 million, respectively.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2017 included in our Annual Report on Form 10-K for the year ended December 31, 2017,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3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type 2 diabetes, Prader-Willi syndrome, or PWS, and potentially other metabolically related disorders.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type 2 diabetes and other related metabolic disorders.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In this Phase 1 assessment ZGN-1061 demonstrated rapid drug absorption and clearance in line with criteria established in advance for the molecule and had a favorable tolerability profile with no safety signals identified, including no evidence of pro-thrombotic effects. The data show that ZGN-1061 treatment causes improvements across multiple metabolic measures consistent with MetAP2 inhibition, and patients in the clinical trial experienced mean weight loss of up to approximately one pound per week. In the third quarter of 2017, we advanced ZGN-1061 into a Phase 2 clinical trial in both Australia and New Zealand, in patients with type 2 diabetes who are obese and are failing to respond adequately to current therapies. In March 2018, we reported results of an interim analysis of this clinical trial. The early safety and preliminary efficacy readout from this interim analysis indicate that 0.9 mg ZGN-1061 lacked safety signals, was well-tolerated, and was effective in improving glycemic control. We expect to report full results of the core part of this clinical trial mid-year 2018, and the results of the entire trial, including the additional 1.8 mg dose arm recently added to the trial, early in 2019. In January 2018, we announced advancement of our highly optimized MetAP2 development candidate ZGN-1258, and in the first quarter of 2018, initiated investigational new drug, or IND, application enabling nonclinical efforts for evaluation in the treatment of people affected by PWS. We anticipate filing an IND application with the U.S. Food and Drug Administration, or FDA, for ZGN-1258, and beginning Phase 1 clinical development by the end of 2018.</w:t>
      </w:r>
    </w:p>
    <w:p>
      <w:pPr>
        <w:spacing w:after="0" w:line="134"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ZGN-1061 was discovered by our researchers as part of a multi-year campaign to identify novel compounds that avoided limiting nonclinical safety concerns observed with our first-generation compound. ZGN-1061 has similar potency, and range of desired pharmacological activities in animal models as other MetAP2 inhibitors, including the Company’s first generation MetAP2 inhibitor, beloranib. However, ZGN-1061 displays broadly improved safety margins in nonclinical studies, supporting the value of the compound as a more highly optimized drug product candidate.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6" w:name="page17"/>
    <w:bookmarkEnd w:id="16"/>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stimulating use of glucose and fats as an energy source. In the setting of type 2 diabetes, these processes lead to improvement of glycemic control.</w:t>
      </w:r>
    </w:p>
    <w:p>
      <w:pPr>
        <w:spacing w:after="0" w:line="1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ZGN-1258 was also discovered by our researchers as part of a multi-year campaign to identify novel compounds that avoided limiting nonclinical safety concerns observed with our first-generation compound. ZGN-1258 has similar potency, and range of desired pharmacological activities in animal models as other MetAP2 inhibitors, including beloranib. However, ZGN-1258 displays broadly improved safety margins in nonclinical studies, supporting the value of the compound as a more highly optimized drug product candidate.</w:t>
      </w:r>
    </w:p>
    <w:p>
      <w:pPr>
        <w:spacing w:after="0" w:line="13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ZGN-1258 acts through potent inhibition of MetAP2. Like other MetAP2 inhibitors, ZGN-1258 modulates the activity of key cellular processes that control metabolism and impact lipid synthesis and storage throughout the body and leads to increase use of stored fats as an energy source. ZGN-1258 displays enhanced uptake into the brain and displays greater potency and activity in animal models of hyperphagic behaviors relative to other compounds including ZGN-1061. These differences support the use of ZGN-1258 in indications such as PWS, in which brain activity is likely to be more important for therapeutic effect. Treatment of obese and hyperphagic animals with ZGN-1258 leads to reduction in both pathologic food intake and rapid body weight loss, making it of interest in the treatment of severe forms of human obesity.</w:t>
      </w:r>
    </w:p>
    <w:p>
      <w:pPr>
        <w:spacing w:after="0" w:line="13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beloranib, ZGN-839, ZGN-1258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During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w:t>
      </w:r>
    </w:p>
    <w:p>
      <w:pPr>
        <w:spacing w:after="0" w:line="13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$305.5 million as of March 31, 2018. Our net loss was $16.0 million for the three months ended March 31, 2018 and $52.0 million for the year ended December 31, 2017. These losses have resulted principally from costs incurred in connection with in-licensing of beloranib, research and development activities and general and administrative costs associated with our operations. We expect to incur significant expenses and operating losses for the foreseeable future.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jc w:val="both"/>
        <w:ind w:right="1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that our existing cash, cash equivalents and marketable securities as of March 31, 2018, will enable us to fund our operating expenses and capital expenditure requirements for a period of at least one year from the issuance date of this Quarterly Report. See “—Liquidity and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majority of our operating expenses since inception have consisted primarily of research and development activities, and general and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Currently, we are primarily focused on developing ZGN-1061, ZGN-1258 and are conducting other early research activities. We typically use our employee, consultant and infrastructure resources across our research and development programs. We track outsourced research and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9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18" w:name="page19"/>
    <w:bookmarkEnd w:id="18"/>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2018 as compared to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equivalents and marketable securities. Our interest income has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due to low interest earned on invested balances. We anticipate that our interest income will decrease as we continue to incur operating losses.</w:t>
      </w:r>
    </w:p>
    <w:p>
      <w:pPr>
        <w:spacing w:after="0" w:line="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during the three months ended March 31, 2018 relates to the Term Loan of $20.0 million, which closed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Interest expense during the three months ended March 31, 2017, relates to outstanding borrowings under the loan and security agreement with Oxford Finance LLC and Midcap Financial, or the 2014 Credit Facility, consisting of the stated interest of 8.1% per year due on outstanding borrowings, a final payment of 6% of amounts drawn down that was recorded as interest expense over the term through the maturity date using the effective-interest method, the amortization of deferred financing costs, the accretion of debt discounts relating to the 2014 Credit Facility.</w:t>
      </w:r>
    </w:p>
    <w:p>
      <w:pPr>
        <w:spacing w:after="0" w:line="117"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w:t>
      </w:r>
    </w:p>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22, 2017, the Tax Cuts and Jobs Act, or the TCJA, was signed into United States law. The TCJA includes a number of changes to existing tax law, including, among other things, a permanent reduction in the federal corporate income tax rate from a top marginal rate of 34% down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a reduction in the gross amount of our deferred tax assets recorded as of December 31, 2017 with an offsetting reduction in the related valuation allowance, resulting in no income tax expense or benefit being recognized as of the enactment date of the TCJA. In accordance with guidance in SEC Staff Accounting Bulletin No. 118, the final determination of the remeasurement of our deferred assets and liabilities will be completed as additional information becomes available, but no later than one year from the date of enactment of the 2017 Tax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2018 and 2017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11"/>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center"/>
              <w:ind w:right="50"/>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12,433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9,677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15,702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13,265</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(15,702)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(13,265)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(2,437)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32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(15,956)</w:t>
            </w:r>
          </w:p>
        </w:tc>
        <w:tc>
          <w:tcPr>
            <w:tcW w:w="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(13,011)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(2,945)</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ZGN-1061: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Nonclinical and manufacturing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720"/>
              <w:spacing w:after="0"/>
              <w:rPr>
                <w:sz w:val="20"/>
                <w:szCs w:val="20"/>
                <w:color w:val="auto"/>
              </w:rPr>
            </w:pPr>
            <w:r>
              <w:rPr>
                <w:rFonts w:ascii="Arial" w:cs="Arial" w:eastAsia="Arial" w:hAnsi="Arial"/>
                <w:sz w:val="18"/>
                <w:szCs w:val="18"/>
                <w:color w:val="auto"/>
              </w:rPr>
              <w:t>Clinical trials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(1,342)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ZGN-1258</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Discovery and screening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32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7,529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stock-based compensation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32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4,904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Research and development expenses for the three months ended March 31, 2018 increased $2.8 million compared to the three months ended March 31, 2017. The increase was primarily due to an increase of $1.6 million related to our ZGN-1258 program, an increase in discovery and screening expenses of $1.3 million, as well as an increase in our unallocated expenses of $1.1 million, partially offset by decreased costs of $1.3 million associated with our ZGN-1061 program.</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Costs associated with our ZGN-1258 program are new as we announced the advancement of this program in January 2018, and in the first quarter of 2018, initiated investigational new drug, or IND, application enabling nonclinical efforts, for evaluation of ZGN-1258 in the treatment of people affected by PWS. Our discovery and screening costs have increased period over period. Based on our experience in MetAP2 inhibitor development, we are now exploring new chemical approaches to identity new molecules targeting the liver for treatment of metabolic liver diseases.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0" w:name="page21"/>
    <w:bookmarkEnd w:id="20"/>
    <w:p>
      <w:pPr>
        <w:ind w:right="6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Unallocated expenses increased period over period primarily due to an increase of $0.7 million in non-cash stock-based compensation, as well as an increase in personnel related costs of $0.5 million. Non-cash stock-based compensation has increased primarily due to personnel transfers between functional areas. Personnel related expenses increased primarily due to the hire of three employees from April 2017 to January 2018.</w:t>
      </w:r>
    </w:p>
    <w:p>
      <w:pPr>
        <w:spacing w:after="0" w:line="1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Costs associated with our ZGN-1061 program decreased period over period by $1.3 million, primarily due to a decrease in nonclinical and manufacturing costs of $2.4 million. During the 2017 period, costs increased primarily as a result of additional nonclinical studies and drug product and drug substance activities, as we were planning for our Phase 2 clinical trial which commenced in the third quarter of 2017 in both Australia and New Zealand, for which we enrolled 137 patients in a 12 week clinical trial. Partially offsetting the decrease in nonclinical and manufacturing costs of our ZGN-1061 program is an increase in costs associated with our clinical trials for our ZGN-1061 program of $1.0 million. The expenses during the 2017 period were for final costs for a Phase 1 clinical trial of ZGN-1061 in the Netherlands, which was comprised of 39 patients in a single ascending dose, or SAD, portion and 29 patients in a multiple ascending dose, or MAD, portion, while the expenses during the 2018 period are for the larger Phase 2 clinical trial.</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w w:val="93"/>
              </w:rPr>
              <w:t>Three Months Ended March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0"/>
                <w:szCs w:val="10"/>
                <w:color w:val="auto"/>
              </w:rPr>
            </w:pPr>
          </w:p>
        </w:tc>
        <w:tc>
          <w:tcPr>
            <w:tcW w:w="6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3,588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General and administrative expenses for the three months ended March 31, 2018 decreased $0.3 million compared to the three months ended March 31, 2017. The decrease was due to decreases in non-cash stock-based compensation expense of $0.2 million and professional fees of $0.1 million. Non-cash stock-based compensation expense decreased due mainly to personnel transfers between functional areas. Professional fees decreased primarily due to lower legal fees related to the First Circuit Court of Appeals, which affirmed the dismissal with prejudice of the class action lawsuit on April 7, 2017.</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March 31, 2018 and 2017 was $0.5 million and $0.1 million, respectively.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relates to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 The 2017 period relates to borrowings under the loan and security agreement with Oxford Finance LLC and Midcap Financial, or the 2014 Credit Facility, which was repaid in full in December 2017.</w:t>
      </w:r>
    </w:p>
    <w:p>
      <w:pPr>
        <w:spacing w:after="0" w:line="13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$0.3 million and $0.2 million for the three months ended March 31, 2018 and 2017,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(losses) of $(0.1) million and $0.1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and 2017,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March 31, 2018, we had cash, cash equivalents and marketable securities totaling $89.1 million. We invest our cash in money market funds, commercial paper and corporate bonds, with the primary objectives to preserve principal, provide liquidity and maximize income without significantly increasing risk.</w:t>
      </w:r>
    </w:p>
    <w:p>
      <w:pPr>
        <w:spacing w:after="0" w:line="12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Since our inception in November 2005, we have not generated any revenue and have incurred recurring net losses. As of March 31, 2018, we had an accumulated deficit of $305.5 million. Prior to our IPO in June 2014, we funded our operations primarily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sales of redeemable convertible preferred stock and, to a lesser extent, through the issuances of convertible promissory notes and a loan security agreement. From our inception through our IPO in June 2014, we received gross proceeds of $104.0 million from such transactions. During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2017, we had fully repaid all outstanding amounts due the 2014 Credit Facility, which we had entered into in March 2014.</w:t>
      </w:r>
    </w:p>
    <w:p>
      <w:pPr>
        <w:spacing w:after="0" w:line="23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Upon entering into this Term Loan, we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4.75% at March 31, 2018. In addition, a final payment equal to 8.0% of the Term Loan is due upon the earlier of the maturity date, acceleration of the term loans or prepayment of all or part of the term loans. We accrue the final payment amount of $1.6 million, to outstanding debt by charges to interest expense using the effective-interest method from the date of issuance through the maturity date.</w:t>
      </w:r>
    </w:p>
    <w:p>
      <w:pPr>
        <w:spacing w:after="0" w:line="158"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Additionally, we, as the borrower, are required to maintain a minimum cash, cash equivalents and marketable securities balance at Silicon Valley Bank of no less than 105% of the total outstanding principal balance of the Term Loan, which as of March 31, 2018 and December 31, 2017 was $21.0 million.</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(13,265)</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(11,679)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8,691</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During the three months ended March 31, 2018, operating activities used $13.3 million of cash, resulting from our net loss of $16.0 million, partially offset by non-cash charges of $2.5 million and changes in our operating assets and liabilities of $0.2 million. Our net loss was primarily attributed to research and development activities related to our ZGN-1061 program, our ZGN-1258 program, discovery and screening and our general and administrative expenses. Our net non-cash charges during the three months ended March 31, 2018, consisted primarily of stock-based compensation expense of $2.5 million. Net cash used in changes in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assets and liabilities during the three months ended March 31, 2018, consisted primarily of a $0.8 million increase in accounts payable and a decrease in prepaids and other current assets of $0.5 million, partially offset by a $0.6 million increase in tax incentive receivable and a $0.5 million decrease in accrued expenses.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During the three months ended March 31, 2017, operating activities used $11.7 million of cash, resulting from our net loss of $13.0 million and changes in our operating assets and liabilities of $0.6 million, partially offset by non-cash charges of $1.9 million. Our net loss was primarily attributed to research and development activities related to our ZGN-1061 program and our general and administrative expenses. Our net non-cash charges during the three months ended March 31, 2017, consisted primarily of stock-based compensation expense of $2.0 million. Net cash used in changes in our operating assets and liabilities during the three months ended March 31, 2017, consisted primarily of a $0.6 million decrease in accounts payable and accrued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three months ended March 31, 2018, investing activities provided $18.0 million of cash resulting from proceeds from sales and maturities of marketable securities of $30.8 million, offset by the use of cash for purchases of marketable securities of $12.9 million.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the three months ended March 31, 2017, investing activities provided $8.7 million of cash resulting from proceeds from sales and maturities of marketable securities of $41.5 million, offset primarily by the use of cash for purchases of marketable securities of $32.8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of $0.3 million was the result of proceeds relating to the exercise of common stock options and common stock purchased under our 2014 Employee Stock Purchase Plan.</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three months ended March 31, 2017, financing activities used $0.8 million for payments related to our notes payable, partially offset by less than $0.1 million received from proceeds relating to common stock purchased under our 2014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ZGN-1061 is currently in Phase 2 clinical development and ZGN-1258 is in nonclinical development, therefore we expect to continue to incur significant expenses and operating losses for the foreseeable future. We anticipate that we will continue to incur expenses, if and as we:</w:t>
      </w:r>
    </w:p>
    <w:p>
      <w:pPr>
        <w:spacing w:after="0" w:line="5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ZGN-1258 through nonclinical development and into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indications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our existing cash, cash equivalents and marketable securities as of March 31, 2018,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ZGN-1061 and ZGN-1258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and ZGN-1258 will depend on many factors, including:</w:t>
      </w:r>
    </w:p>
    <w:p>
      <w:pPr>
        <w:spacing w:after="0" w:line="9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to which we acquire or in-license other products, product candidates, or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2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During the three months ended March 31, 2018,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During the periods presented we did not have and we currently do not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5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Recently Issued Accounting Pronouncements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“Financial Statements and Supplementary Data,” of this Quarterly Report for a description of recent accounting pronouncements applicable to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cash, cash equivalents, and marketable securities as of March 31, 2018 consisted of cash, corporate bonds, commercial paper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March 31, 2018, the net fair value of our interest-sensitive financial instruments would have resulted in a hypothetical decline of less than $0.1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(losses) of $(0.1) million and $0.1 million were recorded for the three months ended March 31, 2018 and 2017, respectively.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our largest foreign currency exposures are those with respect to the Australian dollar. Relative to foreign currency exposures existing as of March 31, 2018, a 10% unfavorable movement in foreign currency exchange rates would expose us to an increased net loss. For the year ended March 31, 2018, we estimated that a 10% unfavorable movement in foreign currency exchange rates would have increased our net loss by $0.2 million. This amount is based on a sensitivity analysis performed on our financial position as of March 31, 2018. We have experienced and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Management’s Evaluation of our Disclosure Controls and Procedures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w:t>
      </w:r>
    </w:p>
    <w:p>
      <w:pPr>
        <w:ind w:right="10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9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2018, our disclosure controls and procedures were effective at the reasonable assurance level.</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the three months ended March 31, 2018,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Phase 1 and is currently in Phase 2 clinical development. We cannot be certain that we will be able to obtain regulatory approval for ZGN-1061, or successfully commercialize ZGN-1061 if approved.</w:t>
      </w:r>
    </w:p>
    <w:p>
      <w:pPr>
        <w:spacing w:after="0" w:line="4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or IND, application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2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FDA and certain European regulatory authorities may delay, limit or deny approval of ZGN-1061 for many reasons, including, among others:</w:t>
      </w:r>
    </w:p>
    <w:p>
      <w:pPr>
        <w:spacing w:after="0" w:line="10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accept our IND application for ZGN-1061 or may put it on clinical hold;</w:t>
      </w:r>
    </w:p>
    <w:p>
      <w:pPr>
        <w:spacing w:after="0" w:line="9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3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26" w:name="page27"/>
    <w:bookmarkEnd w:id="26"/>
    <w:p>
      <w:pPr>
        <w:ind w:left="900" w:right="1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30"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currently have only one product candidate in clinical development, ZGN-1061, which has completed Phase 1 clinical development in the Netherlands and is in Phase 2 clinical development in Australia and New Zealand, and our business currently depends primarily on its successful clinical development, regulatory approval and commercialization. We recently announced a new product candidate, ZGN-1258, which is in nonclinical development. We expect to initially develop ZGN-1258 as a treatment for Prader-Willi syndrome, or PWS. Before our product candidates can be marketed, our IND application must go into effect permitting the conduct of clinical trials, then we must successfully complete human testing. The FDA and other comparable foreign regulatory agencies must approve our NDA or comparable regulatory submissions. Even after successful completion of clinical testing, there is a risk that the FDA may request further information from us, disagree with our findings or otherwise undertake a lengthy review of our submission. Even if the FDA approves our NDA, we may be unable to successfully commercialize our product candidates.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It is possible, that the FDA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Favorable results from nonclinical studies, our Phase 1 clinical trial of ZGN-1061 and interim analysis of our Phase 2 clinical trial of ZGN-1061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Favorable results from our nonclinical studies of ZGN-1061, our Phase 1 clinical trial and interim analysis of our Phase 2 clinical trial of ZGN-1061 may not necessarily be predictive of the results from ongoing and later-stage clinical trials. To date we have shown that ZGN-1061 has similar potency against the MetAP2 target and similar activity in rodent models compared to beloranib. Toxicology studies in multiple species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 no margin for embryofetal toxicity. Further in our Phase 1 clinical trial, ZGN-1061 demonstrated rapid drug absorption and clearance in line with criteria established in advance for the molecule and has a favorable tolerability profile with no safety signals identified, including no evidence of pro-thrombotic effects. The data show that ZGN-1061 improves multiple metabolic measures consistent with MetAP2 inhibition, and patients in the clinical trial experienced mean weight loss of up to approximately one pound per week. In addition, data from the interim analysis of the Phase 2 clinical trial of ZGN-1061 demonstrated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4" w:right="319" w:bottom="1440" w:gutter="0" w:footer="0" w:header="0"/>
        </w:sectPr>
      </w:pPr>
    </w:p>
    <w:bookmarkStart w:id="27" w:name="page28"/>
    <w:bookmarkEnd w:id="27"/>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favorable glycated hemoglobin A1C, or A1C, effect at the 0.9 mg dose of ZGN-1061. However, we can provide no assurance that the results of our nonclinical studies, Phase 1 clinical trial of ZGN-1061 and interim analysis of our Phase 2 clinical trial of ZGN-1061 will be replicated in ongoing or later-stage clinical trials of ZGN-1061 or other nonclinical studies.</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ZGN-1258 as we saw with beloranib, and therefore, we are studying these parameters in nonclinical and clinical development of ZGN-1061 and ZGN-1258. In our Phase 1 clinical trial of ZGN-1061, the most common adverse events reported were mild gastrointestinal issues (comparable between ZGN-1061 and placebo groups), headache and procedural-related irritation. In addition, data from the interim analysis of the Phase 2 clinical trial of ZGN-1061 demonstrated an increase in A1C in some treatment groups between 8 weeks and 12 weeks, and it is unknown whether this effect would continue or worsen during the remainder of this clinical trial.</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Further, if ZGN-1061 or ZGN-1258 receive marketing approval and we or others identify undesirable side effects caused by the product (or any other similar product) after the approval, a number of potentially significant negative consequences could result, including:</w:t>
      </w:r>
    </w:p>
    <w:p>
      <w:pPr>
        <w:spacing w:after="0" w:line="76" w:lineRule="exact"/>
        <w:rPr>
          <w:sz w:val="20"/>
          <w:szCs w:val="20"/>
          <w:color w:val="auto"/>
        </w:rPr>
      </w:pPr>
    </w:p>
    <w:p>
      <w:pPr>
        <w:ind w:left="900" w:right="2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 or a precaution;</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or ZGN-1258 could result in increased costs to us and could delay, prevent or limit our ability to generate revenue and continue our business.</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ZGN-1061 has completed Phase 1 clinical development in the Netherlands and is in Phase 2 clinical development in Australia and New Zealand and will require substantial further clinical development before we can submit an NDA to the FDA or an MAA to the EMA for its marketing approval. ZGN-1258 is still in nonclinical development, and additional nonclinical work must be completed prior to filing the IND application with the FDA.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or ZGN-1258. We do not know whether any clinical trials for ZGN-1061 or ZGN-1258 will begin or be completed on schedule, if at all, as the commencement and completion of clinical trials can be delayed or prevented for a number of reasons, including, among others:</w:t>
      </w:r>
    </w:p>
    <w:p>
      <w:pPr>
        <w:spacing w:after="0" w:line="84" w:lineRule="exact"/>
        <w:rPr>
          <w:sz w:val="20"/>
          <w:szCs w:val="20"/>
          <w:color w:val="auto"/>
        </w:rPr>
      </w:pPr>
    </w:p>
    <w:p>
      <w:pPr>
        <w:ind w:left="900" w:right="4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and /or nonclinical studies;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right="9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75" w:lineRule="exact"/>
        <w:rPr>
          <w:rFonts w:ascii="Arial" w:cs="Arial" w:eastAsia="Arial" w:hAnsi="Arial"/>
          <w:sz w:val="18"/>
          <w:szCs w:val="18"/>
          <w:color w:val="auto"/>
        </w:rPr>
      </w:pPr>
    </w:p>
    <w:p>
      <w:pPr>
        <w:ind w:left="900" w:right="20" w:hanging="325"/>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from nonclinical, nonclinical or clinical testing of other therapies that raise safety or efficacy concerns.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9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86"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nonclinical or nonclinical studies, adverse side effects or lack of effectiveness;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regulatory requirements, FDA guidance or guidance from EMA, Australia or New Zealand or unanticipated events during our clinical trials of ZGN-1061 or ZGN-1258,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ZGN-1258 may be harmed and our ability to generate product revenue will be delayed.</w:t>
      </w:r>
    </w:p>
    <w:p>
      <w:pPr>
        <w:spacing w:after="0" w:line="2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future clinical trials for ZGN-1061 and ZGN-1258. If these third parties do not successfully carry out their contractual duties or meet expected deadlines, we may not be able to develop and obtain regulatory approval for or commercialize ZGN-1061 or ZGN-1258, and our business could be substantially harmed.</w:t>
      </w:r>
    </w:p>
    <w:p>
      <w:pPr>
        <w:spacing w:after="0" w:line="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ZGN-1258,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8"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ZGN-1258 may be delayed or our development program materially and irreversibly harmed. We cannot control the amount and timing of resources these investigators or CROs devote to our program, ZGN-1061, or will devote to ZGN-1258.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ind w:right="14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ZGN-1258. As a result, our financial results and the commercial prospects for ZGN-1061 or ZGN-1258 in the subject indications would be harmed, our costs could increase and our ability to generate revenue could be delayed.</w:t>
      </w:r>
    </w:p>
    <w:p>
      <w:pPr>
        <w:spacing w:after="0" w:line="2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ZGN-1258 will be adversely affected, possibly materially.</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no current comprehensive patient registry or other method of establishing with precision the actual number of patients with PWS in any geography. Published population studies estimate that the prevalence of PWS in the United States and in the European Union ranges from 1 in 8,000 to 1 in 50,000. If the actual number of patients with PWS is lower than we believe or if any approval that we obtain is based on a narrower definition of these patient populations, then the potential market for ZGN-1258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ZGN-1258,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rely completely on third-party suppliers to manufacture our clinical drug supplies for ZGN-1061 and ZGN-1258, and to the extent we elect to commercialize ZGN-1061 or ZGN-1258 on our own, we intend to rely on third parties to produce commercial supplies of such products, and nonclinical, clinical and commercial supplies of any future product candidate.</w:t>
      </w:r>
    </w:p>
    <w:p>
      <w:pPr>
        <w:spacing w:after="0" w:line="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do not currently have, nor do we currently plan to acquire, the infrastructure or capability to internally manufacture our clinical drug supply of ZGN-1061, ZGN-1258, or any future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5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the regulatory clearance of our CMOs’ facilities generally.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6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rely completely on third-party suppliers to manufacture our nonclinical and clinical drug supplies for ZGN-1061 and our nonclinical drug supplies and future clinical drug supplies for ZGN-1258. Currently each batch of ZGN-1061 and ZGN-1258 is individually contracted under a work order, which is governed by a quality and service agreement. The current drug substance manufacturing process will support nonclinical studies and early clinical trials and will be further optimized to support advanced clinical development and commercialization. Current drug substance, including key starting material, in inventory, is expected to support Phase 2 clinical trials of ZGN-1061 and ZGN-1258. A new formulation with longer shelf life has been developed and manufactured to support Phase 2 clinical development for ZGN-1061.</w:t>
      </w:r>
    </w:p>
    <w:p>
      <w:pPr>
        <w:spacing w:after="0" w:line="3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We may pursue marketing approval for certain of our product candidates in the United States, the European Union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European Union by April 2019, or Brexit.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2" w:name="page33"/>
    <w:bookmarkEnd w:id="32"/>
    <w:p>
      <w:pPr>
        <w:ind w:right="5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5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75" w:lineRule="exact"/>
        <w:rPr>
          <w:rFonts w:ascii="Arial" w:cs="Arial" w:eastAsia="Arial" w:hAnsi="Arial"/>
          <w:sz w:val="18"/>
          <w:szCs w:val="18"/>
          <w:color w:val="auto"/>
        </w:rPr>
      </w:pPr>
    </w:p>
    <w:p>
      <w:pPr>
        <w:ind w:left="900" w:right="9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type 2 diabetes therapies already approved or expected to be commercially launched in the near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3" w:name="page34"/>
    <w:bookmarkEnd w:id="33"/>
    <w:p>
      <w:pPr>
        <w:ind w:right="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2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ZGN-1258.</w:t>
      </w:r>
    </w:p>
    <w:p>
      <w:pPr>
        <w:spacing w:after="0" w:line="2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ZGN-1258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ZGN-1258. If we are not able to compete effectively against our current and future competitors, our business will not grow and our financial condition and operations will suffer.</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3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4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34" w:name="page35"/>
    <w:bookmarkEnd w:id="34"/>
    <w:p>
      <w:pPr>
        <w:ind w:right="1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healthcare laws and regulations, which could expose us to criminal sanctions, civil penalties, contractual damages, reputational harm and diminished profits and future earnings.</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ZGN-1061 or ZGN-1258,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ZGN-1258,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78" w:lineRule="exact"/>
        <w:rPr>
          <w:sz w:val="20"/>
          <w:szCs w:val="20"/>
          <w:color w:val="auto"/>
        </w:rPr>
      </w:pPr>
    </w:p>
    <w:p>
      <w:pPr>
        <w:ind w:left="900" w:right="14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52"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120" w:hanging="325"/>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900" w:right="200" w:hanging="325"/>
        <w:spacing w:after="0" w:line="27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76"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900" w:hanging="325"/>
        <w:spacing w:after="0" w:line="27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ZGN-1061 or ZGN-1258, if approved. If we receive marketing approval for ZGN-1061 or ZGN-1258,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ZGN-1258, if approved, we could become subject to significant liability, which would materially adversely affect our business and financial condition.</w:t>
      </w:r>
    </w:p>
    <w:p>
      <w:pPr>
        <w:sectPr>
          <w:pgSz w:w="11900" w:h="16838" w:orient="portrait"/>
          <w:cols w:equalWidth="0" w:num="1">
            <w:col w:w="11380"/>
          </w:cols>
          <w:pgMar w:left="240" w:top="274" w:right="279" w:bottom="1440" w:gutter="0" w:footer="0" w:header="0"/>
        </w:sectPr>
      </w:pP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274" w:right="2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 if approved, reimbursement policies could limit our ability to sell product candidates that we elect to sell on our own.</w:t>
      </w:r>
    </w:p>
    <w:p>
      <w:pPr>
        <w:spacing w:after="0" w:line="7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ACA has a significant impact on the health 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new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our business strategy, we may seek to obtain orphan drug designation for certain of our product candidates in the United States and the European Union.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1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the European Union, orphan drug designation also entitles a party to financial incentives such as reduction of fees or fee waivers. In addition, ten years of market exclusivity is granted following drug product approval, meaning that another application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6" w:name="page37"/>
    <w:bookmarkEnd w:id="36"/>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authorization of a later similar medicinal product for the same therapeutic indication will generally not be approved in the European Union. This period may be reduced to six years if the orphan drug designation criteria are no longer met, including where it is shown that the product is sufficiently profitable to not justify maintenance of market exclusivity.</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and ZGN-1258, may require substantial financial resources and may ultimately be unsuccessful.</w:t>
      </w:r>
    </w:p>
    <w:p>
      <w:pPr>
        <w:spacing w:after="0" w:line="6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lead product candidate ZGN-1061 has completed Phase 1 clinical development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still in nonclinical development. We believe that our cash, cash equivalents and marketable securities will be sufficient to fund operations for a period of at least one year from the issuance date of this Quarterly Report, but we will need to raise more funds to continue development and commercialization of ZGN-1061, ZGN-1258 and our other product candidates, which may not be easily available. Furthermore, any time, effort and financial resources we expend on our other early-stage development programs may adversely affect our ability to continue development and commercialization of ZGN-1061 and ZGN-1258,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As of April 30, 2018, we own one issued U.S patent, two pending U.S. patent applications, with pending foreign counterpart patent applications, one pending Patent Cooperation Treaty, or PCT, patent application, as well as two pending U.S. provisional patent applications that relate to ZGN-1061.</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April 30, 2018, we own one issued U.S. patent, two pending U.S. patent applications, and related worldwide patent applications, that relate to ZGN-1258.</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April 30, 2018, we own 19 issued U.S. patents, and 9 pending U.S. patent applications with pending foreign counterpart applications, all of which relate to our internal efforts to discover novel MetAP2 inhibitors.</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We cannot provide any assurances that any of our pending patent applications that mature into issued patents will include claims with a scope sufficient to protect ZGN-1061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and our other product candidates.</w:t>
      </w:r>
    </w:p>
    <w:p>
      <w:pPr>
        <w:spacing w:after="0" w:line="17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ind w:right="1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or ZGN-1258 are invalidated or found unenforceable, our financial position and results of operations would be materially and adversely impacted. In addition, if a court found that valid, enforceable patents held by third parties covered ZGN-1061 or ZGN-1258, our financial position and results of operations would also be materially and adversely impacted.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900" w:right="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or any other products or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develop and commercialize ZGN-1061 or ZGN-1258, if approved, before our relevant patents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or ZGN-1258, if approved.</w:t>
      </w:r>
    </w:p>
    <w:p>
      <w:pPr>
        <w:spacing w:after="0" w:line="62"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ZGN-1061, ZGN-1258,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ZGN-1258.</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38" w:name="page39"/>
    <w:bookmarkEnd w:id="38"/>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preparations or developing ZGN-1258;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42" w:lineRule="exact"/>
        <w:rPr>
          <w:rFonts w:ascii="Arial" w:cs="Arial" w:eastAsia="Arial" w:hAnsi="Arial"/>
          <w:sz w:val="17"/>
          <w:szCs w:val="17"/>
          <w:color w:val="auto"/>
        </w:rPr>
      </w:pPr>
    </w:p>
    <w:p>
      <w:pPr>
        <w:ind w:left="900" w:right="200" w:hanging="325"/>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39" w:name="page40"/>
    <w:bookmarkEnd w:id="39"/>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7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3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ind w:right="680"/>
        <w:spacing w:after="0" w:line="306"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to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not yet registered trademarks for a commercial trade name for ZGN-1061 or ZGN-1258 and failure to secure such registrations could adversely affect our business.</w:t>
      </w:r>
    </w:p>
    <w:p>
      <w:pPr>
        <w:spacing w:after="0" w:line="2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have not yet registered trademarks for a commercial trade name for ZGN-1061 or ZGN-1258.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3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or ZGN-1258,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7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22"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ZGN-1258 and other product candidates, which would materially adversely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particularly our current Chief Executive Officer and President and Chief Scientific Officer, and to attract, retain and motivate qualified personnel.</w:t>
      </w:r>
    </w:p>
    <w:p>
      <w:pPr>
        <w:spacing w:after="0" w:line="2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are highly dependent on Mr. Jeffrey Hatfield, our Chief Executive Officer and Dr. Thomas E. Hughes, our President and Chief Scientific Officer. We have entered into a severance and change in control agreement with each of Mr. Hatfield and Dr. Hughes, but either executive may terminate his employment with us at any time. Although we do not have any reason to believe that we will lose the services of Mr. Hatfield or Dr. Hughes in the foreseeable future, the loss of either executive’s services might impede the achievement of our research, development and commercialization objectives. We also do not have any key-man life insurance on Mr. Hatfield or Dr. Hughes.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41" w:name="page42"/>
    <w:bookmarkEnd w:id="41"/>
    <w:p>
      <w:pPr>
        <w:ind w:right="8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success also depends upon the principal members of our executive, medical and development teams. We have entered into a severance and change in control agreement with our executive officers and department vice president level employees, but they may terminate their employment with us at any time. The loss of the services of any of these persons might impede the achievement of our development and commercialization objectives.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use of ZGN-1061 and ZGN-1258 in clinical trials and the sale of ZGN-1061 and ZGN-1258, if developed and approved, exposes us to the risk of product liability claims. Product liability claims might be brought against us by patients, healthcare providers or others selling or otherwise coming into contact with ZGN-1061 or ZGN-1258.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98"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ZGN-1061, ZGN-1258, or any future product candidates following marketing approval, if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42" w:name="page43"/>
    <w:bookmarkEnd w:id="42"/>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of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any future product candidates, if approved.</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ZGN-1258,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 We continue to examine the impact this tax reform legislation may have on our business. The overall impact of the TCJA is uncertain and our business and financial condition could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Since our inception in 2005, we have not recorded any U.S. federal or state income tax benefits for the net losses we have incurred in each year or our earned tax credits, due to our uncertainty of realizing a benefit from those items. As of December 31, 2017, we had net operating loss carryforwards for federal and state income tax purposes of $54.0 million and $39.6 million, respectively, which begin to expire in 2026 and 2030, respectively. As of December 31, 2017, we also had available tax credit carryforwards for federal and state income tax purposes of $14.8 million and $2.4 million, respectively, which begin to expire in 2026 and 2021,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3" w:name="page44"/>
    <w:bookmarkEnd w:id="4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ZGN-1061, ZGN-1258, or other product candidate development programs.</w:t>
      </w:r>
    </w:p>
    <w:p>
      <w:pPr>
        <w:spacing w:after="0" w:line="3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ZGN-1061 is currently in clinical development in Australia and New Zealand, we have begun preparations for filing an IND for ZGN-1061, and we have begun preparations for filing an IND for ZGN-1258,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44" w:name="page45"/>
    <w:bookmarkEnd w:id="4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27"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or unwilling to do so, we may have to curtail the development of the product candidate for which we are seeking to collaborate, reduce or delay its development program or one or more of our other development programs, delay its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4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3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beloranib, ZGN-1061, ZGN-839, ZGN-1258, and additional MetAP2 inhibitors. We have never generated any revenue from product sales. We have not obtained regulatory approvals for any of our product candidates.</w:t>
      </w:r>
    </w:p>
    <w:p>
      <w:pPr>
        <w:spacing w:after="0" w:line="13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 w:name="page46"/>
    <w:bookmarkEnd w:id="45"/>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funded our operations to date through proceeds from sales of redeemable convertible preferred stock, convertible debt and proceeds from our IPO and follow-on public offering, and have incurred losses in each year since our inception. Our net losses were $16.0 million for the three months ended March 31, 2018 and $52.0 million for the year ended December 31, 2017. As of March 31, 2018, we had an accumulated deficit of $305.5 million. Substantially all of our operating losses resulted from costs incurred in connection with our development programs for beloranib, ZGN-1061, ZGN-1258 and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clinical trials of ZGN-1061, and of any other product candidates we may choose to pursue, including ZGN-1258. In addition, if and when we obtain marketing approval for ZGN-1061 or ZGN-1258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file IND applications as required to obtain FDA approval for ZGN-1061 and ZGN-1258 clinical trials;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filing IND applications for ZGN-1061 and ZGN-1258 with the FDA and advance into the clinical trial stage. Depending on the status of regulatory approval or, if approved, commercialization of ZGN-1061, ZGN-1258, or any of our other product candidates, as well as the progress we make in selling ZGN-1061 or any of our other product candidates, we will require additional capital to fund operating needs thereafter. We may also need to raise additional funds sooner if we choose to pursue additional indications and/or geographies for ZGN-1061, ZGN-1258, or our other product candidates or otherwise expand more rapidly than we presently anticipate.</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March 31, 2018, our cash, cash equivalents and marketable securities were $89.1 million. 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46" w:name="page47"/>
    <w:bookmarkEnd w:id="46"/>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ZGN-1258, or other product candidates, our intellectual property, future revenue streams or grant licenses on terms that are not favorable to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2018 to March 31, 2018 the daily closing price of our common stock on the NASDAQ Global Market ranged from a high of $8.91 to a low of $4.79 and will continue to be subject to wide fluctuations in response to many risk factors listed in this section, and others beyond our control, including:</w:t>
      </w:r>
    </w:p>
    <w:p>
      <w:pPr>
        <w:spacing w:after="0" w:line="9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plans for, progress of, or results from nonclinical studies and clinical trials of ZGN-1061, ZGN-1258, and/or other product candidates;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FDA to accept our IND for ZGN-1061 or for ZGN-1258;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ZGN-1258;</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ZGN-1258, or other product candidates, including risk of serious thromboembolic events;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ZGN-1061 or ZGN-1258, if successfully developed and approved, to achieve commercial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47" w:name="page48"/>
    <w:bookmarkEnd w:id="47"/>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of April 30, 2018, the existing holdings of our executive officers, directors, principal stockholders and their affiliates, including investment funds affiliated with Atlas Ventures, or Atlas, and entities affiliated with Fidelity Investment (FMR LLC), or Fidelity, represent beneficial ownership, in the aggregate, of approximately 39.0%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of $1.0 billion or more; (ii) December 31, 2019; (iii) the date on which we have issued more than $1.0 billion in nonconvertible debt during the previous three years; and (iv) the date on which we are deemed to be a large accelerated filer under the rules of the SEC.</w:t>
      </w:r>
    </w:p>
    <w:p>
      <w:pPr>
        <w:spacing w:after="0" w:line="27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720" w:type="dxa"/>
            <w:vAlign w:val="bottom"/>
            <w:gridSpan w:val="6"/>
          </w:tcPr>
          <w:p>
            <w:pPr>
              <w:ind w:left="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2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ind w:left="1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2"/>
                <w:szCs w:val="22"/>
                <w:color w:val="auto"/>
              </w:rPr>
            </w:pPr>
          </w:p>
        </w:tc>
        <w:tc>
          <w:tcPr>
            <w:tcW w:w="101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Principal Executive Officer pursuant to Rule 13a-14(a) or Rule 15d-14(a) of the Securities Exchange Act of 1934, as adopted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Principal Financial Officer pursuant to Rule 13a-14(a) or Rule 15d-14(a) of the Securities Exchange Act of 1934, as adopted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pursuant to Section 302 of the Sarbanes-Oxley 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9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34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44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Arial" w:cs="Arial" w:eastAsia="Arial" w:hAnsi="Arial"/>
                <w:sz w:val="18"/>
                <w:szCs w:val="18"/>
                <w:color w:val="auto"/>
              </w:rPr>
              <w:t>101.CAL*</w:t>
            </w:r>
          </w:p>
        </w:tc>
        <w:tc>
          <w:tcPr>
            <w:tcW w:w="44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Arial" w:cs="Arial" w:eastAsia="Arial" w:hAnsi="Arial"/>
                <w:sz w:val="18"/>
                <w:szCs w:val="18"/>
                <w:color w:val="auto"/>
                <w:w w:val="97"/>
              </w:rPr>
              <w:t>101.DEF*</w:t>
            </w:r>
          </w:p>
        </w:tc>
        <w:tc>
          <w:tcPr>
            <w:tcW w:w="44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44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 Document.</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0"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ZAFGEN,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10, 2018</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Jeffrey Hatfield</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Date: May 10, 2018</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Patricia L. Allen</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Patricia L. Allen</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65"/>
        </w:trPr>
        <w:tc>
          <w:tcPr>
            <w:tcW w:w="3540" w:type="dxa"/>
            <w:vAlign w:val="bottom"/>
          </w:tcPr>
          <w:p>
            <w:pPr>
              <w:spacing w:after="0"/>
              <w:rPr>
                <w:sz w:val="24"/>
                <w:szCs w:val="24"/>
                <w:color w:val="auto"/>
              </w:rPr>
            </w:pPr>
          </w:p>
        </w:tc>
        <w:tc>
          <w:tcPr>
            <w:tcW w:w="264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0" w:firstLine="464"/>
        <w:spacing w:after="0" w:line="264" w:lineRule="auto"/>
        <w:tabs>
          <w:tab w:leader="none" w:pos="7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0" w:firstLine="464"/>
        <w:spacing w:after="0" w:line="264" w:lineRule="auto"/>
        <w:tabs>
          <w:tab w:leader="none" w:pos="70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March 31, 2018, as filed with the Securities and Exchange Commission on the date hereof (the “Report”), each of the undersigned officers hereby certify, pursuant to Section 906 of the Sarbanes-Oxley Act of 2002, 18 U.S.C. Section 1350, that to his or her knowledge:</w:t>
      </w:r>
    </w:p>
    <w:p>
      <w:pPr>
        <w:spacing w:after="0" w:line="87" w:lineRule="exact"/>
        <w:rPr>
          <w:sz w:val="20"/>
          <w:szCs w:val="20"/>
          <w:color w:val="auto"/>
        </w:rPr>
      </w:pPr>
    </w:p>
    <w:p>
      <w:pPr>
        <w:ind w:left="460" w:right="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Dated: May 10, 2018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Hatfield</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Dated: May 10, 2018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Allen</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7"/>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2019-12-28T22:15:37Z</dcterms:created>
  <dcterms:modified xsi:type="dcterms:W3CDTF">2019-12-28T22:15:37Z</dcterms:modified>
</cp:coreProperties>
</file>