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93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93077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8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McDonough Cameron Geoffrey</w:t>
              </w:r>
            </w:hyperlink>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7"/>
          </w:tcPr>
          <w:p>
            <w:pPr>
              <w:ind w:left="8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ZAFGEN,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ZFGN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80" w:type="dxa"/>
            <w:vAlign w:val="bottom"/>
            <w:gridSpan w:val="6"/>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gridSpan w:val="6"/>
            <w:vMerge w:val="continu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80" w:type="dxa"/>
            <w:vAlign w:val="bottom"/>
            <w:gridSpan w:val="6"/>
            <w:vMerge w:val="continue"/>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54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3040" w:type="dxa"/>
            <w:vAlign w:val="bottom"/>
            <w:gridSpan w:val="9"/>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(First)</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vMerge w:val="continue"/>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C/O ZAFGEN, INC.,</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60" w:type="dxa"/>
            <w:vAlign w:val="bottom"/>
            <w:gridSpan w:val="5"/>
          </w:tcPr>
          <w:p>
            <w:pPr>
              <w:ind w:left="280"/>
              <w:spacing w:after="0"/>
              <w:rPr>
                <w:sz w:val="20"/>
                <w:szCs w:val="20"/>
                <w:color w:val="auto"/>
              </w:rPr>
            </w:pPr>
            <w:r>
              <w:rPr>
                <w:rFonts w:ascii="Arial" w:cs="Arial" w:eastAsia="Arial" w:hAnsi="Arial"/>
                <w:sz w:val="17"/>
                <w:szCs w:val="17"/>
                <w:color w:val="0000FF"/>
              </w:rPr>
              <w:t>06/26/2019</w:t>
            </w: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7"/>
                <w:szCs w:val="17"/>
                <w:color w:val="0000FF"/>
              </w:rPr>
              <w:t>3 CENTER PLAZA, SUITE 610</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24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8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BOSTON</w:t>
            </w:r>
          </w:p>
        </w:tc>
        <w:tc>
          <w:tcPr>
            <w:tcW w:w="1260" w:type="dxa"/>
            <w:vAlign w:val="bottom"/>
            <w:gridSpan w:val="2"/>
          </w:tcPr>
          <w:p>
            <w:pPr>
              <w:spacing w:after="0"/>
              <w:rPr>
                <w:sz w:val="20"/>
                <w:szCs w:val="20"/>
                <w:color w:val="auto"/>
              </w:rPr>
            </w:pPr>
            <w:r>
              <w:rPr>
                <w:rFonts w:ascii="Arial" w:cs="Arial" w:eastAsia="Arial" w:hAnsi="Arial"/>
                <w:sz w:val="17"/>
                <w:szCs w:val="17"/>
                <w:color w:val="0000FF"/>
              </w:rPr>
              <w:t>MA</w:t>
            </w:r>
          </w:p>
        </w:tc>
        <w:tc>
          <w:tcPr>
            <w:tcW w:w="1140" w:type="dxa"/>
            <w:vAlign w:val="bottom"/>
            <w:gridSpan w:val="2"/>
          </w:tcPr>
          <w:p>
            <w:pPr>
              <w:ind w:left="20"/>
              <w:spacing w:after="0"/>
              <w:rPr>
                <w:sz w:val="20"/>
                <w:szCs w:val="20"/>
                <w:color w:val="auto"/>
              </w:rPr>
            </w:pPr>
            <w:r>
              <w:rPr>
                <w:rFonts w:ascii="Arial" w:cs="Arial" w:eastAsia="Arial" w:hAnsi="Arial"/>
                <w:sz w:val="17"/>
                <w:szCs w:val="17"/>
                <w:color w:val="0000FF"/>
              </w:rPr>
              <w:t>02108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ind w:left="160"/>
              <w:spacing w:after="0" w:line="135" w:lineRule="exact"/>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gridSpan w:val="2"/>
          </w:tcPr>
          <w:p>
            <w:pPr>
              <w:spacing w:after="0"/>
              <w:rPr>
                <w:sz w:val="11"/>
                <w:szCs w:val="11"/>
                <w:color w:val="auto"/>
              </w:rPr>
            </w:pPr>
          </w:p>
        </w:tc>
        <w:tc>
          <w:tcPr>
            <w:tcW w:w="10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0"/>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20" w:type="dxa"/>
            <w:vAlign w:val="bottom"/>
          </w:tcPr>
          <w:p>
            <w:pPr>
              <w:spacing w:after="0"/>
              <w:rPr>
                <w:sz w:val="15"/>
                <w:szCs w:val="15"/>
                <w:color w:val="auto"/>
              </w:rPr>
            </w:pPr>
          </w:p>
        </w:tc>
        <w:tc>
          <w:tcPr>
            <w:tcW w:w="168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ind w:left="58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5"/>
          </w:tcPr>
          <w:p>
            <w:pPr>
              <w:ind w:left="58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5"/>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0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gridSpan w:val="2"/>
          </w:tcPr>
          <w:p>
            <w:pPr>
              <w:spacing w:after="0"/>
              <w:rPr>
                <w:sz w:val="7"/>
                <w:szCs w:val="7"/>
                <w:color w:val="auto"/>
              </w:rPr>
            </w:pPr>
          </w:p>
        </w:tc>
        <w:tc>
          <w:tcPr>
            <w:tcW w:w="1200" w:type="dxa"/>
            <w:vAlign w:val="bottom"/>
            <w:tcBorders>
              <w:bottom w:val="single" w:sz="8" w:color="2C2C2C"/>
            </w:tcBorders>
            <w:gridSpan w:val="4"/>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266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20"/>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40" w:type="dxa"/>
            <w:vAlign w:val="bottom"/>
            <w:gridSpan w:val="3"/>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1.25</w:t>
            </w:r>
          </w:p>
        </w:tc>
        <w:tc>
          <w:tcPr>
            <w:tcW w:w="140" w:type="dxa"/>
            <w:vAlign w:val="bottom"/>
          </w:tcPr>
          <w:p>
            <w:pPr>
              <w:spacing w:after="0"/>
              <w:rPr>
                <w:sz w:val="17"/>
                <w:szCs w:val="17"/>
                <w:color w:val="auto"/>
              </w:rPr>
            </w:pPr>
          </w:p>
        </w:tc>
        <w:tc>
          <w:tcPr>
            <w:tcW w:w="1120" w:type="dxa"/>
            <w:vAlign w:val="bottom"/>
          </w:tcPr>
          <w:p>
            <w:pPr>
              <w:ind w:left="260"/>
              <w:spacing w:after="0"/>
              <w:rPr>
                <w:sz w:val="20"/>
                <w:szCs w:val="20"/>
                <w:color w:val="auto"/>
              </w:rPr>
            </w:pPr>
            <w:r>
              <w:rPr>
                <w:rFonts w:ascii="Arial" w:cs="Arial" w:eastAsia="Arial" w:hAnsi="Arial"/>
                <w:sz w:val="13"/>
                <w:szCs w:val="13"/>
                <w:color w:val="0000FF"/>
              </w:rPr>
              <w:t>06/26/2019</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3"/>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27,000</w:t>
            </w: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06/26/2029</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gridSpan w:val="2"/>
          </w:tcPr>
          <w:p>
            <w:pPr>
              <w:spacing w:after="0"/>
              <w:rPr>
                <w:sz w:val="20"/>
                <w:szCs w:val="20"/>
                <w:color w:val="auto"/>
              </w:rPr>
            </w:pPr>
            <w:r>
              <w:rPr>
                <w:rFonts w:ascii="Arial" w:cs="Arial" w:eastAsia="Arial" w:hAnsi="Arial"/>
                <w:sz w:val="17"/>
                <w:szCs w:val="17"/>
                <w:color w:val="0000FF"/>
              </w:rPr>
              <w:t>27,000</w:t>
            </w:r>
          </w:p>
        </w:tc>
        <w:tc>
          <w:tcPr>
            <w:tcW w:w="60" w:type="dxa"/>
            <w:vAlign w:val="bottom"/>
          </w:tcPr>
          <w:p>
            <w:pPr>
              <w:spacing w:after="0"/>
              <w:rPr>
                <w:sz w:val="17"/>
                <w:szCs w:val="17"/>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27,000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2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options were issued under the nonemployee director compensation policy and will vest in full upon the earlier of June 26, 2020 or the date of the 2020 annual meeting of stockholders, subject to the director's continued service on the board of directors, provided that, all shares shall become fully vested upon a change in control of the Company.</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Shoaib Ghias, Attorney-In-</w:t>
            </w:r>
          </w:p>
        </w:tc>
        <w:tc>
          <w:tcPr>
            <w:tcW w:w="18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06/27/2019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79130"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2019-12-23T16:06:59Z</dcterms:created>
  <dcterms:modified xsi:type="dcterms:W3CDTF">2019-12-23T16:06:59Z</dcterms:modified>
</cp:coreProperties>
</file>