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13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STARR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ZAFGEN,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ZFGN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460" w:type="dxa"/>
            <w:vAlign w:val="bottom"/>
            <w:gridSpan w:val="3"/>
          </w:tcPr>
          <w:p>
            <w:pPr>
              <w:ind w:left="80"/>
              <w:spacing w:after="0"/>
              <w:rPr>
                <w:sz w:val="20"/>
                <w:szCs w:val="20"/>
                <w:color w:val="auto"/>
              </w:rPr>
            </w:pPr>
            <w:r>
              <w:rPr>
                <w:rFonts w:ascii="Arial" w:cs="Arial" w:eastAsia="Arial" w:hAnsi="Arial"/>
                <w:sz w:val="18"/>
                <w:szCs w:val="18"/>
                <w:color w:val="0000FF"/>
              </w:rPr>
              <w:t>03/24/2015</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13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48"/>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jc w:val="center"/>
              <w:ind w:left="448"/>
              <w:spacing w:after="0"/>
              <w:rPr>
                <w:sz w:val="20"/>
                <w:szCs w:val="20"/>
                <w:color w:val="auto"/>
              </w:rPr>
            </w:pPr>
            <w:r>
              <w:rPr>
                <w:rFonts w:ascii="Arial" w:cs="Arial" w:eastAsia="Arial" w:hAnsi="Arial"/>
                <w:sz w:val="18"/>
                <w:szCs w:val="18"/>
                <w:color w:val="0000FF"/>
                <w:w w:val="88"/>
              </w:rPr>
              <w:t>03/24/2015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9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1,400,000</w:t>
            </w: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gridSpan w:val="3"/>
            <w:vMerge w:val="restart"/>
          </w:tcPr>
          <w:p>
            <w:pPr>
              <w:jc w:val="center"/>
              <w:ind w:left="48"/>
              <w:spacing w:after="0"/>
              <w:rPr>
                <w:sz w:val="20"/>
                <w:szCs w:val="20"/>
                <w:color w:val="auto"/>
              </w:rPr>
            </w:pPr>
            <w:r>
              <w:rPr>
                <w:rFonts w:ascii="Arial" w:cs="Arial" w:eastAsia="Arial" w:hAnsi="Arial"/>
                <w:sz w:val="18"/>
                <w:szCs w:val="18"/>
                <w:color w:val="0000FF"/>
                <w:w w:val="87"/>
              </w:rPr>
              <w:t>4,202,045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jc w:val="center"/>
              <w:ind w:left="448"/>
              <w:spacing w:after="0"/>
              <w:rPr>
                <w:sz w:val="20"/>
                <w:szCs w:val="20"/>
                <w:color w:val="auto"/>
              </w:rPr>
            </w:pPr>
            <w:r>
              <w:rPr>
                <w:rFonts w:ascii="Arial" w:cs="Arial" w:eastAsia="Arial" w:hAnsi="Arial"/>
                <w:sz w:val="18"/>
                <w:szCs w:val="18"/>
                <w:color w:val="0000FF"/>
                <w:w w:val="88"/>
              </w:rPr>
              <w:t>03/24/2015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780" w:type="dxa"/>
            <w:vAlign w:val="bottom"/>
            <w:vMerge w:val="restart"/>
          </w:tcPr>
          <w:p>
            <w:pPr>
              <w:jc w:val="center"/>
              <w:ind w:left="88"/>
              <w:spacing w:after="0"/>
              <w:rPr>
                <w:sz w:val="20"/>
                <w:szCs w:val="20"/>
                <w:color w:val="auto"/>
              </w:rPr>
            </w:pPr>
            <w:r>
              <w:rPr>
                <w:rFonts w:ascii="Arial" w:cs="Arial" w:eastAsia="Arial" w:hAnsi="Arial"/>
                <w:sz w:val="18"/>
                <w:szCs w:val="18"/>
                <w:color w:val="0000FF"/>
                <w:w w:val="89"/>
              </w:rPr>
              <w:t>346,658</w:t>
            </w:r>
          </w:p>
        </w:tc>
        <w:tc>
          <w:tcPr>
            <w:tcW w:w="12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82"/>
              </w:rPr>
              <w:t>A</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gridSpan w:val="3"/>
            <w:vMerge w:val="restart"/>
          </w:tcPr>
          <w:p>
            <w:pPr>
              <w:jc w:val="center"/>
              <w:ind w:left="48"/>
              <w:spacing w:after="0"/>
              <w:rPr>
                <w:sz w:val="20"/>
                <w:szCs w:val="20"/>
                <w:color w:val="auto"/>
              </w:rPr>
            </w:pPr>
            <w:r>
              <w:rPr>
                <w:rFonts w:ascii="Arial" w:cs="Arial" w:eastAsia="Arial" w:hAnsi="Arial"/>
                <w:sz w:val="18"/>
                <w:szCs w:val="18"/>
                <w:color w:val="0000FF"/>
                <w:w w:val="89"/>
              </w:rPr>
              <w:t>346,658</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jc w:val="center"/>
              <w:ind w:left="448"/>
              <w:spacing w:after="0"/>
              <w:rPr>
                <w:sz w:val="20"/>
                <w:szCs w:val="20"/>
                <w:color w:val="auto"/>
              </w:rPr>
            </w:pPr>
            <w:r>
              <w:rPr>
                <w:rFonts w:ascii="Arial" w:cs="Arial" w:eastAsia="Arial" w:hAnsi="Arial"/>
                <w:sz w:val="18"/>
                <w:szCs w:val="18"/>
                <w:color w:val="0000FF"/>
                <w:w w:val="88"/>
              </w:rPr>
              <w:t>03/24/2015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(5)</w:t>
            </w:r>
          </w:p>
        </w:tc>
        <w:tc>
          <w:tcPr>
            <w:tcW w:w="780" w:type="dxa"/>
            <w:vAlign w:val="bottom"/>
            <w:vMerge w:val="restart"/>
          </w:tcPr>
          <w:p>
            <w:pPr>
              <w:jc w:val="center"/>
              <w:ind w:left="88"/>
              <w:spacing w:after="0"/>
              <w:rPr>
                <w:sz w:val="20"/>
                <w:szCs w:val="20"/>
                <w:color w:val="auto"/>
              </w:rPr>
            </w:pPr>
            <w:r>
              <w:rPr>
                <w:rFonts w:ascii="Arial" w:cs="Arial" w:eastAsia="Arial" w:hAnsi="Arial"/>
                <w:sz w:val="18"/>
                <w:szCs w:val="18"/>
                <w:color w:val="0000FF"/>
                <w:w w:val="89"/>
              </w:rPr>
              <w:t>346,658</w:t>
            </w:r>
          </w:p>
        </w:tc>
        <w:tc>
          <w:tcPr>
            <w:tcW w:w="12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vMerge w:val="restart"/>
          </w:tcPr>
          <w:p>
            <w:pPr>
              <w:jc w:val="center"/>
              <w:ind w:right="497"/>
              <w:spacing w:after="0"/>
              <w:rPr>
                <w:sz w:val="20"/>
                <w:szCs w:val="20"/>
                <w:color w:val="auto"/>
              </w:rPr>
            </w:pPr>
            <w:r>
              <w:rPr>
                <w:rFonts w:ascii="Arial" w:cs="Arial" w:eastAsia="Arial" w:hAnsi="Arial"/>
                <w:sz w:val="18"/>
                <w:szCs w:val="18"/>
                <w:color w:val="0000FF"/>
                <w:w w:val="99"/>
              </w:rPr>
              <w:t>0</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bottom w:val="single" w:sz="8" w:color="2C2C2C"/>
            </w:tcBorders>
          </w:tcPr>
          <w:p>
            <w:pPr>
              <w:spacing w:after="0"/>
              <w:rPr>
                <w:sz w:val="24"/>
                <w:szCs w:val="24"/>
                <w:color w:val="auto"/>
              </w:rPr>
            </w:pPr>
          </w:p>
        </w:tc>
        <w:tc>
          <w:tcPr>
            <w:tcW w:w="1760" w:type="dxa"/>
            <w:vAlign w:val="bottom"/>
            <w:tcBorders>
              <w:top w:val="single" w:sz="8" w:color="2C2C2C"/>
              <w:bottom w:val="single" w:sz="8" w:color="2C2C2C"/>
            </w:tcBorders>
            <w:gridSpan w:val="2"/>
          </w:tcPr>
          <w:p>
            <w:pPr>
              <w:jc w:val="center"/>
              <w:ind w:left="448"/>
              <w:spacing w:after="0"/>
              <w:rPr>
                <w:sz w:val="20"/>
                <w:szCs w:val="20"/>
                <w:color w:val="auto"/>
              </w:rPr>
            </w:pPr>
            <w:r>
              <w:rPr>
                <w:rFonts w:ascii="Arial" w:cs="Arial" w:eastAsia="Arial" w:hAnsi="Arial"/>
                <w:sz w:val="18"/>
                <w:szCs w:val="18"/>
                <w:color w:val="0000FF"/>
                <w:w w:val="88"/>
              </w:rPr>
              <w:t>03/24/2015</w:t>
            </w:r>
          </w:p>
        </w:tc>
        <w:tc>
          <w:tcPr>
            <w:tcW w:w="2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(6)</w:t>
            </w:r>
          </w:p>
        </w:tc>
        <w:tc>
          <w:tcPr>
            <w:tcW w:w="780" w:type="dxa"/>
            <w:vAlign w:val="bottom"/>
            <w:tcBorders>
              <w:top w:val="single" w:sz="8" w:color="2C2C2C"/>
              <w:bottom w:val="single" w:sz="8" w:color="2C2C2C"/>
            </w:tcBorders>
          </w:tcPr>
          <w:p>
            <w:pPr>
              <w:jc w:val="center"/>
              <w:ind w:left="108"/>
              <w:spacing w:after="0"/>
              <w:rPr>
                <w:sz w:val="20"/>
                <w:szCs w:val="20"/>
                <w:color w:val="auto"/>
              </w:rPr>
            </w:pPr>
            <w:r>
              <w:rPr>
                <w:rFonts w:ascii="Arial" w:cs="Arial" w:eastAsia="Arial" w:hAnsi="Arial"/>
                <w:sz w:val="18"/>
                <w:szCs w:val="18"/>
                <w:color w:val="0000FF"/>
                <w:w w:val="87"/>
              </w:rPr>
              <w:t>71,989</w:t>
            </w:r>
          </w:p>
        </w:tc>
        <w:tc>
          <w:tcPr>
            <w:tcW w:w="1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w w:val="82"/>
              </w:rPr>
              <w:t>A</w:t>
            </w:r>
          </w:p>
        </w:tc>
        <w:tc>
          <w:tcPr>
            <w:tcW w:w="2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tcBorders>
              <w:top w:val="single" w:sz="8" w:color="2C2C2C"/>
              <w:bottom w:val="single" w:sz="8" w:color="2C2C2C"/>
            </w:tcBorders>
            <w:gridSpan w:val="3"/>
          </w:tcPr>
          <w:p>
            <w:pPr>
              <w:jc w:val="center"/>
              <w:ind w:left="48"/>
              <w:spacing w:after="0"/>
              <w:rPr>
                <w:sz w:val="20"/>
                <w:szCs w:val="20"/>
                <w:color w:val="auto"/>
              </w:rPr>
            </w:pPr>
            <w:r>
              <w:rPr>
                <w:rFonts w:ascii="Arial" w:cs="Arial" w:eastAsia="Arial" w:hAnsi="Arial"/>
                <w:sz w:val="18"/>
                <w:szCs w:val="18"/>
                <w:color w:val="0000FF"/>
                <w:w w:val="90"/>
              </w:rPr>
              <w:t>80,097</w:t>
            </w:r>
          </w:p>
        </w:tc>
        <w:tc>
          <w:tcPr>
            <w:tcW w:w="940" w:type="dxa"/>
            <w:vAlign w:val="bottom"/>
            <w:tcBorders>
              <w:top w:val="single" w:sz="8" w:color="2C2C2C"/>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2"/>
          </w:tcPr>
          <w:p>
            <w:pPr>
              <w:jc w:val="right"/>
              <w:ind w:righ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 of shares in kind by Third Rock Ventures, L.P. ("TRV") on a pro rata basis to its partners.</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TRV. The general partner of TRV is Third Rock Ventures GP, L.P. ("TRV GP"). The general partner of TRV GP is TRV GP, LLC ("TRV GP LLC") and the Reporting Person is a Manager of TRV GP LLC, as such, each of TRV GP and TRV GP LLC and the Reporting Person exercises shared voting and investment power over the shares held of record by TRV. The Reporting Person disclaims beneficial ownership of the shares except to the extent of his pecuniary interest therein, if any.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TRV GP received shares distributed in kind by TRV on a pro rata basis to its partners.</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TRV GP. As such, each of TRV GP LLC and the Reporting Person exercises shared voting and investment power over the shares held of record by TRV GP. The Reporting Person disclaims beneficial ownership of the shares except to the extent of his pecuniary interest therein, if any.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 of shares in kind by TRV GP on a pro rata basis to its partners.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received shares distributed in kind by TRV GP on a pro rata basis to its partners.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Kevin Gillis by power of</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03/24/2015</w:t>
            </w: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attorney for Kevin Starr</w:t>
            </w:r>
          </w:p>
        </w:tc>
        <w:tc>
          <w:tcPr>
            <w:tcW w:w="44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0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603"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2019-12-23T16:50:29Z</dcterms:created>
  <dcterms:modified xsi:type="dcterms:W3CDTF">2019-12-23T16:50:29Z</dcterms:modified>
</cp:coreProperties>
</file>