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1" w:lineRule="exact"/>
              <w:rPr>
                <w:sz w:val="20"/>
                <w:szCs w:val="20"/>
                <w:color w:val="auto"/>
              </w:rPr>
            </w:pPr>
            <w:r>
              <w:rPr>
                <w:rFonts w:ascii="Arial" w:cs="Arial" w:eastAsia="Arial" w:hAnsi="Arial"/>
                <w:sz w:val="13"/>
                <w:szCs w:val="13"/>
                <w:color w:val="auto"/>
                <w:w w:val="95"/>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-587375</wp:posOffset>
            </wp:positionV>
            <wp:extent cx="8255" cy="588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801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-595630</wp:posOffset>
            </wp:positionV>
            <wp:extent cx="8255" cy="596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6265"/>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-571500</wp:posOffset>
            </wp:positionV>
            <wp:extent cx="1271905"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905" cy="54864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32385</wp:posOffset>
            </wp:positionV>
            <wp:extent cx="6972300" cy="1565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565910"/>
                    </a:xfrm>
                    <a:prstGeom prst="rect">
                      <a:avLst/>
                    </a:prstGeom>
                    <a:noFill/>
                  </pic:spPr>
                </pic:pic>
              </a:graphicData>
            </a:graphic>
          </wp:anchor>
        </w:drawing>
      </w:r>
    </w:p>
    <w:p>
      <w:pPr>
        <w:spacing w:after="0" w:line="46" w:lineRule="exact"/>
        <w:rPr>
          <w:sz w:val="24"/>
          <w:szCs w:val="24"/>
          <w:color w:val="auto"/>
        </w:rPr>
      </w:pPr>
    </w:p>
    <w:p>
      <w:pPr>
        <w:sectPr>
          <w:pgSz w:w="11900" w:h="16838" w:orient="portrait"/>
          <w:cols w:equalWidth="0" w:num="2">
            <w:col w:w="2200" w:space="440"/>
            <w:col w:w="844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6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restart"/>
          </w:tcPr>
          <w:p>
            <w:pPr>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Flynn James E</w:t>
              </w:r>
            </w:hyperlink>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00" w:type="dxa"/>
            <w:vAlign w:val="bottom"/>
            <w:gridSpan w:val="10"/>
          </w:tcPr>
          <w:p>
            <w:pPr>
              <w:ind w:left="60"/>
              <w:spacing w:after="0" w:line="163"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u w:val="single" w:color="auto"/>
                  <w:color w:val="0000EE"/>
                </w:rPr>
                <w:t>Larimar Therapeutics, Inc.</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LRMR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340" w:type="dxa"/>
            <w:vAlign w:val="bottom"/>
          </w:tcPr>
          <w:p>
            <w:pPr>
              <w:spacing w:after="0"/>
              <w:rPr>
                <w:sz w:val="14"/>
                <w:szCs w:val="14"/>
                <w:color w:val="auto"/>
              </w:rPr>
            </w:pPr>
          </w:p>
        </w:tc>
        <w:tc>
          <w:tcPr>
            <w:tcW w:w="160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w w:val="96"/>
              </w:rPr>
              <w:t>Director</w:t>
            </w:r>
          </w:p>
        </w:tc>
        <w:tc>
          <w:tcPr>
            <w:tcW w:w="560" w:type="dxa"/>
            <w:vAlign w:val="bottom"/>
          </w:tcPr>
          <w:p>
            <w:pPr>
              <w:spacing w:after="0"/>
              <w:rPr>
                <w:sz w:val="11"/>
                <w:szCs w:val="11"/>
                <w:color w:val="auto"/>
              </w:rPr>
            </w:pP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w w:val="86"/>
              </w:rPr>
              <w:t>X</w:t>
            </w:r>
          </w:p>
        </w:tc>
        <w:tc>
          <w:tcPr>
            <w:tcW w:w="1460" w:type="dxa"/>
            <w:vAlign w:val="bottom"/>
            <w:gridSpan w:val="5"/>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40" w:type="dxa"/>
            <w:vAlign w:val="bottom"/>
            <w:vMerge w:val="restart"/>
          </w:tcPr>
          <w:p>
            <w:pPr>
              <w:ind w:left="220"/>
              <w:spacing w:after="0" w:line="177" w:lineRule="exact"/>
              <w:rPr>
                <w:sz w:val="20"/>
                <w:szCs w:val="20"/>
                <w:color w:val="auto"/>
              </w:rPr>
            </w:pPr>
            <w:r>
              <w:rPr>
                <w:rFonts w:ascii="Times New Roman" w:cs="Times New Roman" w:eastAsia="Times New Roman" w:hAnsi="Times New Roman"/>
                <w:sz w:val="16"/>
                <w:szCs w:val="16"/>
                <w:color w:val="0000FF"/>
                <w:w w:val="86"/>
              </w:rPr>
              <w:t>X</w:t>
            </w:r>
          </w:p>
        </w:tc>
        <w:tc>
          <w:tcPr>
            <w:tcW w:w="1460" w:type="dxa"/>
            <w:vAlign w:val="bottom"/>
            <w:gridSpan w:val="5"/>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14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60" w:type="dxa"/>
            <w:vAlign w:val="bottom"/>
            <w:gridSpan w:val="9"/>
          </w:tcPr>
          <w:p>
            <w:pPr>
              <w:ind w:left="60"/>
              <w:spacing w:after="0"/>
              <w:rPr>
                <w:sz w:val="20"/>
                <w:szCs w:val="20"/>
                <w:color w:val="auto"/>
              </w:rPr>
            </w:pPr>
            <w:r>
              <w:rPr>
                <w:rFonts w:ascii="Arial" w:cs="Arial" w:eastAsia="Arial" w:hAnsi="Arial"/>
                <w:sz w:val="13"/>
                <w:szCs w:val="13"/>
                <w:color w:val="auto"/>
                <w:w w:val="98"/>
              </w:rPr>
              <w:t>3. Date of Earliest Transaction (Month/Day/Year)</w:t>
            </w: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ind w:left="20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780 THIRD AVENUE, 37TH FLOOR</w:t>
            </w:r>
          </w:p>
        </w:tc>
        <w:tc>
          <w:tcPr>
            <w:tcW w:w="1420" w:type="dxa"/>
            <w:vAlign w:val="bottom"/>
            <w:gridSpan w:val="7"/>
          </w:tcPr>
          <w:p>
            <w:pPr>
              <w:ind w:left="360"/>
              <w:spacing w:after="0"/>
              <w:rPr>
                <w:sz w:val="20"/>
                <w:szCs w:val="20"/>
                <w:color w:val="auto"/>
              </w:rPr>
            </w:pPr>
            <w:r>
              <w:rPr>
                <w:rFonts w:ascii="Times New Roman" w:cs="Times New Roman" w:eastAsia="Times New Roman" w:hAnsi="Times New Roman"/>
                <w:sz w:val="16"/>
                <w:szCs w:val="16"/>
                <w:color w:val="0000FF"/>
              </w:rPr>
              <w:t>09/29/2020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0000FF"/>
              </w:rPr>
              <w:t>* Director by Deputization</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20" w:type="dxa"/>
            <w:vAlign w:val="bottom"/>
            <w:gridSpan w:val="6"/>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gridSpan w:val="4"/>
          </w:tcPr>
          <w:p>
            <w:pPr>
              <w:spacing w:after="0"/>
              <w:rPr>
                <w:sz w:val="16"/>
                <w:szCs w:val="16"/>
                <w:color w:val="auto"/>
              </w:rPr>
            </w:pPr>
          </w:p>
        </w:tc>
        <w:tc>
          <w:tcPr>
            <w:tcW w:w="1940" w:type="dxa"/>
            <w:vAlign w:val="bottom"/>
            <w:tcBorders>
              <w:bottom w:val="single" w:sz="8" w:color="2C2C2C"/>
            </w:tcBorders>
            <w:gridSpan w:val="3"/>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2980" w:type="dxa"/>
            <w:vAlign w:val="bottom"/>
            <w:tcBorders>
              <w:bottom w:val="single" w:sz="8" w:color="2C2C2C"/>
            </w:tcBorders>
            <w:gridSpan w:val="7"/>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42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0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line="20" w:lineRule="exact"/>
              <w:rPr>
                <w:sz w:val="1"/>
                <w:szCs w:val="1"/>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10"/>
            <w:vMerge w:val="continue"/>
          </w:tcPr>
          <w:p>
            <w:pPr>
              <w:spacing w:after="0"/>
              <w:rPr>
                <w:sz w:val="11"/>
                <w:szCs w:val="11"/>
                <w:color w:val="auto"/>
              </w:rPr>
            </w:pPr>
          </w:p>
        </w:tc>
        <w:tc>
          <w:tcPr>
            <w:tcW w:w="340" w:type="dxa"/>
            <w:vAlign w:val="bottom"/>
          </w:tcPr>
          <w:p>
            <w:pPr>
              <w:spacing w:after="0"/>
              <w:rPr>
                <w:sz w:val="11"/>
                <w:szCs w:val="11"/>
                <w:color w:val="auto"/>
              </w:rPr>
            </w:pPr>
          </w:p>
        </w:tc>
        <w:tc>
          <w:tcPr>
            <w:tcW w:w="34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10017</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8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gridSpan w:val="3"/>
          </w:tcPr>
          <w:p>
            <w:pPr>
              <w:ind w:left="260"/>
              <w:spacing w:after="0" w:line="143" w:lineRule="exact"/>
              <w:rPr>
                <w:sz w:val="20"/>
                <w:szCs w:val="20"/>
                <w:color w:val="auto"/>
              </w:rPr>
            </w:pPr>
            <w:r>
              <w:rPr>
                <w:rFonts w:ascii="Times New Roman" w:cs="Times New Roman" w:eastAsia="Times New Roman" w:hAnsi="Times New Roman"/>
                <w:sz w:val="16"/>
                <w:szCs w:val="16"/>
                <w:color w:val="0000FF"/>
              </w:rPr>
              <w:t>X</w:t>
            </w:r>
          </w:p>
        </w:tc>
        <w:tc>
          <w:tcPr>
            <w:tcW w:w="2980" w:type="dxa"/>
            <w:vAlign w:val="bottom"/>
            <w:gridSpan w:val="8"/>
          </w:tcPr>
          <w:p>
            <w:pPr>
              <w:ind w:left="18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420" w:type="dxa"/>
            <w:vAlign w:val="bottom"/>
            <w:tcBorders>
              <w:top w:val="single" w:sz="8" w:color="EEEEEE"/>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220" w:type="dxa"/>
            <w:vAlign w:val="bottom"/>
            <w:tcBorders>
              <w:top w:val="single" w:sz="8" w:color="EEEEEE"/>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9"/>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600" w:type="dxa"/>
            <w:vAlign w:val="bottom"/>
            <w:tcBorders>
              <w:bottom w:val="single" w:sz="8" w:color="2C2C2C"/>
            </w:tcBorders>
            <w:gridSpan w:val="4"/>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84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60" w:type="dxa"/>
            <w:vAlign w:val="bottom"/>
            <w:gridSpan w:val="7"/>
          </w:tcPr>
          <w:p>
            <w:pPr>
              <w:ind w:left="840"/>
              <w:spacing w:after="0" w:line="120" w:lineRule="exact"/>
              <w:rPr>
                <w:sz w:val="20"/>
                <w:szCs w:val="20"/>
                <w:color w:val="auto"/>
              </w:rPr>
            </w:pPr>
            <w:r>
              <w:rPr>
                <w:rFonts w:ascii="Arial" w:cs="Arial" w:eastAsia="Arial" w:hAnsi="Arial"/>
                <w:sz w:val="11"/>
                <w:szCs w:val="11"/>
                <w:b w:val="1"/>
                <w:bCs w:val="1"/>
                <w:color w:val="auto"/>
              </w:rPr>
              <w:t>Date</w:t>
            </w:r>
          </w:p>
        </w:tc>
        <w:tc>
          <w:tcPr>
            <w:tcW w:w="9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6"/>
          </w:tcPr>
          <w:p>
            <w:pPr>
              <w:ind w:left="80"/>
              <w:spacing w:after="0" w:line="120"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60" w:type="dxa"/>
            <w:vAlign w:val="bottom"/>
            <w:gridSpan w:val="7"/>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restart"/>
          </w:tcPr>
          <w:p>
            <w:pPr>
              <w:ind w:left="340"/>
              <w:spacing w:after="0"/>
              <w:rPr>
                <w:sz w:val="20"/>
                <w:szCs w:val="20"/>
                <w:color w:val="auto"/>
              </w:rPr>
            </w:pPr>
            <w:r>
              <w:rPr>
                <w:rFonts w:ascii="Arial" w:cs="Arial" w:eastAsia="Arial" w:hAnsi="Arial"/>
                <w:sz w:val="11"/>
                <w:szCs w:val="11"/>
                <w:b w:val="1"/>
                <w:bCs w:val="1"/>
                <w:color w:val="auto"/>
                <w:w w:val="95"/>
              </w:rPr>
              <w:t>(A) or</w:t>
            </w: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40" w:type="dxa"/>
            <w:vAlign w:val="bottom"/>
            <w:vMerge w:val="continue"/>
          </w:tcPr>
          <w:p>
            <w:pPr>
              <w:spacing w:after="0"/>
              <w:rPr>
                <w:sz w:val="10"/>
                <w:szCs w:val="10"/>
                <w:color w:val="auto"/>
              </w:rPr>
            </w:pPr>
          </w:p>
        </w:tc>
        <w:tc>
          <w:tcPr>
            <w:tcW w:w="70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gridSpan w:val="4"/>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gridSpan w:val="4"/>
          </w:tcPr>
          <w:p>
            <w:pPr>
              <w:spacing w:after="0"/>
              <w:rPr>
                <w:sz w:val="6"/>
                <w:szCs w:val="6"/>
                <w:color w:val="auto"/>
              </w:rPr>
            </w:pPr>
          </w:p>
        </w:tc>
        <w:tc>
          <w:tcPr>
            <w:tcW w:w="258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3"/>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6200" w:type="dxa"/>
            <w:vAlign w:val="bottom"/>
            <w:tcBorders>
              <w:top w:val="single" w:sz="8" w:color="2C2C2C"/>
            </w:tcBorders>
            <w:gridSpan w:val="18"/>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6"/>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4"/>
          </w:tcPr>
          <w:p>
            <w:pPr>
              <w:ind w:left="10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340" w:type="dxa"/>
            <w:vAlign w:val="bottom"/>
          </w:tcPr>
          <w:p>
            <w:pPr>
              <w:spacing w:after="0"/>
              <w:rPr>
                <w:sz w:val="10"/>
                <w:szCs w:val="10"/>
                <w:color w:val="auto"/>
              </w:rPr>
            </w:pP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84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340" w:type="dxa"/>
            <w:vAlign w:val="bottom"/>
          </w:tcPr>
          <w:p>
            <w:pPr>
              <w:spacing w:after="0"/>
              <w:rPr>
                <w:sz w:val="10"/>
                <w:szCs w:val="10"/>
                <w:color w:val="auto"/>
              </w:rPr>
            </w:pP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Form:</w:t>
            </w:r>
          </w:p>
        </w:tc>
        <w:tc>
          <w:tcPr>
            <w:tcW w:w="84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Direct (D)</w:t>
            </w:r>
          </w:p>
        </w:tc>
        <w:tc>
          <w:tcPr>
            <w:tcW w:w="84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or Indirect</w:t>
            </w:r>
          </w:p>
        </w:tc>
        <w:tc>
          <w:tcPr>
            <w:tcW w:w="84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340" w:type="dxa"/>
            <w:vAlign w:val="bottom"/>
          </w:tcPr>
          <w:p>
            <w:pPr>
              <w:spacing w:after="0"/>
              <w:rPr>
                <w:sz w:val="10"/>
                <w:szCs w:val="10"/>
                <w:color w:val="auto"/>
              </w:rPr>
            </w:pP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4 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gridSpan w:val="6"/>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w:t>
            </w:r>
          </w:p>
        </w:tc>
        <w:tc>
          <w:tcPr>
            <w:tcW w:w="3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gridSpan w:val="6"/>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continue"/>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ind w:left="100"/>
              <w:spacing w:after="0" w:line="138" w:lineRule="exact"/>
              <w:rPr>
                <w:sz w:val="20"/>
                <w:szCs w:val="20"/>
                <w:color w:val="auto"/>
              </w:rPr>
            </w:pPr>
            <w:r>
              <w:rPr>
                <w:rFonts w:ascii="Times New Roman" w:cs="Times New Roman" w:eastAsia="Times New Roman" w:hAnsi="Times New Roman"/>
                <w:sz w:val="13"/>
                <w:szCs w:val="13"/>
                <w:color w:val="0000FF"/>
              </w:rPr>
              <w:t>Deerfield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restart"/>
          </w:tcPr>
          <w:p>
            <w:pPr>
              <w:ind w:left="20"/>
              <w:spacing w:after="0" w:line="213" w:lineRule="exact"/>
              <w:rPr>
                <w:sz w:val="20"/>
                <w:szCs w:val="20"/>
                <w:color w:val="auto"/>
              </w:rPr>
            </w:pPr>
            <w:r>
              <w:rPr>
                <w:rFonts w:ascii="Times New Roman" w:cs="Times New Roman" w:eastAsia="Times New Roman" w:hAnsi="Times New Roman"/>
                <w:sz w:val="13"/>
                <w:szCs w:val="13"/>
                <w:color w:val="0000FF"/>
              </w:rPr>
              <w:t>16,600</w:t>
            </w:r>
            <w:r>
              <w:rPr>
                <w:rFonts w:ascii="Times New Roman" w:cs="Times New Roman" w:eastAsia="Times New Roman" w:hAnsi="Times New Roman"/>
                <w:sz w:val="20"/>
                <w:szCs w:val="20"/>
                <w:color w:val="008000"/>
                <w:vertAlign w:val="superscript"/>
              </w:rPr>
              <w:t>(1)</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gridSpan w:val="2"/>
            <w:vMerge w:val="restart"/>
          </w:tcPr>
          <w:p>
            <w:pPr>
              <w:ind w:left="20"/>
              <w:spacing w:after="0" w:line="213" w:lineRule="exact"/>
              <w:rPr>
                <w:sz w:val="20"/>
                <w:szCs w:val="20"/>
                <w:color w:val="auto"/>
              </w:rPr>
            </w:pPr>
            <w:r>
              <w:rPr>
                <w:rFonts w:ascii="Times New Roman" w:cs="Times New Roman" w:eastAsia="Times New Roman" w:hAnsi="Times New Roman"/>
                <w:sz w:val="16"/>
                <w:szCs w:val="16"/>
                <w:color w:val="0000FF"/>
              </w:rPr>
              <w:t>16,600</w:t>
            </w:r>
            <w:r>
              <w:rPr>
                <w:rFonts w:ascii="Times New Roman" w:cs="Times New Roman" w:eastAsia="Times New Roman" w:hAnsi="Times New Roman"/>
                <w:sz w:val="20"/>
                <w:szCs w:val="20"/>
                <w:color w:val="008000"/>
                <w:vertAlign w:val="superscript"/>
              </w:rPr>
              <w:t>(1)</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gridSpan w:val="2"/>
            <w:vMerge w:val="restart"/>
          </w:tcPr>
          <w:p>
            <w:pPr>
              <w:ind w:left="160"/>
              <w:spacing w:after="0" w:line="213" w:lineRule="exact"/>
              <w:rPr>
                <w:sz w:val="20"/>
                <w:szCs w:val="20"/>
                <w:color w:val="auto"/>
              </w:rPr>
            </w:pPr>
            <w:r>
              <w:rPr>
                <w:rFonts w:ascii="Times New Roman" w:cs="Times New Roman" w:eastAsia="Times New Roman" w:hAnsi="Times New Roman"/>
                <w:sz w:val="13"/>
                <w:szCs w:val="13"/>
                <w:color w:val="0000FF"/>
              </w:rPr>
              <w:t>16,600</w:t>
            </w:r>
            <w:r>
              <w:rPr>
                <w:rFonts w:ascii="Times New Roman" w:cs="Times New Roman" w:eastAsia="Times New Roman" w:hAnsi="Times New Roman"/>
                <w:sz w:val="20"/>
                <w:szCs w:val="20"/>
                <w:color w:val="008000"/>
                <w:vertAlign w:val="superscript"/>
              </w:rPr>
              <w:t>(1)</w:t>
            </w:r>
          </w:p>
        </w:tc>
        <w:tc>
          <w:tcPr>
            <w:tcW w:w="62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11.9</w:t>
            </w:r>
          </w:p>
        </w:tc>
        <w:tc>
          <w:tcPr>
            <w:tcW w:w="120" w:type="dxa"/>
            <w:vAlign w:val="bottom"/>
          </w:tcPr>
          <w:p>
            <w:pPr>
              <w:spacing w:after="0"/>
              <w:rPr>
                <w:sz w:val="13"/>
                <w:szCs w:val="13"/>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09/29/2020</w:t>
            </w:r>
          </w:p>
        </w:tc>
        <w:tc>
          <w:tcPr>
            <w:tcW w:w="1020" w:type="dxa"/>
            <w:vAlign w:val="bottom"/>
          </w:tcPr>
          <w:p>
            <w:pPr>
              <w:spacing w:after="0"/>
              <w:rPr>
                <w:sz w:val="13"/>
                <w:szCs w:val="13"/>
                <w:color w:val="auto"/>
              </w:rPr>
            </w:pPr>
          </w:p>
        </w:tc>
        <w:tc>
          <w:tcPr>
            <w:tcW w:w="840" w:type="dxa"/>
            <w:vAlign w:val="bottom"/>
            <w:gridSpan w:val="6"/>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07/16/2030</w:t>
            </w:r>
          </w:p>
        </w:tc>
        <w:tc>
          <w:tcPr>
            <w:tcW w:w="640" w:type="dxa"/>
            <w:vAlign w:val="bottom"/>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gridSpan w:val="2"/>
            <w:vMerge w:val="continue"/>
          </w:tcPr>
          <w:p>
            <w:pPr>
              <w:spacing w:after="0"/>
              <w:rPr>
                <w:sz w:val="13"/>
                <w:szCs w:val="13"/>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0000FF"/>
              </w:rPr>
              <w:t>Management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(Right to</w:t>
            </w: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4"/>
            <w:vMerge w:val="restart"/>
          </w:tcPr>
          <w:p>
            <w:pPr>
              <w:ind w:left="100"/>
              <w:spacing w:after="0" w:line="121" w:lineRule="exact"/>
              <w:rPr>
                <w:sz w:val="20"/>
                <w:szCs w:val="20"/>
                <w:color w:val="auto"/>
              </w:rPr>
            </w:pPr>
            <w:r>
              <w:rPr>
                <w:rFonts w:ascii="Times New Roman" w:cs="Times New Roman" w:eastAsia="Times New Roman" w:hAnsi="Times New Roman"/>
                <w:sz w:val="13"/>
                <w:szCs w:val="13"/>
                <w:color w:val="0000FF"/>
              </w:rPr>
              <w:t>Company,</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gridSpan w:val="4"/>
            <w:vMerge w:val="restart"/>
          </w:tcPr>
          <w:p>
            <w:pPr>
              <w:ind w:left="100"/>
              <w:spacing w:after="0" w:line="230" w:lineRule="exact"/>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0"/>
                <w:szCs w:val="10"/>
                <w:color w:val="008000"/>
              </w:rPr>
              <w:t>(1)(3)</w:t>
            </w: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6"/>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3"/>
          </w:tcPr>
          <w:p>
            <w:pPr>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Flynn James E</w:t>
              </w:r>
            </w:hyperlink>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4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780 THIRD AVENUE, 37TH FLOOR</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10017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4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1420" w:type="dxa"/>
            <w:vAlign w:val="bottom"/>
            <w:tcBorders>
              <w:bottom w:val="single" w:sz="8" w:color="2C2C2C"/>
            </w:tcBorders>
            <w:gridSpan w:val="3"/>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gridSpan w:val="12"/>
          </w:tcPr>
          <w:p>
            <w:pPr>
              <w:spacing w:after="0" w:line="213"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DEERFIELD MANAGEMENT COMPANY, L.P.</w:t>
              </w:r>
            </w:hyperlink>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0000EE"/>
            </w:tcBorders>
            <w:gridSpan w:val="3"/>
          </w:tcPr>
          <w:p>
            <w:pPr>
              <w:spacing w:after="0" w:line="206"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(SERIES C)</w:t>
              </w:r>
            </w:hyperlink>
          </w:p>
        </w:tc>
        <w:tc>
          <w:tcPr>
            <w:tcW w:w="12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4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780 THIRD AVENUE, 37TH FLOOR</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10017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4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-5868035</wp:posOffset>
            </wp:positionV>
            <wp:extent cx="7035800" cy="5930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5800" cy="5930900"/>
                    </a:xfrm>
                    <a:prstGeom prst="rect">
                      <a:avLst/>
                    </a:prstGeom>
                    <a:noFill/>
                  </pic:spPr>
                </pic:pic>
              </a:graphicData>
            </a:graphic>
          </wp:anchor>
        </w:drawing>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54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Jonathan S. Leff, a partner in Deerfield Management Company, L.P., serves as a director of the Issuer. The option granted to Jonathan S. Leff and reported herein is held for the benefit, and at the direction, of Deerfield Management Company, L.P. ("Deerfield Management")</w:t>
      </w:r>
    </w:p>
    <w:p>
      <w:pPr>
        <w:spacing w:after="0" w:line="22" w:lineRule="exact"/>
        <w:rPr>
          <w:rFonts w:ascii="Times New Roman" w:cs="Times New Roman" w:eastAsia="Times New Roman" w:hAnsi="Times New Roman"/>
          <w:sz w:val="13"/>
          <w:szCs w:val="13"/>
          <w:color w:val="008000"/>
        </w:rPr>
      </w:pPr>
    </w:p>
    <w:p>
      <w:pPr>
        <w:ind w:left="40" w:right="16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July 16, 2020 subject to stockholder approval, which was obtained at the Issuer's special meeting of stockholders on September 29, 2020. The vesting commencement date for the option is July 16, 2020, and the option vests in equal monthly installments over 36 months, subject to Jonathan S. Leff 's continued service with the Issuer through each applicable vesting date.</w:t>
      </w:r>
    </w:p>
    <w:p>
      <w:pPr>
        <w:spacing w:after="0" w:line="22" w:lineRule="exact"/>
        <w:rPr>
          <w:rFonts w:ascii="Times New Roman" w:cs="Times New Roman" w:eastAsia="Times New Roman" w:hAnsi="Times New Roman"/>
          <w:sz w:val="13"/>
          <w:szCs w:val="13"/>
          <w:color w:val="008000"/>
        </w:rPr>
      </w:pPr>
    </w:p>
    <w:p>
      <w:pPr>
        <w:ind w:left="40" w:right="240" w:hanging="2"/>
        <w:spacing w:after="0" w:line="231"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the undersigned as well as the entity listed on the Joint Filer Information Statement attached as an exhibit hereto (the "Reporting Persons"). James E. Flynn is the sole member of the general partner of Deerfield Management Company, L.P. For purposes of Section 16 of the Securities Exchange Act of 1934, as amended, each Reporting Person disclaims beneficial ownership of any such securities, except to the extent of his/its indirect pecuniary interest therein, if any, and this report shall not be deemed an admission that such Reporting Person is the beneficial owner of such securities for purposes of Section 16 or otherwise.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0" w:lineRule="exact"/>
        <w:rPr>
          <w:sz w:val="20"/>
          <w:szCs w:val="20"/>
          <w:color w:val="auto"/>
        </w:rPr>
      </w:pPr>
    </w:p>
    <w:p>
      <w:pPr>
        <w:ind w:left="40" w:right="360"/>
        <w:spacing w:after="0" w:line="231" w:lineRule="auto"/>
        <w:rPr>
          <w:sz w:val="20"/>
          <w:szCs w:val="20"/>
          <w:color w:val="auto"/>
        </w:rPr>
      </w:pPr>
      <w:r>
        <w:rPr>
          <w:rFonts w:ascii="Times New Roman" w:cs="Times New Roman" w:eastAsia="Times New Roman" w:hAnsi="Times New Roman"/>
          <w:sz w:val="13"/>
          <w:szCs w:val="13"/>
          <w:color w:val="008000"/>
        </w:rPr>
        <w:t>Jonathan S. Leff, a partner in Deerfield Management, serves as a director of the Issuer. Jonathan Isler, Attorney-in-Fact: Power of Attorney, which is hereby incorporated by reference to Exhibit 24 to a Form 3 with regard to Proteon Therapeutics, Inc. filed with the Securities and Exchange Commission on August 4, 2017 by Deerfield Special Situations Fund, L.P., Deerfield Partners, L.P., Deerfield International Master Fund, L.P., Deerfield Private Design Fund III, L.P., Deerfield Private Design Fund IV, L.P., Deerfield Mgmt, L.P., Deerfield Mgmt III, L.P., Deerfield Mgmt IV, L.P., Deerfield Management Company, L.P., and James E. Flynn.</w:t>
      </w:r>
    </w:p>
    <w:p>
      <w:pPr>
        <w:spacing w:after="0" w:line="42"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Jonathan Isler, Attorney-in-</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10/01/2020</w:t>
            </w:r>
          </w:p>
        </w:tc>
        <w:tc>
          <w:tcPr>
            <w:tcW w:w="0" w:type="dxa"/>
            <w:vAlign w:val="bottom"/>
          </w:tcPr>
          <w:p>
            <w:pPr>
              <w:spacing w:after="0"/>
              <w:rPr>
                <w:sz w:val="1"/>
                <w:szCs w:val="1"/>
                <w:color w:val="auto"/>
              </w:rPr>
            </w:pPr>
          </w:p>
        </w:tc>
      </w:tr>
      <w:tr>
        <w:trPr>
          <w:trHeight w:val="80"/>
        </w:trPr>
        <w:tc>
          <w:tcPr>
            <w:tcW w:w="28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continue"/>
          </w:tcPr>
          <w:p>
            <w:pPr>
              <w:spacing w:after="0"/>
              <w:rPr>
                <w:sz w:val="6"/>
                <w:szCs w:val="6"/>
                <w:color w:val="auto"/>
              </w:rPr>
            </w:pPr>
          </w:p>
        </w:tc>
        <w:tc>
          <w:tcPr>
            <w:tcW w:w="170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ectPr>
          <w:pgSz w:w="11900" w:h="16838" w:orient="portrait"/>
          <w:cols w:equalWidth="0" w:num="1">
            <w:col w:w="11080"/>
          </w:cols>
          <w:pgMar w:left="460" w:top="214"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6" w:lineRule="auto"/>
        <w:tabs>
          <w:tab w:leader="none" w:pos="134"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1"/>
          </w:cols>
          <w:pgMar w:left="498" w:top="124" w:right="1440"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6"/>
          <w:szCs w:val="16"/>
          <w:color w:val="auto"/>
        </w:rPr>
        <w:t>Joint Filer Information</w:t>
      </w:r>
    </w:p>
    <w:p>
      <w:pPr>
        <w:sectPr>
          <w:pgSz w:w="11900" w:h="16838" w:orient="portrait"/>
          <w:cols w:equalWidth="0" w:num="1">
            <w:col w:w="10580"/>
          </w:cols>
          <w:pgMar w:left="460" w:top="348" w:right="859" w:bottom="1440" w:gutter="0" w:footer="0" w:header="0"/>
        </w:sect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Deerfield Management Company, L.P.</w:t>
      </w:r>
    </w:p>
    <w:p>
      <w:pPr>
        <w:spacing w:after="0" w:line="211" w:lineRule="exact"/>
        <w:rPr>
          <w:sz w:val="20"/>
          <w:szCs w:val="20"/>
          <w:color w:val="auto"/>
        </w:rPr>
      </w:pPr>
    </w:p>
    <w:p>
      <w:pPr>
        <w:sectPr>
          <w:pgSz w:w="11900" w:h="16838" w:orient="portrait"/>
          <w:cols w:equalWidth="0" w:num="2">
            <w:col w:w="2140" w:space="720"/>
            <w:col w:w="7720"/>
          </w:cols>
          <w:pgMar w:left="460" w:top="348" w:right="85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780 Third Avenue, 37th Floor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10017</w:t>
      </w:r>
    </w:p>
    <w:p>
      <w:pPr>
        <w:spacing w:after="0" w:line="189" w:lineRule="exact"/>
        <w:rPr>
          <w:sz w:val="20"/>
          <w:szCs w:val="20"/>
          <w:color w:val="auto"/>
        </w:rPr>
      </w:pPr>
    </w:p>
    <w:p>
      <w:pPr>
        <w:sectPr>
          <w:pgSz w:w="11900" w:h="16838" w:orient="portrait"/>
          <w:cols w:equalWidth="0" w:num="2">
            <w:col w:w="2140" w:space="720"/>
            <w:col w:w="7720"/>
          </w:cols>
          <w:pgMar w:left="460" w:top="348" w:right="8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James E. Flynn</w:t>
      </w:r>
    </w:p>
    <w:p>
      <w:pPr>
        <w:spacing w:after="0" w:line="200" w:lineRule="exact"/>
        <w:rPr>
          <w:sz w:val="20"/>
          <w:szCs w:val="20"/>
          <w:color w:val="auto"/>
        </w:rPr>
      </w:pPr>
    </w:p>
    <w:p>
      <w:pPr>
        <w:sectPr>
          <w:pgSz w:w="11900" w:h="16838" w:orient="portrait"/>
          <w:cols w:equalWidth="0" w:num="2">
            <w:col w:w="2140" w:space="720"/>
            <w:col w:w="7720"/>
          </w:cols>
          <w:pgMar w:left="460" w:top="348" w:right="85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Issuer and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Larimar Therapeutics, Inc. [LRMR]</w:t>
      </w:r>
    </w:p>
    <w:p>
      <w:pPr>
        <w:spacing w:after="0" w:line="200" w:lineRule="exact"/>
        <w:rPr>
          <w:sz w:val="20"/>
          <w:szCs w:val="20"/>
          <w:color w:val="auto"/>
        </w:rPr>
      </w:pPr>
    </w:p>
    <w:p>
      <w:pPr>
        <w:sectPr>
          <w:pgSz w:w="11900" w:h="16838" w:orient="portrait"/>
          <w:cols w:equalWidth="0" w:num="2">
            <w:col w:w="2140" w:space="720"/>
            <w:col w:w="7720"/>
          </w:cols>
          <w:pgMar w:left="460" w:top="348" w:right="85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of Event Requiring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October 1, 2020</w:t>
      </w:r>
    </w:p>
    <w:p>
      <w:pPr>
        <w:spacing w:after="0" w:line="200" w:lineRule="exact"/>
        <w:rPr>
          <w:sz w:val="20"/>
          <w:szCs w:val="20"/>
          <w:color w:val="auto"/>
        </w:rPr>
      </w:pPr>
    </w:p>
    <w:p>
      <w:pPr>
        <w:sectPr>
          <w:pgSz w:w="11900" w:h="16838" w:orient="portrait"/>
          <w:cols w:equalWidth="0" w:num="2">
            <w:col w:w="2400" w:space="460"/>
            <w:col w:w="7720"/>
          </w:cols>
          <w:pgMar w:left="460" w:top="348" w:right="85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Deerfield Management Company, L.P., is jointly filing the attached Statement of Changes in Beneficial Ownership on Form 4 with James 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Flynn with respect to the beneficial ownership of securities of Larimar Therapeutics,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DEERFIELD MANAGEMENT COMPANY,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Flynn Management LLC, General Partner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Jonathan Isler</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Jonathan Isler, Attorney-In-Fact</w:t>
      </w:r>
    </w:p>
    <w:sectPr>
      <w:pgSz w:w="11900" w:h="16838" w:orient="portrait"/>
      <w:cols w:equalWidth="0" w:num="1">
        <w:col w:w="10580"/>
      </w:cols>
      <w:pgMar w:left="460" w:top="348" w:right="8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3" Type="http://schemas.openxmlformats.org/officeDocument/2006/relationships/hyperlink" Target="http://www.sec.gov/cgi-bin/browse-edgar?action=getcompany&amp;CIK=0001352546" TargetMode="External"/><Relationship Id="rId14" Type="http://schemas.openxmlformats.org/officeDocument/2006/relationships/hyperlink" Target="http://www.sec.gov/cgi-bin/browse-edgar?action=getcompany&amp;CIK=0001374690" TargetMode="External"/><Relationship Id="rId15" Type="http://schemas.openxmlformats.org/officeDocument/2006/relationships/hyperlink" Target="http://www.sec.gov/cgi-bin/browse-edgar?action=getcompany&amp;CIK=0001009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2020-10-01T15:44:24Z</dcterms:created>
  <dcterms:modified xsi:type="dcterms:W3CDTF">2020-10-01T15:44:24Z</dcterms:modified>
</cp:coreProperties>
</file>