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40"/>
        <w:spacing w:after="0"/>
        <w:rPr>
          <w:sz w:val="20"/>
          <w:szCs w:val="20"/>
          <w:color w:val="auto"/>
        </w:rPr>
      </w:pPr>
      <w:r>
        <w:rPr>
          <w:rFonts w:ascii="Arial" w:cs="Arial" w:eastAsia="Arial" w:hAnsi="Arial"/>
          <w:sz w:val="18"/>
          <w:szCs w:val="18"/>
          <w:b w:val="1"/>
          <w:bCs w:val="1"/>
          <w:color w:val="auto"/>
        </w:rPr>
        <w:t>As filed with the Securities and Exchange Commission on March 9, 2018</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ind w:right="46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60"/>
        <w:spacing w:after="0"/>
        <w:rPr>
          <w:sz w:val="20"/>
          <w:szCs w:val="20"/>
          <w:color w:val="auto"/>
        </w:rPr>
      </w:pPr>
      <w:r>
        <w:rPr>
          <w:rFonts w:ascii="Arial" w:cs="Arial" w:eastAsia="Arial" w:hAnsi="Arial"/>
          <w:sz w:val="32"/>
          <w:szCs w:val="32"/>
          <w:b w:val="1"/>
          <w:bCs w:val="1"/>
          <w:color w:val="auto"/>
        </w:rPr>
        <w:t>SECURITIES AND EXCHANGE COMMISSION</w:t>
      </w:r>
    </w:p>
    <w:p>
      <w:pPr>
        <w:ind w:left="3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60"/>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460"/>
        <w:spacing w:after="0"/>
        <w:rPr>
          <w:sz w:val="20"/>
          <w:szCs w:val="20"/>
          <w:color w:val="auto"/>
        </w:rPr>
      </w:pPr>
      <w:r>
        <w:rPr>
          <w:rFonts w:ascii="Arial" w:cs="Arial" w:eastAsia="Arial" w:hAnsi="Arial"/>
          <w:sz w:val="32"/>
          <w:szCs w:val="32"/>
          <w:b w:val="1"/>
          <w:bCs w:val="1"/>
          <w:color w:val="auto"/>
        </w:rPr>
        <w:t>REGISTRATION STATEMENT</w:t>
      </w:r>
    </w:p>
    <w:p>
      <w:pPr>
        <w:jc w:val="center"/>
        <w:ind w:right="46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46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460"/>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9500"/>
          </w:cols>
          <w:pgMar w:left="1440" w:top="229" w:right="9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20-3857670</w:t>
      </w:r>
    </w:p>
    <w:p>
      <w:pPr>
        <w:spacing w:after="0" w:line="31" w:lineRule="exact"/>
        <w:rPr>
          <w:sz w:val="24"/>
          <w:szCs w:val="24"/>
          <w:color w:val="auto"/>
        </w:rPr>
      </w:pPr>
    </w:p>
    <w:p>
      <w:pPr>
        <w:sectPr>
          <w:pgSz w:w="11900" w:h="16838" w:orient="portrait"/>
          <w:cols w:equalWidth="0" w:num="2">
            <w:col w:w="6300" w:space="720"/>
            <w:col w:w="2480"/>
          </w:cols>
          <w:pgMar w:left="1440" w:top="229" w:right="959" w:bottom="1440" w:gutter="0" w:footer="0" w:header="0"/>
          <w:type w:val="continuous"/>
        </w:sectPr>
      </w:pPr>
    </w:p>
    <w:p>
      <w:pPr>
        <w:spacing w:after="0" w:line="12" w:lineRule="exact"/>
        <w:rPr>
          <w:sz w:val="24"/>
          <w:szCs w:val="24"/>
          <w:color w:val="auto"/>
        </w:rPr>
      </w:pPr>
    </w:p>
    <w:p>
      <w:pPr>
        <w:ind w:left="760"/>
        <w:spacing w:after="0"/>
        <w:rPr>
          <w:sz w:val="20"/>
          <w:szCs w:val="20"/>
          <w:color w:val="auto"/>
        </w:rPr>
      </w:pPr>
      <w:r>
        <w:rPr>
          <w:rFonts w:ascii="Arial" w:cs="Arial" w:eastAsia="Arial" w:hAnsi="Arial"/>
          <w:sz w:val="13"/>
          <w:szCs w:val="13"/>
          <w:b w:val="1"/>
          <w:bCs w:val="1"/>
          <w:color w:val="auto"/>
        </w:rPr>
        <w:t>(State or Other Jurisdiction of</w:t>
      </w:r>
    </w:p>
    <w:p>
      <w:pPr>
        <w:ind w:left="7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6160" w:space="720"/>
            <w:col w:w="2620"/>
          </w:cols>
          <w:pgMar w:left="1440" w:top="229" w:right="959" w:bottom="1440" w:gutter="0" w:footer="0" w:header="0"/>
          <w:type w:val="continuous"/>
        </w:sectPr>
      </w:pPr>
    </w:p>
    <w:p>
      <w:pPr>
        <w:spacing w:after="0" w:line="1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4"/>
          <w:szCs w:val="24"/>
          <w:color w:val="auto"/>
        </w:rPr>
      </w:pPr>
    </w:p>
    <w:p>
      <w:pPr>
        <w:jc w:val="center"/>
        <w:ind w:right="480"/>
        <w:spacing w:after="0"/>
        <w:rPr>
          <w:sz w:val="20"/>
          <w:szCs w:val="20"/>
          <w:color w:val="auto"/>
        </w:rPr>
      </w:pPr>
      <w:r>
        <w:rPr>
          <w:rFonts w:ascii="Arial" w:cs="Arial" w:eastAsia="Arial" w:hAnsi="Arial"/>
          <w:sz w:val="17"/>
          <w:szCs w:val="17"/>
          <w:b w:val="1"/>
          <w:bCs w:val="1"/>
          <w:color w:val="auto"/>
        </w:rPr>
        <w:t>Boston, Massachusetts 02114</w:t>
      </w:r>
    </w:p>
    <w:p>
      <w:pPr>
        <w:spacing w:after="0" w:line="3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(617) 622-4003</w:t>
      </w:r>
    </w:p>
    <w:p>
      <w:pPr>
        <w:spacing w:after="0" w:line="2" w:lineRule="exact"/>
        <w:rPr>
          <w:sz w:val="24"/>
          <w:szCs w:val="24"/>
          <w:color w:val="auto"/>
        </w:rPr>
      </w:pPr>
    </w:p>
    <w:p>
      <w:pPr>
        <w:ind w:left="3280"/>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9500"/>
          </w:cols>
          <w:pgMar w:left="1440" w:top="229" w:right="959" w:bottom="1440" w:gutter="0" w:footer="0" w:header="0"/>
          <w:type w:val="continuous"/>
        </w:sectPr>
      </w:pPr>
    </w:p>
    <w:p>
      <w:pPr>
        <w:spacing w:after="0" w:line="215" w:lineRule="exact"/>
        <w:rPr>
          <w:sz w:val="24"/>
          <w:szCs w:val="24"/>
          <w:color w:val="auto"/>
        </w:rPr>
      </w:pPr>
    </w:p>
    <w:p>
      <w:pPr>
        <w:jc w:val="center"/>
        <w:ind w:right="460"/>
        <w:spacing w:after="0"/>
        <w:rPr>
          <w:sz w:val="20"/>
          <w:szCs w:val="20"/>
          <w:color w:val="auto"/>
        </w:rPr>
      </w:pPr>
      <w:r>
        <w:rPr>
          <w:rFonts w:ascii="Arial" w:cs="Arial" w:eastAsia="Arial" w:hAnsi="Arial"/>
          <w:sz w:val="16"/>
          <w:szCs w:val="16"/>
          <w:b w:val="1"/>
          <w:bCs w:val="1"/>
          <w:color w:val="auto"/>
        </w:rPr>
        <w:t>Zafgen, Inc. 2014 Stock Option and Incentive Plan</w:t>
      </w:r>
    </w:p>
    <w:p>
      <w:pPr>
        <w:spacing w:after="0" w:line="44" w:lineRule="exact"/>
        <w:rPr>
          <w:sz w:val="24"/>
          <w:szCs w:val="24"/>
          <w:color w:val="auto"/>
        </w:rPr>
      </w:pPr>
    </w:p>
    <w:p>
      <w:pPr>
        <w:jc w:val="center"/>
        <w:ind w:right="460"/>
        <w:spacing w:after="0"/>
        <w:rPr>
          <w:sz w:val="20"/>
          <w:szCs w:val="20"/>
          <w:color w:val="auto"/>
        </w:rPr>
      </w:pPr>
      <w:r>
        <w:rPr>
          <w:rFonts w:ascii="Arial" w:cs="Arial" w:eastAsia="Arial" w:hAnsi="Arial"/>
          <w:sz w:val="14"/>
          <w:szCs w:val="14"/>
          <w:b w:val="1"/>
          <w:bCs w:val="1"/>
          <w:color w:val="auto"/>
        </w:rPr>
        <w:t>(Full Title of the Plans)</w:t>
      </w:r>
    </w:p>
    <w:p>
      <w:pPr>
        <w:spacing w:after="0" w:line="192"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Jeffrey Hatfield</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Zafgen, Inc.</w:t>
      </w:r>
    </w:p>
    <w:p>
      <w:pPr>
        <w:spacing w:after="0" w:line="9"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175 Portland Street, 4th Floor</w:t>
      </w:r>
    </w:p>
    <w:p>
      <w:pPr>
        <w:spacing w:after="0" w:line="9"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Boston, Massachusetts 02114</w:t>
      </w:r>
    </w:p>
    <w:p>
      <w:pPr>
        <w:spacing w:after="0" w:line="2" w:lineRule="exact"/>
        <w:rPr>
          <w:sz w:val="24"/>
          <w:szCs w:val="24"/>
          <w:color w:val="auto"/>
        </w:rPr>
      </w:pPr>
    </w:p>
    <w:p>
      <w:pPr>
        <w:ind w:left="3240"/>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i w:val="1"/>
          <w:iCs w:val="1"/>
          <w:color w:val="auto"/>
        </w:rPr>
        <w:t>Copy to:</w:t>
      </w:r>
    </w:p>
    <w:p>
      <w:pPr>
        <w:spacing w:after="0" w:line="113"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Mitchell S. Bloom, Esq.</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Laurie A. Burlingame, Esq.</w:t>
      </w:r>
    </w:p>
    <w:p>
      <w:pPr>
        <w:spacing w:after="0" w:line="9"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Goodwin Procter LLP</w:t>
      </w:r>
    </w:p>
    <w:p>
      <w:pPr>
        <w:spacing w:after="0" w:line="9"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100 Northern Avenue</w:t>
      </w:r>
    </w:p>
    <w:p>
      <w:pPr>
        <w:spacing w:after="0" w:line="9"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Boston, Massachusetts 02210</w:t>
      </w:r>
    </w:p>
    <w:p>
      <w:pPr>
        <w:spacing w:after="0" w:line="9"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237490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9500"/>
          </w:cols>
          <w:pgMar w:left="1440" w:top="229" w:right="959" w:bottom="1440" w:gutter="0" w:footer="0" w:header="0"/>
          <w:type w:val="continuous"/>
        </w:sectPr>
      </w:pPr>
    </w:p>
    <w:bookmarkStart w:id="1" w:name="page2"/>
    <w:bookmarkEnd w:id="1"/>
    <w:p>
      <w:pPr>
        <w:ind w:right="1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0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0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80" w:type="dxa"/>
            <w:vAlign w:val="bottom"/>
            <w:tcBorders>
              <w:right w:val="single" w:sz="8" w:color="auto"/>
            </w:tcBorders>
          </w:tcPr>
          <w:p>
            <w:pPr>
              <w:jc w:val="center"/>
              <w:ind w:left="6"/>
              <w:spacing w:after="0" w:line="106" w:lineRule="exact"/>
              <w:rPr>
                <w:sz w:val="20"/>
                <w:szCs w:val="20"/>
                <w:color w:val="auto"/>
              </w:rPr>
            </w:pPr>
            <w:r>
              <w:rPr>
                <w:rFonts w:ascii="Arial" w:cs="Arial" w:eastAsia="Arial" w:hAnsi="Arial"/>
                <w:sz w:val="12"/>
                <w:szCs w:val="12"/>
                <w:b w:val="1"/>
                <w:bCs w:val="1"/>
                <w:color w:val="auto"/>
              </w:rPr>
              <w:t>Proposed</w:t>
            </w:r>
          </w:p>
        </w:tc>
        <w:tc>
          <w:tcPr>
            <w:tcW w:w="1580" w:type="dxa"/>
            <w:vAlign w:val="bottom"/>
            <w:tcBorders>
              <w:right w:val="single" w:sz="8" w:color="auto"/>
            </w:tcBorders>
          </w:tcPr>
          <w:p>
            <w:pPr>
              <w:jc w:val="center"/>
              <w:ind w:left="6"/>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88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 per share</w:t>
            </w:r>
          </w:p>
        </w:tc>
        <w:tc>
          <w:tcPr>
            <w:tcW w:w="188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89"/>
              </w:rPr>
              <w:t>1,099,578 shares (2)</w:t>
            </w:r>
          </w:p>
        </w:tc>
        <w:tc>
          <w:tcPr>
            <w:tcW w:w="158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91"/>
              </w:rPr>
              <w:t>$7.84 (3)</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$8,620,691.52</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89"/>
              </w:rPr>
              <w:t>$1,073.28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120" w:hanging="452"/>
        <w:spacing w:after="0" w:line="253"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this registration statement on Form S-8 (this “Registration Statement”) shall also cover any additional shares of common stock, par value $0.001 per share (the “Common Stock”), of Zafgen, Inc. (the “Registrant”), which become issuable under the Registrant’s 2014 Stock Option and Incentive Plan (the “Plan”) by reason of any stock dividend, stock split, recapitalization or any other similar transaction effected without the receipt of consideration which results in an increase in the number of the Registrant’s outstanding shares of Common Stock.</w:t>
      </w:r>
    </w:p>
    <w:p>
      <w:pPr>
        <w:spacing w:after="0" w:line="2"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an automatic increase to the number of shares available for issuance under the Plan, effective January 1, 2018. Shares available for issuance under the Plan were previously registered on registration statements on Form S-8 filed with the Securities and Exchange Commission on June 19, 2014 (Registration No. 333-196900), June 12, 2015 (Registration No. 333-204931), March 15, 2016 (Registration No. 333-210216), and March 10, 2017 (Registration No. 333-216602).</w:t>
      </w:r>
    </w:p>
    <w:p>
      <w:pPr>
        <w:spacing w:after="0" w:line="1" w:lineRule="exact"/>
        <w:rPr>
          <w:rFonts w:ascii="Arial" w:cs="Arial" w:eastAsia="Arial" w:hAnsi="Arial"/>
          <w:sz w:val="18"/>
          <w:szCs w:val="18"/>
          <w:color w:val="auto"/>
        </w:rPr>
      </w:pPr>
    </w:p>
    <w:p>
      <w:pPr>
        <w:ind w:left="460" w:right="200" w:hanging="452"/>
        <w:spacing w:after="0" w:line="290"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Rule 457(h) of the Securities Act, and based on the average of the high and low sale prices of the Registrant’s Common Stock, as quoted on the Nasdaq Global Select Market, on March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Registration Statement on Form S-8 registers additional shares of Common Stock under the Registrant’s 2014 Stock Option and Incentive Plan (the “Plan”). The number of shares of Common Stock reserved and available for issuance under the Plan is subject to an automatic annual increase on each January 1, beginning in 2015, by an amount equal to four percent of the number of shares of Common Stock issued and outstanding on the immediately preceding December 31 or such lesser number of shares of Common Stock as determined by the Compensation Committee of the Registrant’s Board of Directors. Accordingly, on January 1, 2018, the number of shares of Common Stock reserved and available for issuance under the plan increased by 1,099,578. This Registration Statement registers these additional 1,099,578 shares of Common Stock. The additional shares are of the same class as other securities relating to the Plan for which the Registrant’s registration statement filed on Form S-8 (Registration Nos. 333-196900, 333-204931, 333-210216, and 333-216602) on June 19, 2014, June 12, 2015, March 15, 2016, and March 10, 2017 are effective. The information contained in the Registrant’s registration statements on Form S-8 (Registration Nos. 333-196900, 333-204931, 333-210216, and 333-216602) is hereby incorporated by reference pursuant to General Instruction 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0" w:right="299"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registration statement, which Exhibit Index is incorporated herein by reference.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270"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80" w:type="dxa"/>
            <w:vAlign w:val="bottom"/>
            <w:gridSpan w:val="10"/>
          </w:tcPr>
          <w:p>
            <w:pPr>
              <w:ind w:left="3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8"/>
              </w:rPr>
              <w:t>Exhibit</w:t>
            </w: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20" w:type="dxa"/>
            <w:vAlign w:val="bottom"/>
            <w:gridSpan w:val="8"/>
            <w:vMerge w:val="restart"/>
          </w:tcPr>
          <w:p>
            <w:pPr>
              <w:ind w:left="4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No.</w:t>
            </w: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2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2"/>
                <w:szCs w:val="22"/>
                <w:color w:val="auto"/>
              </w:rPr>
            </w:pPr>
          </w:p>
        </w:tc>
        <w:tc>
          <w:tcPr>
            <w:tcW w:w="10400" w:type="dxa"/>
            <w:vAlign w:val="bottom"/>
            <w:tcBorders>
              <w:top w:val="single" w:sz="8" w:color="auto"/>
            </w:tcBorders>
            <w:gridSpan w:val="16"/>
          </w:tcPr>
          <w:p>
            <w:pPr>
              <w:spacing w:after="0"/>
              <w:rPr>
                <w:rFonts w:ascii="Arial" w:cs="Arial" w:eastAsia="Arial" w:hAnsi="Arial"/>
                <w:sz w:val="18"/>
                <w:szCs w:val="18"/>
                <w:color w:val="0000EE"/>
                <w:w w:val="91"/>
              </w:rPr>
            </w:pPr>
            <w:hyperlink r:id="rId21">
              <w:r>
                <w:rPr>
                  <w:rFonts w:ascii="Arial" w:cs="Arial" w:eastAsia="Arial" w:hAnsi="Arial"/>
                  <w:sz w:val="18"/>
                  <w:szCs w:val="18"/>
                  <w:color w:val="0000EE"/>
                  <w:w w:val="91"/>
                </w:rPr>
                <w:t>Form of Common Stock certificate of the registrant (Incorporated by reference to Exhibit 4.1 to the registrant’s Registration Statement on Form</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S-1, as amended (File No. 333-195391)).</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10400" w:type="dxa"/>
            <w:vAlign w:val="bottom"/>
            <w:gridSpan w:val="16"/>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Form of Amended and Restated Certificate of Incorporation (Incorporated by reference to Exhibit 3.2 to the registrant’s Registration Statement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on Form S-1, as amended (File No. 333-195391)).</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24"/>
                <w:szCs w:val="24"/>
                <w:color w:val="auto"/>
              </w:rPr>
            </w:pPr>
          </w:p>
        </w:tc>
        <w:tc>
          <w:tcPr>
            <w:tcW w:w="10120" w:type="dxa"/>
            <w:vAlign w:val="bottom"/>
            <w:tcBorders>
              <w:bottom w:val="single" w:sz="8" w:color="0000EE"/>
            </w:tcBorders>
            <w:gridSpan w:val="13"/>
          </w:tcPr>
          <w:p>
            <w:pPr>
              <w:spacing w:after="0"/>
              <w:rPr>
                <w:rFonts w:ascii="Arial" w:cs="Arial" w:eastAsia="Arial" w:hAnsi="Arial"/>
                <w:sz w:val="18"/>
                <w:szCs w:val="18"/>
                <w:color w:val="0000EE"/>
                <w:w w:val="90"/>
              </w:rPr>
            </w:pPr>
            <w:hyperlink r:id="rId23">
              <w:r>
                <w:rPr>
                  <w:rFonts w:ascii="Arial" w:cs="Arial" w:eastAsia="Arial" w:hAnsi="Arial"/>
                  <w:sz w:val="18"/>
                  <w:szCs w:val="18"/>
                  <w:color w:val="0000EE"/>
                  <w:w w:val="90"/>
                </w:rPr>
                <w:t>Form of Amended and Restated By-laws (Incorporated by reference to Exhibit 3.4 to the registrant’s Registration Statement on Form S-1, as</w:t>
              </w:r>
            </w:hyperlink>
          </w:p>
        </w:tc>
        <w:tc>
          <w:tcPr>
            <w:tcW w:w="2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0" w:type="dxa"/>
            <w:vAlign w:val="bottom"/>
            <w:gridSpan w:val="16"/>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amended (File No. 333-195391)).</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24"/>
                <w:szCs w:val="24"/>
                <w:color w:val="auto"/>
              </w:rPr>
            </w:pPr>
          </w:p>
        </w:tc>
        <w:tc>
          <w:tcPr>
            <w:tcW w:w="10400" w:type="dxa"/>
            <w:vAlign w:val="bottom"/>
            <w:gridSpan w:val="16"/>
          </w:tcPr>
          <w:p>
            <w:pPr>
              <w:spacing w:after="0"/>
              <w:rPr>
                <w:rFonts w:ascii="Arial" w:cs="Arial" w:eastAsia="Arial" w:hAnsi="Arial"/>
                <w:sz w:val="18"/>
                <w:szCs w:val="18"/>
                <w:color w:val="0000EE"/>
              </w:rPr>
            </w:pPr>
            <w:hyperlink r:id="rId24">
              <w:r>
                <w:rPr>
                  <w:rFonts w:ascii="Arial" w:cs="Arial" w:eastAsia="Arial" w:hAnsi="Arial"/>
                  <w:sz w:val="18"/>
                  <w:szCs w:val="18"/>
                  <w:color w:val="0000EE"/>
                </w:rPr>
                <w:t>Third Amended and Restated Investors’ Rights Agreement by and among the registrant and certain of its stockholders, dated as of</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0" w:type="dxa"/>
            <w:vAlign w:val="bottom"/>
            <w:gridSpan w:val="16"/>
          </w:tcPr>
          <w:p>
            <w:pPr>
              <w:spacing w:after="0" w:line="196" w:lineRule="exact"/>
              <w:rPr>
                <w:rFonts w:ascii="Arial" w:cs="Arial" w:eastAsia="Arial" w:hAnsi="Arial"/>
                <w:sz w:val="18"/>
                <w:szCs w:val="18"/>
                <w:color w:val="0000EE"/>
                <w:w w:val="97"/>
              </w:rPr>
            </w:pPr>
            <w:hyperlink r:id="rId24">
              <w:r>
                <w:rPr>
                  <w:rFonts w:ascii="Arial" w:cs="Arial" w:eastAsia="Arial" w:hAnsi="Arial"/>
                  <w:sz w:val="18"/>
                  <w:szCs w:val="18"/>
                  <w:color w:val="0000EE"/>
                  <w:w w:val="97"/>
                </w:rPr>
                <w:t>November 25, 2013 (Incorporated by reference to Exhibit 4.2 to the registrant’s Registration Statement on Form S-1, as amended (File</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No. 333-195391)).</w:t>
              </w:r>
            </w:hyperlink>
          </w:p>
        </w:tc>
        <w:tc>
          <w:tcPr>
            <w:tcW w:w="7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24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2"/>
              </w:rPr>
              <w:t>Opinion of Goodwin Procter LLP.</w:t>
            </w:r>
          </w:p>
        </w:tc>
        <w:tc>
          <w:tcPr>
            <w:tcW w:w="79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5"/>
              </w:rPr>
              <w:t>23.1*</w:t>
            </w:r>
          </w:p>
        </w:tc>
        <w:tc>
          <w:tcPr>
            <w:tcW w:w="560" w:type="dxa"/>
            <w:vAlign w:val="bottom"/>
          </w:tcPr>
          <w:p>
            <w:pPr>
              <w:spacing w:after="0"/>
              <w:rPr>
                <w:sz w:val="24"/>
                <w:szCs w:val="24"/>
                <w:color w:val="auto"/>
              </w:rPr>
            </w:pPr>
          </w:p>
        </w:tc>
        <w:tc>
          <w:tcPr>
            <w:tcW w:w="64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0"/>
              </w:rPr>
              <w:t>Consent of PricewaterhouseCoopers LLP, independent registered public accounting firm.</w:t>
            </w:r>
          </w:p>
        </w:tc>
        <w:tc>
          <w:tcPr>
            <w:tcW w:w="39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5"/>
              </w:rPr>
              <w:t>23.2*</w:t>
            </w:r>
          </w:p>
        </w:tc>
        <w:tc>
          <w:tcPr>
            <w:tcW w:w="560" w:type="dxa"/>
            <w:vAlign w:val="bottom"/>
          </w:tcPr>
          <w:p>
            <w:pPr>
              <w:spacing w:after="0"/>
              <w:rPr>
                <w:sz w:val="24"/>
                <w:szCs w:val="24"/>
                <w:color w:val="auto"/>
              </w:rPr>
            </w:pPr>
          </w:p>
        </w:tc>
        <w:tc>
          <w:tcPr>
            <w:tcW w:w="43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2"/>
              </w:rPr>
              <w:t>Consent of Goodwin Procter LLP (included in Exhibit 5.1).</w:t>
            </w:r>
          </w:p>
        </w:tc>
        <w:tc>
          <w:tcPr>
            <w:tcW w:w="61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5"/>
              </w:rPr>
              <w:t>24.1*</w:t>
            </w:r>
          </w:p>
        </w:tc>
        <w:tc>
          <w:tcPr>
            <w:tcW w:w="560" w:type="dxa"/>
            <w:vAlign w:val="bottom"/>
          </w:tcPr>
          <w:p>
            <w:pPr>
              <w:spacing w:after="0"/>
              <w:rPr>
                <w:sz w:val="24"/>
                <w:szCs w:val="24"/>
                <w:color w:val="auto"/>
              </w:rPr>
            </w:pPr>
          </w:p>
        </w:tc>
        <w:tc>
          <w:tcPr>
            <w:tcW w:w="34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Power of attorney (included on signature page).</w:t>
              </w:r>
            </w:hyperlink>
          </w:p>
        </w:tc>
        <w:tc>
          <w:tcPr>
            <w:tcW w:w="69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99.1</w:t>
            </w:r>
          </w:p>
        </w:tc>
        <w:tc>
          <w:tcPr>
            <w:tcW w:w="560" w:type="dxa"/>
            <w:vAlign w:val="bottom"/>
          </w:tcPr>
          <w:p>
            <w:pPr>
              <w:spacing w:after="0"/>
              <w:rPr>
                <w:sz w:val="24"/>
                <w:szCs w:val="24"/>
                <w:color w:val="auto"/>
              </w:rPr>
            </w:pPr>
          </w:p>
        </w:tc>
        <w:tc>
          <w:tcPr>
            <w:tcW w:w="10400" w:type="dxa"/>
            <w:vAlign w:val="bottom"/>
            <w:gridSpan w:val="16"/>
          </w:tcPr>
          <w:p>
            <w:pPr>
              <w:spacing w:after="0"/>
              <w:rPr>
                <w:rFonts w:ascii="Arial" w:cs="Arial" w:eastAsia="Arial" w:hAnsi="Arial"/>
                <w:sz w:val="18"/>
                <w:szCs w:val="18"/>
                <w:color w:val="0000EE"/>
                <w:w w:val="96"/>
              </w:rPr>
            </w:pPr>
            <w:hyperlink r:id="rId25">
              <w:r>
                <w:rPr>
                  <w:rFonts w:ascii="Arial" w:cs="Arial" w:eastAsia="Arial" w:hAnsi="Arial"/>
                  <w:sz w:val="18"/>
                  <w:szCs w:val="18"/>
                  <w:color w:val="0000EE"/>
                  <w:w w:val="96"/>
                </w:rPr>
                <w:t>2014 Stock Option and Incentive Plan and forms of agreements thereunder (Incorporated by reference to Exhibit 10.2 to the registrant’s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25">
              <w:r>
                <w:rPr>
                  <w:rFonts w:ascii="Arial" w:cs="Arial" w:eastAsia="Arial" w:hAnsi="Arial"/>
                  <w:sz w:val="18"/>
                  <w:szCs w:val="18"/>
                  <w:color w:val="0000EE"/>
                  <w:w w:val="90"/>
                </w:rPr>
                <w:t>Registration Statement on Form S-1 (File No. 333-195391)).</w:t>
              </w:r>
            </w:hyperlink>
          </w:p>
        </w:tc>
        <w:tc>
          <w:tcPr>
            <w:tcW w:w="5380" w:type="dxa"/>
            <w:vAlign w:val="bottom"/>
            <w:tcBorders>
              <w:top w:val="single" w:sz="8" w:color="0000EE"/>
            </w:tcBorders>
            <w:gridSpan w:val="4"/>
          </w:tcPr>
          <w:p>
            <w:pPr>
              <w:spacing w:after="0"/>
              <w:rPr>
                <w:sz w:val="17"/>
                <w:szCs w:val="17"/>
                <w:color w:val="auto"/>
              </w:rPr>
            </w:pPr>
          </w:p>
        </w:tc>
        <w:tc>
          <w:tcPr>
            <w:tcW w:w="6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Boston, Commonwealth of Massachusetts, on the 9th day of March, 2018.</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ZAFGEN,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Jeffrey Hatfield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KNOW ALL BY THESE PRESENT, that each individual whose signature appears below hereby constitutes and appoints each of Jeffrey Hatfield and Patricia L. Allen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4560" w:type="dxa"/>
            <w:vAlign w:val="bottom"/>
          </w:tcPr>
          <w:p>
            <w:pPr>
              <w:ind w:left="2520"/>
              <w:spacing w:after="0"/>
              <w:rPr>
                <w:sz w:val="20"/>
                <w:szCs w:val="20"/>
                <w:color w:val="auto"/>
              </w:rPr>
            </w:pPr>
            <w:r>
              <w:rPr>
                <w:rFonts w:ascii="Arial" w:cs="Arial" w:eastAsia="Arial" w:hAnsi="Arial"/>
                <w:sz w:val="14"/>
                <w:szCs w:val="14"/>
                <w:b w:val="1"/>
                <w:bCs w:val="1"/>
                <w:color w:val="auto"/>
              </w:rPr>
              <w:t>Title</w:t>
            </w:r>
          </w:p>
        </w:tc>
        <w:tc>
          <w:tcPr>
            <w:tcW w:w="1600" w:type="dxa"/>
            <w:vAlign w:val="bottom"/>
          </w:tcPr>
          <w:p>
            <w:pPr>
              <w:ind w:left="1100"/>
              <w:spacing w:after="0"/>
              <w:rPr>
                <w:sz w:val="20"/>
                <w:szCs w:val="20"/>
                <w:color w:val="auto"/>
              </w:rPr>
            </w:pPr>
            <w:r>
              <w:rPr>
                <w:rFonts w:ascii="Arial" w:cs="Arial" w:eastAsia="Arial" w:hAnsi="Arial"/>
                <w:sz w:val="14"/>
                <w:szCs w:val="14"/>
                <w:b w:val="1"/>
                <w:bCs w:val="1"/>
                <w:color w:val="auto"/>
              </w:rPr>
              <w:t>Date</w:t>
            </w:r>
          </w:p>
        </w:tc>
      </w:tr>
      <w:tr>
        <w:trPr>
          <w:trHeight w:val="309"/>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Hatfield</w:t>
            </w:r>
          </w:p>
        </w:tc>
        <w:tc>
          <w:tcPr>
            <w:tcW w:w="4560" w:type="dxa"/>
            <w:vAlign w:val="bottom"/>
          </w:tcPr>
          <w:p>
            <w:pPr>
              <w:ind w:left="320"/>
              <w:spacing w:after="0"/>
              <w:rPr>
                <w:sz w:val="20"/>
                <w:szCs w:val="20"/>
                <w:color w:val="auto"/>
              </w:rPr>
            </w:pPr>
            <w:r>
              <w:rPr>
                <w:rFonts w:ascii="Arial" w:cs="Arial" w:eastAsia="Arial" w:hAnsi="Arial"/>
                <w:sz w:val="18"/>
                <w:szCs w:val="18"/>
                <w:color w:val="auto"/>
              </w:rPr>
              <w:t>Chief Executive Officer and Director</w:t>
            </w:r>
          </w:p>
        </w:tc>
        <w:tc>
          <w:tcPr>
            <w:tcW w:w="1600" w:type="dxa"/>
            <w:vAlign w:val="bottom"/>
          </w:tcPr>
          <w:p>
            <w:pPr>
              <w:ind w:left="540"/>
              <w:spacing w:after="0"/>
              <w:rPr>
                <w:sz w:val="20"/>
                <w:szCs w:val="20"/>
                <w:color w:val="auto"/>
              </w:rPr>
            </w:pPr>
            <w:r>
              <w:rPr>
                <w:rFonts w:ascii="Arial" w:cs="Arial" w:eastAsia="Arial" w:hAnsi="Arial"/>
                <w:sz w:val="18"/>
                <w:szCs w:val="18"/>
                <w:color w:val="auto"/>
                <w:w w:val="90"/>
              </w:rPr>
              <w:t>March 9, 2018</w:t>
            </w: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93"/>
              </w:rPr>
              <w:t>Jeffrey Hatfield</w:t>
            </w:r>
          </w:p>
        </w:tc>
        <w:tc>
          <w:tcPr>
            <w:tcW w:w="4560" w:type="dxa"/>
            <w:vAlign w:val="bottom"/>
          </w:tcPr>
          <w:p>
            <w:pPr>
              <w:ind w:left="320"/>
              <w:spacing w:after="0"/>
              <w:rPr>
                <w:sz w:val="20"/>
                <w:szCs w:val="20"/>
                <w:color w:val="auto"/>
              </w:rPr>
            </w:pPr>
            <w:r>
              <w:rPr>
                <w:rFonts w:ascii="Arial" w:cs="Arial" w:eastAsia="Arial" w:hAnsi="Arial"/>
                <w:sz w:val="18"/>
                <w:szCs w:val="18"/>
                <w:i w:val="1"/>
                <w:iCs w:val="1"/>
                <w:color w:val="auto"/>
              </w:rPr>
              <w:t>(Principal Executive Officer)</w:t>
            </w:r>
          </w:p>
        </w:tc>
        <w:tc>
          <w:tcPr>
            <w:tcW w:w="1600" w:type="dxa"/>
            <w:vAlign w:val="bottom"/>
          </w:tcPr>
          <w:p>
            <w:pPr>
              <w:spacing w:after="0"/>
              <w:rPr>
                <w:sz w:val="19"/>
                <w:szCs w:val="19"/>
                <w:color w:val="auto"/>
              </w:rPr>
            </w:pPr>
          </w:p>
        </w:tc>
      </w:tr>
      <w:tr>
        <w:trPr>
          <w:trHeight w:val="323"/>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Patricia L. Allen</w:t>
            </w:r>
          </w:p>
        </w:tc>
        <w:tc>
          <w:tcPr>
            <w:tcW w:w="4560" w:type="dxa"/>
            <w:vAlign w:val="bottom"/>
          </w:tcPr>
          <w:p>
            <w:pPr>
              <w:ind w:left="320"/>
              <w:spacing w:after="0"/>
              <w:rPr>
                <w:sz w:val="20"/>
                <w:szCs w:val="20"/>
                <w:color w:val="auto"/>
              </w:rPr>
            </w:pPr>
            <w:r>
              <w:rPr>
                <w:rFonts w:ascii="Arial" w:cs="Arial" w:eastAsia="Arial" w:hAnsi="Arial"/>
                <w:sz w:val="18"/>
                <w:szCs w:val="18"/>
                <w:color w:val="auto"/>
              </w:rPr>
              <w:t>Chief Financial Officer</w:t>
            </w:r>
          </w:p>
        </w:tc>
        <w:tc>
          <w:tcPr>
            <w:tcW w:w="1600" w:type="dxa"/>
            <w:vAlign w:val="bottom"/>
          </w:tcPr>
          <w:p>
            <w:pPr>
              <w:ind w:left="540"/>
              <w:spacing w:after="0"/>
              <w:rPr>
                <w:sz w:val="20"/>
                <w:szCs w:val="20"/>
                <w:color w:val="auto"/>
              </w:rPr>
            </w:pPr>
            <w:r>
              <w:rPr>
                <w:rFonts w:ascii="Arial" w:cs="Arial" w:eastAsia="Arial" w:hAnsi="Arial"/>
                <w:sz w:val="18"/>
                <w:szCs w:val="18"/>
                <w:color w:val="auto"/>
                <w:w w:val="90"/>
              </w:rPr>
              <w:t>March 9, 2018</w:t>
            </w: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95"/>
              </w:rPr>
              <w:t>Patricia L. Allen</w:t>
            </w:r>
          </w:p>
        </w:tc>
        <w:tc>
          <w:tcPr>
            <w:tcW w:w="4560" w:type="dxa"/>
            <w:vAlign w:val="bottom"/>
          </w:tcPr>
          <w:p>
            <w:pPr>
              <w:ind w:left="320"/>
              <w:spacing w:after="0"/>
              <w:rPr>
                <w:sz w:val="20"/>
                <w:szCs w:val="20"/>
                <w:color w:val="auto"/>
              </w:rPr>
            </w:pPr>
            <w:r>
              <w:rPr>
                <w:rFonts w:ascii="Arial" w:cs="Arial" w:eastAsia="Arial" w:hAnsi="Arial"/>
                <w:sz w:val="18"/>
                <w:szCs w:val="18"/>
                <w:i w:val="1"/>
                <w:iCs w:val="1"/>
                <w:color w:val="auto"/>
              </w:rPr>
              <w:t>(Principal Financial and Accounting Officer)</w:t>
            </w:r>
          </w:p>
        </w:tc>
        <w:tc>
          <w:tcPr>
            <w:tcW w:w="1600" w:type="dxa"/>
            <w:vAlign w:val="bottom"/>
          </w:tcPr>
          <w:p>
            <w:pPr>
              <w:spacing w:after="0"/>
              <w:rPr>
                <w:sz w:val="19"/>
                <w:szCs w:val="19"/>
                <w:color w:val="auto"/>
              </w:rPr>
            </w:pPr>
          </w:p>
        </w:tc>
      </w:tr>
      <w:tr>
        <w:trPr>
          <w:trHeight w:val="323"/>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Barrett</w:t>
            </w:r>
          </w:p>
        </w:tc>
        <w:tc>
          <w:tcPr>
            <w:tcW w:w="4560" w:type="dxa"/>
            <w:vAlign w:val="bottom"/>
          </w:tcPr>
          <w:p>
            <w:pPr>
              <w:ind w:left="320"/>
              <w:spacing w:after="0"/>
              <w:rPr>
                <w:sz w:val="20"/>
                <w:szCs w:val="20"/>
                <w:color w:val="auto"/>
              </w:rPr>
            </w:pPr>
            <w:r>
              <w:rPr>
                <w:rFonts w:ascii="Arial" w:cs="Arial" w:eastAsia="Arial" w:hAnsi="Arial"/>
                <w:sz w:val="18"/>
                <w:szCs w:val="18"/>
                <w:color w:val="auto"/>
              </w:rPr>
              <w:t>Chairman of the Board of Directors</w:t>
            </w:r>
          </w:p>
        </w:tc>
        <w:tc>
          <w:tcPr>
            <w:tcW w:w="1600" w:type="dxa"/>
            <w:vAlign w:val="bottom"/>
          </w:tcPr>
          <w:p>
            <w:pPr>
              <w:ind w:left="540"/>
              <w:spacing w:after="0"/>
              <w:rPr>
                <w:sz w:val="20"/>
                <w:szCs w:val="20"/>
                <w:color w:val="auto"/>
              </w:rPr>
            </w:pPr>
            <w:r>
              <w:rPr>
                <w:rFonts w:ascii="Arial" w:cs="Arial" w:eastAsia="Arial" w:hAnsi="Arial"/>
                <w:sz w:val="18"/>
                <w:szCs w:val="18"/>
                <w:color w:val="auto"/>
                <w:w w:val="90"/>
              </w:rPr>
              <w:t>March 9, 2018</w:t>
            </w: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89"/>
              </w:rPr>
              <w:t>Peter Barrett, Ph.D.</w:t>
            </w:r>
          </w:p>
        </w:tc>
        <w:tc>
          <w:tcPr>
            <w:tcW w:w="45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23"/>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Booth</w:t>
            </w:r>
          </w:p>
        </w:tc>
        <w:tc>
          <w:tcPr>
            <w:tcW w:w="4560" w:type="dxa"/>
            <w:vAlign w:val="bottom"/>
          </w:tcPr>
          <w:p>
            <w:pPr>
              <w:ind w:left="320"/>
              <w:spacing w:after="0"/>
              <w:rPr>
                <w:sz w:val="20"/>
                <w:szCs w:val="20"/>
                <w:color w:val="auto"/>
              </w:rPr>
            </w:pPr>
            <w:r>
              <w:rPr>
                <w:rFonts w:ascii="Arial" w:cs="Arial" w:eastAsia="Arial" w:hAnsi="Arial"/>
                <w:sz w:val="18"/>
                <w:szCs w:val="18"/>
                <w:color w:val="auto"/>
              </w:rPr>
              <w:t>Director</w:t>
            </w:r>
          </w:p>
        </w:tc>
        <w:tc>
          <w:tcPr>
            <w:tcW w:w="1600" w:type="dxa"/>
            <w:vAlign w:val="bottom"/>
          </w:tcPr>
          <w:p>
            <w:pPr>
              <w:ind w:left="540"/>
              <w:spacing w:after="0"/>
              <w:rPr>
                <w:sz w:val="20"/>
                <w:szCs w:val="20"/>
                <w:color w:val="auto"/>
              </w:rPr>
            </w:pPr>
            <w:r>
              <w:rPr>
                <w:rFonts w:ascii="Arial" w:cs="Arial" w:eastAsia="Arial" w:hAnsi="Arial"/>
                <w:sz w:val="18"/>
                <w:szCs w:val="18"/>
                <w:color w:val="auto"/>
                <w:w w:val="90"/>
              </w:rPr>
              <w:t>March 9, 2018</w:t>
            </w: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90"/>
              </w:rPr>
              <w:t>Bruce Booth, Ph.D.</w:t>
            </w:r>
          </w:p>
        </w:tc>
        <w:tc>
          <w:tcPr>
            <w:tcW w:w="45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23"/>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O. Daniel</w:t>
            </w:r>
          </w:p>
        </w:tc>
        <w:tc>
          <w:tcPr>
            <w:tcW w:w="4560" w:type="dxa"/>
            <w:vAlign w:val="bottom"/>
          </w:tcPr>
          <w:p>
            <w:pPr>
              <w:ind w:left="320"/>
              <w:spacing w:after="0"/>
              <w:rPr>
                <w:sz w:val="20"/>
                <w:szCs w:val="20"/>
                <w:color w:val="auto"/>
              </w:rPr>
            </w:pPr>
            <w:r>
              <w:rPr>
                <w:rFonts w:ascii="Arial" w:cs="Arial" w:eastAsia="Arial" w:hAnsi="Arial"/>
                <w:sz w:val="18"/>
                <w:szCs w:val="18"/>
                <w:color w:val="auto"/>
              </w:rPr>
              <w:t>Director</w:t>
            </w:r>
          </w:p>
        </w:tc>
        <w:tc>
          <w:tcPr>
            <w:tcW w:w="1600" w:type="dxa"/>
            <w:vAlign w:val="bottom"/>
          </w:tcPr>
          <w:p>
            <w:pPr>
              <w:ind w:left="540"/>
              <w:spacing w:after="0"/>
              <w:rPr>
                <w:sz w:val="20"/>
                <w:szCs w:val="20"/>
                <w:color w:val="auto"/>
              </w:rPr>
            </w:pPr>
            <w:r>
              <w:rPr>
                <w:rFonts w:ascii="Arial" w:cs="Arial" w:eastAsia="Arial" w:hAnsi="Arial"/>
                <w:sz w:val="18"/>
                <w:szCs w:val="18"/>
                <w:color w:val="auto"/>
                <w:w w:val="90"/>
              </w:rPr>
              <w:t>March 9, 2018</w:t>
            </w: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93"/>
              </w:rPr>
              <w:t>Thomas O. Daniel, M.D.</w:t>
            </w:r>
          </w:p>
        </w:tc>
        <w:tc>
          <w:tcPr>
            <w:tcW w:w="45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23"/>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Frances K. Heller</w:t>
            </w:r>
          </w:p>
        </w:tc>
        <w:tc>
          <w:tcPr>
            <w:tcW w:w="4560" w:type="dxa"/>
            <w:vAlign w:val="bottom"/>
          </w:tcPr>
          <w:p>
            <w:pPr>
              <w:ind w:left="320"/>
              <w:spacing w:after="0"/>
              <w:rPr>
                <w:sz w:val="20"/>
                <w:szCs w:val="20"/>
                <w:color w:val="auto"/>
              </w:rPr>
            </w:pPr>
            <w:r>
              <w:rPr>
                <w:rFonts w:ascii="Arial" w:cs="Arial" w:eastAsia="Arial" w:hAnsi="Arial"/>
                <w:sz w:val="18"/>
                <w:szCs w:val="18"/>
                <w:color w:val="auto"/>
              </w:rPr>
              <w:t>Director</w:t>
            </w:r>
          </w:p>
        </w:tc>
        <w:tc>
          <w:tcPr>
            <w:tcW w:w="1600" w:type="dxa"/>
            <w:vAlign w:val="bottom"/>
          </w:tcPr>
          <w:p>
            <w:pPr>
              <w:ind w:left="540"/>
              <w:spacing w:after="0"/>
              <w:rPr>
                <w:sz w:val="20"/>
                <w:szCs w:val="20"/>
                <w:color w:val="auto"/>
              </w:rPr>
            </w:pPr>
            <w:r>
              <w:rPr>
                <w:rFonts w:ascii="Arial" w:cs="Arial" w:eastAsia="Arial" w:hAnsi="Arial"/>
                <w:sz w:val="18"/>
                <w:szCs w:val="18"/>
                <w:color w:val="auto"/>
                <w:w w:val="90"/>
              </w:rPr>
              <w:t>March 9, 2018</w:t>
            </w: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92"/>
              </w:rPr>
              <w:t>Frances K. Heller</w:t>
            </w:r>
          </w:p>
        </w:tc>
        <w:tc>
          <w:tcPr>
            <w:tcW w:w="45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23"/>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E. Hughes</w:t>
            </w:r>
          </w:p>
        </w:tc>
        <w:tc>
          <w:tcPr>
            <w:tcW w:w="4560" w:type="dxa"/>
            <w:vAlign w:val="bottom"/>
          </w:tcPr>
          <w:p>
            <w:pPr>
              <w:ind w:left="320"/>
              <w:spacing w:after="0"/>
              <w:rPr>
                <w:sz w:val="20"/>
                <w:szCs w:val="20"/>
                <w:color w:val="auto"/>
              </w:rPr>
            </w:pPr>
            <w:r>
              <w:rPr>
                <w:rFonts w:ascii="Arial" w:cs="Arial" w:eastAsia="Arial" w:hAnsi="Arial"/>
                <w:sz w:val="18"/>
                <w:szCs w:val="18"/>
                <w:color w:val="auto"/>
              </w:rPr>
              <w:t>President and Chief Scientific Officer and Director</w:t>
            </w:r>
          </w:p>
        </w:tc>
        <w:tc>
          <w:tcPr>
            <w:tcW w:w="1600" w:type="dxa"/>
            <w:vAlign w:val="bottom"/>
          </w:tcPr>
          <w:p>
            <w:pPr>
              <w:ind w:left="540"/>
              <w:spacing w:after="0"/>
              <w:rPr>
                <w:sz w:val="20"/>
                <w:szCs w:val="20"/>
                <w:color w:val="auto"/>
              </w:rPr>
            </w:pPr>
            <w:r>
              <w:rPr>
                <w:rFonts w:ascii="Arial" w:cs="Arial" w:eastAsia="Arial" w:hAnsi="Arial"/>
                <w:sz w:val="18"/>
                <w:szCs w:val="18"/>
                <w:color w:val="auto"/>
                <w:w w:val="90"/>
              </w:rPr>
              <w:t>March 9, 2018</w:t>
            </w: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89"/>
              </w:rPr>
              <w:t>Thomas E. Hughes, Ph.D.</w:t>
            </w:r>
          </w:p>
        </w:tc>
        <w:tc>
          <w:tcPr>
            <w:tcW w:w="45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23"/>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L. LaMattina</w:t>
            </w:r>
          </w:p>
        </w:tc>
        <w:tc>
          <w:tcPr>
            <w:tcW w:w="4560" w:type="dxa"/>
            <w:vAlign w:val="bottom"/>
          </w:tcPr>
          <w:p>
            <w:pPr>
              <w:ind w:left="320"/>
              <w:spacing w:after="0"/>
              <w:rPr>
                <w:sz w:val="20"/>
                <w:szCs w:val="20"/>
                <w:color w:val="auto"/>
              </w:rPr>
            </w:pPr>
            <w:r>
              <w:rPr>
                <w:rFonts w:ascii="Arial" w:cs="Arial" w:eastAsia="Arial" w:hAnsi="Arial"/>
                <w:sz w:val="18"/>
                <w:szCs w:val="18"/>
                <w:color w:val="auto"/>
              </w:rPr>
              <w:t>Director</w:t>
            </w:r>
          </w:p>
        </w:tc>
        <w:tc>
          <w:tcPr>
            <w:tcW w:w="1600" w:type="dxa"/>
            <w:vAlign w:val="bottom"/>
          </w:tcPr>
          <w:p>
            <w:pPr>
              <w:ind w:left="540"/>
              <w:spacing w:after="0"/>
              <w:rPr>
                <w:sz w:val="20"/>
                <w:szCs w:val="20"/>
                <w:color w:val="auto"/>
              </w:rPr>
            </w:pPr>
            <w:r>
              <w:rPr>
                <w:rFonts w:ascii="Arial" w:cs="Arial" w:eastAsia="Arial" w:hAnsi="Arial"/>
                <w:sz w:val="18"/>
                <w:szCs w:val="18"/>
                <w:color w:val="auto"/>
                <w:w w:val="90"/>
              </w:rPr>
              <w:t>March 9, 2018</w:t>
            </w: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92"/>
              </w:rPr>
              <w:t>John L. LaMattina, Ph.D.</w:t>
            </w:r>
          </w:p>
        </w:tc>
        <w:tc>
          <w:tcPr>
            <w:tcW w:w="45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23"/>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Cameron Geoffrey McDonough</w:t>
            </w:r>
          </w:p>
        </w:tc>
        <w:tc>
          <w:tcPr>
            <w:tcW w:w="4560" w:type="dxa"/>
            <w:vAlign w:val="bottom"/>
          </w:tcPr>
          <w:p>
            <w:pPr>
              <w:ind w:left="320"/>
              <w:spacing w:after="0"/>
              <w:rPr>
                <w:sz w:val="20"/>
                <w:szCs w:val="20"/>
                <w:color w:val="auto"/>
              </w:rPr>
            </w:pPr>
            <w:r>
              <w:rPr>
                <w:rFonts w:ascii="Arial" w:cs="Arial" w:eastAsia="Arial" w:hAnsi="Arial"/>
                <w:sz w:val="18"/>
                <w:szCs w:val="18"/>
                <w:color w:val="auto"/>
              </w:rPr>
              <w:t>Director</w:t>
            </w:r>
          </w:p>
        </w:tc>
        <w:tc>
          <w:tcPr>
            <w:tcW w:w="1600" w:type="dxa"/>
            <w:vAlign w:val="bottom"/>
          </w:tcPr>
          <w:p>
            <w:pPr>
              <w:ind w:left="540"/>
              <w:spacing w:after="0"/>
              <w:rPr>
                <w:sz w:val="20"/>
                <w:szCs w:val="20"/>
                <w:color w:val="auto"/>
              </w:rPr>
            </w:pPr>
            <w:r>
              <w:rPr>
                <w:rFonts w:ascii="Arial" w:cs="Arial" w:eastAsia="Arial" w:hAnsi="Arial"/>
                <w:sz w:val="18"/>
                <w:szCs w:val="18"/>
                <w:color w:val="auto"/>
                <w:w w:val="90"/>
              </w:rPr>
              <w:t>March 9, 2018</w:t>
            </w: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92"/>
              </w:rPr>
              <w:t>Cameron Geoffrey McDonough, M.D.</w:t>
            </w:r>
          </w:p>
        </w:tc>
        <w:tc>
          <w:tcPr>
            <w:tcW w:w="45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23"/>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Perez</w:t>
            </w:r>
          </w:p>
        </w:tc>
        <w:tc>
          <w:tcPr>
            <w:tcW w:w="4560" w:type="dxa"/>
            <w:vAlign w:val="bottom"/>
          </w:tcPr>
          <w:p>
            <w:pPr>
              <w:ind w:left="320"/>
              <w:spacing w:after="0"/>
              <w:rPr>
                <w:sz w:val="20"/>
                <w:szCs w:val="20"/>
                <w:color w:val="auto"/>
              </w:rPr>
            </w:pPr>
            <w:r>
              <w:rPr>
                <w:rFonts w:ascii="Arial" w:cs="Arial" w:eastAsia="Arial" w:hAnsi="Arial"/>
                <w:sz w:val="18"/>
                <w:szCs w:val="18"/>
                <w:color w:val="auto"/>
              </w:rPr>
              <w:t>Director</w:t>
            </w:r>
          </w:p>
        </w:tc>
        <w:tc>
          <w:tcPr>
            <w:tcW w:w="1600" w:type="dxa"/>
            <w:vAlign w:val="bottom"/>
          </w:tcPr>
          <w:p>
            <w:pPr>
              <w:ind w:left="540"/>
              <w:spacing w:after="0"/>
              <w:rPr>
                <w:sz w:val="20"/>
                <w:szCs w:val="20"/>
                <w:color w:val="auto"/>
              </w:rPr>
            </w:pPr>
            <w:r>
              <w:rPr>
                <w:rFonts w:ascii="Arial" w:cs="Arial" w:eastAsia="Arial" w:hAnsi="Arial"/>
                <w:sz w:val="18"/>
                <w:szCs w:val="18"/>
                <w:color w:val="auto"/>
                <w:w w:val="90"/>
              </w:rPr>
              <w:t>March 9, 2018</w:t>
            </w: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86"/>
              </w:rPr>
              <w:t>Robert J. Perez</w:t>
            </w:r>
          </w:p>
        </w:tc>
        <w:tc>
          <w:tcPr>
            <w:tcW w:w="45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23"/>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E. Thomas</w:t>
            </w:r>
          </w:p>
        </w:tc>
        <w:tc>
          <w:tcPr>
            <w:tcW w:w="4560" w:type="dxa"/>
            <w:vAlign w:val="bottom"/>
          </w:tcPr>
          <w:p>
            <w:pPr>
              <w:ind w:left="320"/>
              <w:spacing w:after="0"/>
              <w:rPr>
                <w:sz w:val="20"/>
                <w:szCs w:val="20"/>
                <w:color w:val="auto"/>
              </w:rPr>
            </w:pPr>
            <w:r>
              <w:rPr>
                <w:rFonts w:ascii="Arial" w:cs="Arial" w:eastAsia="Arial" w:hAnsi="Arial"/>
                <w:sz w:val="18"/>
                <w:szCs w:val="18"/>
                <w:color w:val="auto"/>
              </w:rPr>
              <w:t>Director</w:t>
            </w:r>
          </w:p>
        </w:tc>
        <w:tc>
          <w:tcPr>
            <w:tcW w:w="1600" w:type="dxa"/>
            <w:vAlign w:val="bottom"/>
          </w:tcPr>
          <w:p>
            <w:pPr>
              <w:ind w:left="540"/>
              <w:spacing w:after="0"/>
              <w:rPr>
                <w:sz w:val="20"/>
                <w:szCs w:val="20"/>
                <w:color w:val="auto"/>
              </w:rPr>
            </w:pPr>
            <w:r>
              <w:rPr>
                <w:rFonts w:ascii="Arial" w:cs="Arial" w:eastAsia="Arial" w:hAnsi="Arial"/>
                <w:sz w:val="18"/>
                <w:szCs w:val="18"/>
                <w:color w:val="auto"/>
                <w:w w:val="90"/>
              </w:rPr>
              <w:t>March 9, 2018</w:t>
            </w: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89"/>
              </w:rPr>
              <w:t>Frank E. Thomas</w:t>
            </w:r>
          </w:p>
        </w:tc>
        <w:tc>
          <w:tcPr>
            <w:tcW w:w="45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64"/>
        </w:trPr>
        <w:tc>
          <w:tcPr>
            <w:tcW w:w="4920" w:type="dxa"/>
            <w:vAlign w:val="bottom"/>
          </w:tcPr>
          <w:p>
            <w:pPr>
              <w:spacing w:after="0"/>
              <w:rPr>
                <w:sz w:val="24"/>
                <w:szCs w:val="24"/>
                <w:color w:val="auto"/>
              </w:rPr>
            </w:pPr>
          </w:p>
        </w:tc>
        <w:tc>
          <w:tcPr>
            <w:tcW w:w="4560" w:type="dxa"/>
            <w:vAlign w:val="bottom"/>
          </w:tcPr>
          <w:p>
            <w:pPr>
              <w:ind w:left="740"/>
              <w:spacing w:after="0"/>
              <w:rPr>
                <w:sz w:val="20"/>
                <w:szCs w:val="20"/>
                <w:color w:val="auto"/>
              </w:rPr>
            </w:pPr>
            <w:r>
              <w:rPr>
                <w:rFonts w:ascii="Arial" w:cs="Arial" w:eastAsia="Arial" w:hAnsi="Arial"/>
                <w:sz w:val="18"/>
                <w:szCs w:val="18"/>
                <w:color w:val="auto"/>
              </w:rPr>
              <w:t>6</w:t>
            </w:r>
          </w:p>
        </w:tc>
        <w:tc>
          <w:tcPr>
            <w:tcW w:w="1600" w:type="dxa"/>
            <w:vAlign w:val="bottom"/>
          </w:tcPr>
          <w:p>
            <w:pPr>
              <w:spacing w:after="0"/>
              <w:rPr>
                <w:sz w:val="24"/>
                <w:szCs w:val="24"/>
                <w:color w:val="auto"/>
              </w:rPr>
            </w:pPr>
          </w:p>
        </w:tc>
      </w:tr>
    </w:tbl>
    <w:p>
      <w:pPr>
        <w:sectPr>
          <w:pgSz w:w="11900" w:h="16838" w:orient="portrait"/>
          <w:cols w:equalWidth="0" w:num="1">
            <w:col w:w="11380"/>
          </w:cols>
          <w:pgMar w:left="240" w:top="270" w:right="27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9100"/>
        <w:spacing w:after="0"/>
        <w:rPr>
          <w:sz w:val="20"/>
          <w:szCs w:val="20"/>
          <w:color w:val="auto"/>
        </w:rPr>
      </w:pPr>
      <w:r>
        <w:rPr>
          <w:rFonts w:ascii="Arial" w:cs="Arial" w:eastAsia="Arial" w:hAnsi="Arial"/>
          <w:sz w:val="18"/>
          <w:szCs w:val="18"/>
          <w:color w:val="auto"/>
        </w:rPr>
        <w:t>March 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175 Portland Street, 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02114</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Securities Being Registered under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acted as counsel to you in connection with your filing of a Registration Statement on Form S-8 (the “Registration Statement”) pursuant to the Securities Act of 1933, as amended (the “Securities Act”), on or about the date hereof relating to an aggregate of 1,099,578 shares (the “Shares”) of Common Stock, $0.001 par value per share, of Zafgen, Inc., a Delaware corporation (the “Company”), that may be issued pursuant to the Company’s 2014 Stock Option and Incentive Plan (the “Plan”).</w:t>
      </w:r>
    </w:p>
    <w:p>
      <w:pPr>
        <w:spacing w:after="0" w:line="187"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purposes of the opinion set forth below, we have assumed that a sufficient number of authorized but unissued shares of the Company’s Common Stock will be available for issuance when the Shares are issued.</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issuance and delivery against payment therefor in accordance with the terms of the Plan, will be validly issued, fully paid and nonassessable.</w:t>
      </w:r>
    </w:p>
    <w:p>
      <w:pPr>
        <w:spacing w:after="0" w:line="170"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4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G</w:t>
      </w:r>
      <w:r>
        <w:rPr>
          <w:rFonts w:ascii="Arial" w:cs="Arial" w:eastAsia="Arial" w:hAnsi="Arial"/>
          <w:sz w:val="15"/>
          <w:szCs w:val="15"/>
          <w:color w:val="auto"/>
        </w:rPr>
        <w:t>OODWIN</w:t>
      </w:r>
      <w:r>
        <w:rPr>
          <w:rFonts w:ascii="Arial" w:cs="Arial" w:eastAsia="Arial" w:hAnsi="Arial"/>
          <w:sz w:val="18"/>
          <w:szCs w:val="18"/>
          <w:color w:val="auto"/>
        </w:rPr>
        <w:t xml:space="preserve"> P</w:t>
      </w:r>
      <w:r>
        <w:rPr>
          <w:rFonts w:ascii="Arial" w:cs="Arial" w:eastAsia="Arial" w:hAnsi="Arial"/>
          <w:sz w:val="15"/>
          <w:szCs w:val="15"/>
          <w:color w:val="auto"/>
        </w:rPr>
        <w:t>ROCTER</w:t>
      </w:r>
      <w:r>
        <w:rPr>
          <w:rFonts w:ascii="Arial" w:cs="Arial" w:eastAsia="Arial" w:hAnsi="Arial"/>
          <w:sz w:val="18"/>
          <w:szCs w:val="18"/>
          <w:color w:val="auto"/>
        </w:rPr>
        <w:t xml:space="preserve"> LLP</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GOODWIN PROCTER LLP</w:t>
      </w:r>
    </w:p>
    <w:p>
      <w:pPr>
        <w:sectPr>
          <w:pgSz w:w="11900" w:h="16838" w:orient="portrait"/>
          <w:cols w:equalWidth="0" w:num="1">
            <w:col w:w="11420"/>
          </w:cols>
          <w:pgMar w:left="240" w:top="121"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March 9, 2018 relating to the financial statements, which appears in Zafgen, Inc.’s Annual Report on Form 10-K for the year ended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9,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21" Type="http://schemas.openxmlformats.org/officeDocument/2006/relationships/hyperlink" Target="http://www.sec.gov/Archives/edgar/data/1374690/000119312514222253/d642727dex41.htm" TargetMode="External"/><Relationship Id="rId22" Type="http://schemas.openxmlformats.org/officeDocument/2006/relationships/hyperlink" Target="http://www.sec.gov/Archives/edgar/data/1374690/000119312514227208/d642727dex32.htm" TargetMode="External"/><Relationship Id="rId23" Type="http://schemas.openxmlformats.org/officeDocument/2006/relationships/hyperlink" Target="http://www.sec.gov/Archives/edgar/data/1374690/000119312514222253/d642727dex34.htm" TargetMode="External"/><Relationship Id="rId24" Type="http://schemas.openxmlformats.org/officeDocument/2006/relationships/hyperlink" Target="http://www.sec.gov/Archives/edgar/data/1374690/000119312514149201/d642727dex42.htm" TargetMode="External"/><Relationship Id="rId25" Type="http://schemas.openxmlformats.org/officeDocument/2006/relationships/hyperlink" Target="http://www.sec.gov/Archives/edgar/data/1374690/000119312514227208/d64272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2019-12-07T06:01:34Z</dcterms:created>
  <dcterms:modified xsi:type="dcterms:W3CDTF">2019-12-07T06:01:34Z</dcterms:modified>
</cp:coreProperties>
</file>