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lrmr-20260331.htm"/>
      <w:bookmarkStart w:id="1" w:name="kslrmr20260331"/>
      <w:bookmarkEnd w:id="0"/>
      <w:bookmarkEnd w:id="1"/>
      <w:r>
        <w:rPr/>
        <w:t> </w:t>
      </w:r>
    </w:p>
    <w:p>
      <w:pPr>
        <w:pStyle w:val="TextBody"/>
        <w:bidi w:val="0"/>
        <w:jc w:val="center"/>
        <w:rPr>
          <w:rFonts w:ascii="Times New Roman" w:hAnsi="Times New Roman"/>
          <w:sz w:val="20"/>
        </w:rPr>
      </w:pPr>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10-Q</w:t>
      </w:r>
    </w:p>
    <w:p>
      <w:pPr>
        <w:pStyle w:val="TextBody"/>
        <w:bidi w:val="0"/>
        <w:jc w:val="center"/>
        <w:rPr/>
      </w:pPr>
      <w:r>
        <w:rPr/>
        <w:t> </w:t>
      </w:r>
    </w:p>
    <w:p>
      <w:pPr>
        <w:pStyle w:val="TextBody"/>
        <w:bidi w:val="0"/>
        <w:jc w:val="center"/>
        <w:rPr/>
      </w:pPr>
      <w:r>
        <w:rPr/>
        <w:t> </w:t>
      </w:r>
    </w:p>
    <w:p>
      <w:pPr>
        <w:pStyle w:val="TextBody"/>
        <w:bidi w:val="0"/>
        <w:spacing w:before="60" w:after="283"/>
        <w:jc w:val="left"/>
        <w:rPr>
          <w:rFonts w:ascii="Times New Roman" w:hAnsi="Times New Roman"/>
          <w:sz w:val="20"/>
        </w:rPr>
      </w:pPr>
      <w:r>
        <w:rPr>
          <w:rFonts w:ascii="Times New Roman" w:hAnsi="Times New Roman"/>
          <w:b/>
          <w:color w:val="000000"/>
          <w:sz w:val="18"/>
        </w:rPr>
        <w:t>(Mark One)</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QUARTERLY REPORT PURSUANT TO SECTION 13 OR 15(d) OF THE SECURITIES EXCHANGE ACT OF 1934</w:t>
            </w:r>
            <w:r>
              <w:rPr>
                <w:rFonts w:ascii="Times New Roman" w:hAnsi="Times New Roman"/>
                <w:color w:val="000000"/>
                <w:sz w:val="20"/>
              </w:rPr>
              <w:t xml:space="preserve"> </w:t>
            </w:r>
          </w:p>
        </w:tc>
      </w:tr>
    </w:tbl>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For the quarterly period ended March 31, 2026</w:t>
      </w:r>
    </w:p>
    <w:p>
      <w:pPr>
        <w:pStyle w:val="TextBody"/>
        <w:bidi w:val="0"/>
        <w:spacing w:before="60" w:after="283"/>
        <w:jc w:val="center"/>
        <w:rPr>
          <w:rFonts w:ascii="Times New Roman" w:hAnsi="Times New Roman"/>
          <w:sz w:val="20"/>
        </w:rPr>
      </w:pPr>
      <w:r>
        <w:rPr>
          <w:rFonts w:ascii="Times New Roman" w:hAnsi="Times New Roman"/>
          <w:b/>
          <w:color w:val="000000"/>
          <w:sz w:val="20"/>
        </w:rPr>
        <w:t>or</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6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sz w:val="20"/>
              </w:rPr>
            </w:pPr>
            <w:r>
              <w:rPr>
                <w:rFonts w:ascii="Times New Roman" w:hAnsi="Times New Roman"/>
                <w:b/>
                <w:color w:val="000000"/>
                <w:sz w:val="20"/>
              </w:rPr>
              <w:t>TRANSITION REPORT PURSUANT TO SECTION 13 OR 15(d) OF THE SECURITIES EXCHANGE ACT OF 1934</w:t>
            </w:r>
            <w:r>
              <w:rPr>
                <w:rFonts w:ascii="Times New Roman" w:hAnsi="Times New Roman"/>
                <w:color w:val="000000"/>
                <w:sz w:val="20"/>
              </w:rPr>
              <w:t xml:space="preserve"> </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For the transition period from ___ to ____</w:t>
      </w:r>
    </w:p>
    <w:p>
      <w:pPr>
        <w:pStyle w:val="TextBody"/>
        <w:bidi w:val="0"/>
        <w:spacing w:before="60" w:after="283"/>
        <w:jc w:val="center"/>
        <w:rPr>
          <w:rFonts w:ascii="Times New Roman" w:hAnsi="Times New Roman"/>
          <w:sz w:val="20"/>
        </w:rPr>
      </w:pPr>
      <w:r>
        <w:rPr>
          <w:rFonts w:ascii="Times New Roman" w:hAnsi="Times New Roman"/>
          <w:b/>
          <w:color w:val="000000"/>
          <w:sz w:val="20"/>
        </w:rPr>
        <w:t>Commission File Number: 001-36510</w:t>
      </w:r>
      <w:r>
        <w:rPr>
          <w:rFonts w:ascii="Times New Roman" w:hAnsi="Times New Roman"/>
          <w:color w:val="000000"/>
          <w:sz w:val="20"/>
        </w:rPr>
        <w:t xml:space="preserve"> </w:t>
      </w:r>
    </w:p>
    <w:p>
      <w:pPr>
        <w:pStyle w:val="TextBody"/>
        <w:bidi w:val="0"/>
        <w:spacing w:before="60" w:after="283"/>
        <w:jc w:val="center"/>
        <w:rPr>
          <w:rFonts w:ascii="Times New Roman" w:hAnsi="Times New Roman"/>
          <w:sz w:val="20"/>
        </w:rPr>
      </w:pPr>
      <w:r>
        <w:rPr>
          <w:rFonts w:ascii="Times New Roman" w:hAnsi="Times New Roman"/>
          <w:b/>
          <w:color w:val="000000"/>
          <w:sz w:val="36"/>
        </w:rPr>
        <w:t>LARIMAR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p>
      <w:pPr>
        <w:pStyle w:val="TextBody"/>
        <w:bidi w:val="0"/>
        <w:jc w:val="left"/>
        <w:rPr/>
      </w:pPr>
      <w:r>
        <w:rPr/>
        <w:t> </w:t>
      </w:r>
    </w:p>
    <w:tbl>
      <w:tblPr>
        <w:tblW w:w="4412" w:type="dxa"/>
        <w:jc w:val="left"/>
        <w:tblInd w:w="0" w:type="dxa"/>
        <w:tblLayout w:type="fixed"/>
        <w:tblCellMar>
          <w:top w:w="28" w:type="dxa"/>
          <w:left w:w="28" w:type="dxa"/>
          <w:bottom w:w="28" w:type="dxa"/>
          <w:right w:w="28" w:type="dxa"/>
        </w:tblCellMar>
      </w:tblPr>
      <w:tblGrid>
        <w:gridCol w:w="2926"/>
        <w:gridCol w:w="1486"/>
      </w:tblGrid>
      <w:tr>
        <w:trPr/>
        <w:tc>
          <w:tcPr>
            <w:tcW w:w="292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20-3857670</w:t>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Bala Plaza East, Suite 506</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19004</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Bala Cynwyd, PA</w:t>
            </w:r>
            <w:r>
              <w:rPr>
                <w:rFonts w:ascii="Times New Roman" w:hAnsi="Times New Roman"/>
                <w:color w:val="000000"/>
                <w:sz w:val="20"/>
              </w:rPr>
              <w:t xml:space="preserve">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8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(844) 511-9056</w:t>
      </w:r>
      <w:r>
        <w:rPr>
          <w:rFonts w:ascii="Times New Roman" w:hAnsi="Times New Roman"/>
          <w:color w:val="000000"/>
          <w:sz w:val="20"/>
        </w:rPr>
        <w:t xml:space="preserve"> </w:t>
      </w:r>
    </w:p>
    <w:p>
      <w:pPr>
        <w:pStyle w:val="TextBody"/>
        <w:bidi w:val="0"/>
        <w:jc w:val="center"/>
        <w:rPr>
          <w:rFonts w:ascii="Times New Roman" w:hAnsi="Times New Roman"/>
          <w:b/>
          <w:color w:val="000000"/>
          <w:sz w:val="16"/>
        </w:rPr>
      </w:pPr>
      <w:r>
        <w:rPr>
          <w:rFonts w:ascii="Times New Roman" w:hAnsi="Times New Roman"/>
          <w:b/>
          <w:color w:val="000000"/>
          <w:sz w:val="16"/>
        </w:rPr>
        <w:t>(Registrant’s telephone number, including area code)</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14"/>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803" w:type="dxa"/>
        <w:jc w:val="left"/>
        <w:tblInd w:w="0" w:type="dxa"/>
        <w:tblLayout w:type="fixed"/>
        <w:tblCellMar>
          <w:top w:w="28" w:type="dxa"/>
          <w:left w:w="28" w:type="dxa"/>
          <w:bottom w:w="28" w:type="dxa"/>
          <w:right w:w="28" w:type="dxa"/>
        </w:tblCellMar>
      </w:tblPr>
      <w:tblGrid>
        <w:gridCol w:w="3151"/>
        <w:gridCol w:w="1426"/>
        <w:gridCol w:w="3226"/>
      </w:tblGrid>
      <w:tr>
        <w:trPr/>
        <w:tc>
          <w:tcPr>
            <w:tcW w:w="3151"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3226" w:type="dxa"/>
            <w:tcBorders/>
            <w:vAlign w:val="center"/>
          </w:tcPr>
          <w:p>
            <w:pPr>
              <w:pStyle w:val="TableContents"/>
              <w:bidi w:val="0"/>
              <w:spacing w:before="0" w:after="283"/>
              <w:jc w:val="left"/>
              <w:rPr>
                <w:sz w:val="4"/>
                <w:szCs w:val="4"/>
              </w:rPr>
            </w:pPr>
            <w:r>
              <w:rPr>
                <w:sz w:val="4"/>
                <w:szCs w:val="4"/>
              </w:rPr>
            </w:r>
          </w:p>
        </w:tc>
      </w:tr>
      <w:tr>
        <w:trPr/>
        <w:tc>
          <w:tcPr>
            <w:tcW w:w="3151"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Title of each class</w:t>
            </w:r>
          </w:p>
        </w:tc>
        <w:tc>
          <w:tcPr>
            <w:tcW w:w="1426" w:type="dxa"/>
            <w:tcBorders>
              <w:top w:val="single" w:sz="6" w:space="0" w:color="000000"/>
              <w:bottom w:val="single" w:sz="6" w:space="0" w:color="000000"/>
              <w:right w:val="single" w:sz="6" w:space="0" w:color="000000"/>
            </w:tcBorders>
            <w:tcMar>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Trading Symbol(s)</w:t>
            </w:r>
          </w:p>
        </w:tc>
        <w:tc>
          <w:tcPr>
            <w:tcW w:w="3226" w:type="dxa"/>
            <w:tcBorders>
              <w:top w:val="single" w:sz="6" w:space="0" w:color="000000"/>
              <w:bottom w:val="single" w:sz="6" w:space="0" w:color="000000"/>
              <w:right w:val="single" w:sz="6" w:space="0" w:color="000000"/>
            </w:tcBorders>
            <w:tcMar>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Name of each exchange on which registered</w:t>
            </w:r>
          </w:p>
        </w:tc>
      </w:tr>
      <w:tr>
        <w:trPr/>
        <w:tc>
          <w:tcPr>
            <w:tcW w:w="3151"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Common Stock, par value $0.001 per share</w:t>
            </w:r>
          </w:p>
        </w:tc>
        <w:tc>
          <w:tcPr>
            <w:tcW w:w="1426" w:type="dxa"/>
            <w:tcBorders>
              <w:bottom w:val="single" w:sz="6" w:space="0" w:color="000000"/>
              <w:right w:val="single" w:sz="6"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LRMR</w:t>
            </w:r>
          </w:p>
        </w:tc>
        <w:tc>
          <w:tcPr>
            <w:tcW w:w="3226" w:type="dxa"/>
            <w:tcBorders>
              <w:bottom w:val="single" w:sz="6" w:space="0" w:color="000000"/>
              <w:right w:val="single" w:sz="6"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The Nasdaq Global Market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No ☐</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No ☐</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p>
      <w:pPr>
        <w:pStyle w:val="TextBody"/>
        <w:bidi w:val="0"/>
        <w:jc w:val="left"/>
        <w:rPr/>
      </w:pPr>
      <w:r>
        <w:rPr/>
        <w:t> </w:t>
      </w:r>
    </w:p>
    <w:tbl>
      <w:tblPr>
        <w:tblW w:w="4530" w:type="dxa"/>
        <w:jc w:val="left"/>
        <w:tblInd w:w="0" w:type="dxa"/>
        <w:tblLayout w:type="fixed"/>
        <w:tblCellMar>
          <w:top w:w="28" w:type="dxa"/>
          <w:left w:w="28" w:type="dxa"/>
          <w:bottom w:w="28" w:type="dxa"/>
          <w:right w:w="28" w:type="dxa"/>
        </w:tblCellMar>
      </w:tblPr>
      <w:tblGrid>
        <w:gridCol w:w="1666"/>
        <w:gridCol w:w="316"/>
        <w:gridCol w:w="146"/>
        <w:gridCol w:w="2041"/>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 No </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8"/>
        </w:rPr>
        <w:t>As of May 12, 2026, there were 103,882,937</w:t>
      </w:r>
      <w:r>
        <w:rPr>
          <w:rFonts w:ascii="Times New Roman" w:hAnsi="Times New Roman"/>
          <w:color w:val="000000"/>
          <w:sz w:val="20"/>
        </w:rPr>
        <w:t xml:space="preserve"> </w:t>
      </w:r>
      <w:r>
        <w:rPr>
          <w:rFonts w:ascii="Times New Roman" w:hAnsi="Times New Roman"/>
          <w:color w:val="000000"/>
          <w:sz w:val="18"/>
        </w:rPr>
        <w:t>shares of the registrant’s Common Stock, $0.001 par value per share, outstanding.</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CAUTIONARY NOTE REGARDING FORWARD-LOOKING STATEMENTS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Statements made in this Quarterly Report on Form 10-Q that are not statements of historical or current facts are “forward-looking statements” within the meaning of the Private Securities Litigation Reform Act of 1995, as amended. Forward-looking statements discuss our business, operations and financial performance and conditions, as well as our plans, objectives and expectations for our business operations and financial performance and condition. In some cases, you can identify forward-looking statements by terminology such as “aim,” “anticipate,” “assume,” “believe,” “contemplate,” “continue,” “could,” “design,” “due,” “estimate,” “expect,” “goal,” “intend,” “may,” “objective,” “plan,” “predict,” “positioned,” “potential,” “seek,” “should,” “target,” “will,” “would” and other similar expressions that are predictions of or indicate future events and future trends, or the negative of these terms or other comparable terminology. In addition, statements that “we believe” or similar statements reflect our beliefs and opinions on the relevant subject only. These forward-looking statements, which are subject to risks, uncertainties and assumptions about us, may include projections of our future financial performance, our anticipated growth strategies and anticipated trends in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You should understand that the following important factors could affect our future results and could cause those results or other outcomes to differ materially from those expressed or implied in our forward-looking statements: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uncertainties in obtaining successful non-clinical or clinical results that reliably and meaningfully demonstrate safety, tolerability and efficacy profiles that are satisfactory to the U.S. Food and Drug Administration (“FDA”), European Medicines Agency (“EMA”) and other comparable regulatory authorities for marketing approval for nomlabofusp or any other product candidates that we may develop in the future and unexpected costs that may result therefrom;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patient recruitment for our clinical trials (including as a result of the impact of FDA approval of competitive products for the treatment of Friedreich's ataxia (“FA”), and/or the impact of other clinical trials of competitive products), delays as a result of clinical and non-clinical results and/or the FDA's request for additional information or studies (whether clinical or non-clinical), changes in clinical protocols, adverse events, regulatory restrictions, including clinical holds, and milestones for nomlabofusp;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successfully execute our ongoing open label trial and our planned Phase 3 global registration study, including the timing of site initiations and the rate of patient enrollment;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benefit from participating in the FDA’s Support for Clinical Trials Advancing Rare Disease Therapeutics (“START”) pilot program for the development of nomlabofusp;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benefit from the FDA’s Breakthrough Therapy Designation;</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uncertainties associated with the clinical development and regulatory approval for nomlabofusp in the United States and in other countries, including potential delays in the commencement, enrollment and completion of clinical trials, the timing of a potential Biologics License Application (“BLA”) submission to the FDA or similar applications to be submitted to other countries for accelerated approval, including including uncertainties regarding whether the FDA will ultimately agree with our rolling BLA submission strategy, our ability to submit BLA modules on the intended timelines and our ability to supply to the FDA or to regulatory authorities in other countries all required data to review and accept an accelerated application, or any other product candidates that we may develop in the future</w:t>
      </w:r>
      <w:r>
        <w:rPr>
          <w:rFonts w:ascii="Times New Roman" w:hAnsi="Times New Roman"/>
          <w:color w:val="FF0000"/>
          <w:sz w:val="20"/>
        </w:rPr>
        <w: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difficulties and expenses associated with obtaining and maintaining regulatory approval for nomlabofusp or any other product candidates we may develop in the future, and the indication and labeling under any such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how long we can continue to fund our operations with our existing cash, cash equivalents and marketable securities and our estimates regarding future results of operations, financial position, research and development costs, capital requirements and our access and needs for additional financing;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the use of proceeds from our recent and future financings, if any;</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and the ability of third-party manufacturers we engage, to optimize, scale and validate nomlabofusp or any other product candidate’s manufacturing process and to manufacture sufficient quantities of clinical supplies, and, if approved, commercial supplies of nomlabofusp or any other product candidates that we may develop in the future and our ability to maintain our relationships and contracts with our key vendors and to identify and contract with alternate or secondary key vendors;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realize any value from nomlabofusp and/or any other product candidates we may develop in the future in light of inherent risks and difficulties involved in successfully bringing product candidates to market and the risk that the product candidates, if approved, will not achieve broad market acceptance;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comply with regulatory requirements applicable to our business and other regulatory developments in the United States and other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size and growth of the potential markets for nomlabofusp, if approved, or any other product candidates that we may develop in the future, the rate and degree of market acceptance of nomlabofusp or any other product candidate, if approved, that we may develop in the future and our ability to serve those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given both approved and competing therapies and products in non-clinical and clinical development for the treatment of FA, our ability to obtain and maintain designations or eligibility for expedited regulatory programs, and to commercialize current and future product candidates, if approved, (including the impact of potential barriers to entry if a competitor is able to establish and maintain a strong market position before we are able to commercialize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obtain and maintain patent protection and defend our intellectual property rights against third parties;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performance and compliance with the rules and regulations of the FDA (and all other regulatory authorities) of third parties upon which we depend, including third-party contract research organizations (“CROs”), third party contract manufacturing organizations ("CMOs"), consultants, distributors, and logistics providers.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recruit and retain key scientific, technical, commercial, and management personnel and to retain our executive officers;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maintain proper functionality and security of our internal computer and information systems and prevent or avoid cyber-attacks, malicious intrusion, breakdown, destruction, loss of data privacy or other significant disruption;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extent to which geopolitical conflicts and tensions (including the war in the Middle East and other regional conflicts around the world), adverse macroeconomic events, including those due to inflationary pressures, rising interest rates, banking instability, monetary policy changes, changes in trade policies, (including tariffs or trade protection measures that have been or may in the future be imposed by the U.S. or other countries), economic slowdowns or recessions, health epidemics, unforeseen emergencies and other outbreaks of communicable diseases that could disrupt our operations, the operations of third parties on which we rely or the operations of regulatory agencies we interact with in the development of nomlabofusp and any other product candidates that we may develop in the future;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potential impact of regulatory developments in the U.S., including regulatory developments due to changes in the U.S. presidential administration, healthcare reform in the United States, including the Inflation Reduction Act of 2022 (“IRA”), and measures being taken worldwide designed to reduce healthcare costs and limit the overall level of government expenditures.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forward-looking statements are based on management’s current expectations, estimates, forecasts and projections about our business and the industry in which we operate, and management’s beliefs and assumptions are not guarantees of future performance or development and involve known and unknown risks, uncertainties and other factors that are in some cases beyond our control. In light of the significant uncertainties in these forward-looking statements, you should not rely upon forward-looking statements as predictions of future events. Although we believe the expectations reflected in the forward-looking statements are reasonable, the future results, levels of activity, performance or events and circumstances reflected in the forward-looking statements may not be achieved or occur at all. The factors that could cause or contribute to such differences include, but are not limited to, those discussed in our Annual Report on Form 10-K filed on March 19, 2026. All forward-looking statements are applicable only as of the date on which they were made and, except as required by law, we undertake no obligation to publicly update any forward-looking statements, whether as a result of new information, future events or otherwise after the date of this Quarterly Report on Form 10-Q or to reflect the occurrence of any unanticipated events. Comparisons of results for current and any prior periods are not intended to express any future trends or indications of future performance, unless expressed as such, and should only be viewed as historical data.</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Larimar Therapeutics, Inc.</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INDEX</w:t>
      </w:r>
      <w:r>
        <w:rPr>
          <w:rFonts w:ascii="Times New Roman" w:hAnsi="Times New Roman"/>
          <w:color w:val="000000"/>
          <w:sz w:val="20"/>
        </w:rPr>
        <w:t xml:space="preserve"> </w:t>
      </w:r>
    </w:p>
    <w:p>
      <w:pPr>
        <w:pStyle w:val="TextBody"/>
        <w:bidi w:val="0"/>
        <w:spacing w:before="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739"/>
        <w:gridCol w:w="146"/>
        <w:gridCol w:w="8662"/>
        <w:gridCol w:w="146"/>
        <w:gridCol w:w="512"/>
      </w:tblGrid>
      <w:tr>
        <w:trPr/>
        <w:tc>
          <w:tcPr>
            <w:tcW w:w="7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6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r>
      <w:tr>
        <w:trPr/>
        <w:tc>
          <w:tcPr>
            <w:tcW w:w="9547"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9547" w:type="dxa"/>
            <w:gridSpan w:val="3"/>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0205" w:type="dxa"/>
            <w:gridSpan w:val="5"/>
            <w:tcBorders/>
            <w:tcMar>
              <w:top w:w="0" w:type="dxa"/>
              <w:left w:w="0" w:type="dxa"/>
              <w:bottom w:w="0" w:type="dxa"/>
              <w:right w:w="0" w:type="dxa"/>
            </w:tcMar>
            <w:vAlign w:val="center"/>
          </w:tcPr>
          <w:p>
            <w:pPr>
              <w:pStyle w:val="TableContents"/>
              <w:bidi w:val="0"/>
              <w:spacing w:before="0" w:after="283"/>
              <w:jc w:val="center"/>
              <w:rPr/>
            </w:pPr>
            <w:hyperlink w:anchor="part_ifinancial_information">
              <w:r>
                <w:rPr>
                  <w:rStyle w:val="InternetLink"/>
                  <w:rFonts w:ascii="Times New Roman" w:hAnsi="Times New Roman"/>
                  <w:b/>
                  <w:color w:val="0000FF"/>
                  <w:sz w:val="20"/>
                  <w:u w:val="single"/>
                </w:rPr>
                <w:t>PART I - FINANCIAL INFORMATION</w:t>
              </w:r>
            </w:hyperlink>
          </w:p>
        </w:tc>
      </w:tr>
      <w:tr>
        <w:trPr/>
        <w:tc>
          <w:tcPr>
            <w:tcW w:w="73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6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62" w:type="dxa"/>
            <w:tcBorders/>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Financial Statements (unaudited)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73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6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3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62" w:type="dxa"/>
            <w:tcBorders/>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Times New Roman" w:hAnsi="Times New Roman"/>
                  <w:color w:val="0000FF"/>
                  <w:sz w:val="20"/>
                  <w:u w:val="single"/>
                </w:rPr>
                <w:t>Condensed Consolidated Balance Sheets as of March 31, 2026 and December 31, 2025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73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6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3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62" w:type="dxa"/>
            <w:tcBorders/>
            <w:tcMar>
              <w:top w:w="0" w:type="dxa"/>
              <w:left w:w="0" w:type="dxa"/>
              <w:bottom w:w="0" w:type="dxa"/>
              <w:right w:w="0" w:type="dxa"/>
            </w:tcMar>
            <w:vAlign w:val="center"/>
          </w:tcPr>
          <w:p>
            <w:pPr>
              <w:pStyle w:val="TableContents"/>
              <w:bidi w:val="0"/>
              <w:spacing w:before="0" w:after="283"/>
              <w:jc w:val="left"/>
              <w:rPr/>
            </w:pPr>
            <w:hyperlink w:anchor="condensed_consolidated_statements_operat">
              <w:r>
                <w:rPr>
                  <w:rStyle w:val="InternetLink"/>
                  <w:rFonts w:ascii="Times New Roman" w:hAnsi="Times New Roman"/>
                  <w:color w:val="0000FF"/>
                  <w:sz w:val="20"/>
                  <w:u w:val="single"/>
                </w:rPr>
                <w:t>Condensed Consolidated Statements of Operations and Comprehensive Loss for the three months ended March 31, 2026 and 2025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73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6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3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62" w:type="dxa"/>
            <w:tcBorders/>
            <w:tcMar>
              <w:top w:w="0" w:type="dxa"/>
              <w:left w:w="0" w:type="dxa"/>
              <w:bottom w:w="0" w:type="dxa"/>
              <w:right w:w="0" w:type="dxa"/>
            </w:tcMar>
            <w:vAlign w:val="center"/>
          </w:tcPr>
          <w:p>
            <w:pPr>
              <w:pStyle w:val="TableContents"/>
              <w:bidi w:val="0"/>
              <w:spacing w:before="0" w:after="283"/>
              <w:jc w:val="left"/>
              <w:rPr/>
            </w:pPr>
            <w:hyperlink w:anchor="condensed_consolidated_statements_change">
              <w:r>
                <w:rPr>
                  <w:rStyle w:val="InternetLink"/>
                  <w:rFonts w:ascii="Times New Roman" w:hAnsi="Times New Roman"/>
                  <w:color w:val="0000FF"/>
                  <w:sz w:val="20"/>
                  <w:u w:val="single"/>
                </w:rPr>
                <w:t>Condensed Consolidated Statements of Changes in Stockholders' Equity for the three months ended March 31, 2026 and 2025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73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6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3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62" w:type="dxa"/>
            <w:tcBorders/>
            <w:tcMar>
              <w:top w:w="0" w:type="dxa"/>
              <w:left w:w="0" w:type="dxa"/>
              <w:bottom w:w="0" w:type="dxa"/>
              <w:right w:w="0" w:type="dxa"/>
            </w:tcMar>
            <w:vAlign w:val="center"/>
          </w:tcPr>
          <w:p>
            <w:pPr>
              <w:pStyle w:val="TableContents"/>
              <w:bidi w:val="0"/>
              <w:spacing w:before="0" w:after="283"/>
              <w:jc w:val="left"/>
              <w:rPr/>
            </w:pPr>
            <w:hyperlink w:anchor="condensed_consolidated_statements_cash_f">
              <w:r>
                <w:rPr>
                  <w:rStyle w:val="InternetLink"/>
                  <w:rFonts w:ascii="Times New Roman" w:hAnsi="Times New Roman"/>
                  <w:color w:val="0000FF"/>
                  <w:sz w:val="20"/>
                  <w:u w:val="single"/>
                </w:rPr>
                <w:t>Condensed Consolidated Statements of Cash Flows for the three months ended March 31, 2026 and 2025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73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6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3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62" w:type="dxa"/>
            <w:tcBorders/>
            <w:tcMar>
              <w:top w:w="0" w:type="dxa"/>
              <w:left w:w="0" w:type="dxa"/>
              <w:bottom w:w="0" w:type="dxa"/>
              <w:right w:w="0" w:type="dxa"/>
            </w:tcMar>
            <w:vAlign w:val="center"/>
          </w:tcPr>
          <w:p>
            <w:pPr>
              <w:pStyle w:val="TableContents"/>
              <w:bidi w:val="0"/>
              <w:spacing w:before="0" w:after="283"/>
              <w:jc w:val="left"/>
              <w:rPr/>
            </w:pPr>
            <w:hyperlink w:anchor="notes_to_condensed_consolidated_financia">
              <w:r>
                <w:rPr>
                  <w:rStyle w:val="InternetLink"/>
                  <w:rFonts w:ascii="Times New Roman" w:hAnsi="Times New Roman"/>
                  <w:color w:val="0000FF"/>
                  <w:sz w:val="20"/>
                  <w:u w:val="single"/>
                </w:rPr>
                <w:t>Notes to Condensed Consolidated Financial Statements</w:t>
              </w:r>
            </w:hyperlink>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r>
        <w:trPr/>
        <w:tc>
          <w:tcPr>
            <w:tcW w:w="73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6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62" w:type="dxa"/>
            <w:tcBorders/>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r>
      <w:tr>
        <w:trPr/>
        <w:tc>
          <w:tcPr>
            <w:tcW w:w="73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6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62" w:type="dxa"/>
            <w:tcBorders/>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73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6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62" w:type="dxa"/>
            <w:tcBorders/>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Times New Roman" w:hAnsi="Times New Roman"/>
                  <w:color w:val="0000FF"/>
                  <w:sz w:val="20"/>
                  <w:u w:val="single"/>
                </w:rPr>
                <w:t>Controls and Procedures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73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6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0205" w:type="dxa"/>
            <w:gridSpan w:val="5"/>
            <w:tcBorders/>
            <w:tcMar>
              <w:top w:w="0" w:type="dxa"/>
              <w:left w:w="0" w:type="dxa"/>
              <w:bottom w:w="0" w:type="dxa"/>
              <w:right w:w="0" w:type="dxa"/>
            </w:tcMar>
            <w:vAlign w:val="center"/>
          </w:tcPr>
          <w:p>
            <w:pPr>
              <w:pStyle w:val="TableContents"/>
              <w:bidi w:val="0"/>
              <w:spacing w:before="0" w:after="283"/>
              <w:jc w:val="center"/>
              <w:rPr/>
            </w:pPr>
            <w:hyperlink w:anchor="part_ii_or_information">
              <w:r>
                <w:rPr>
                  <w:rStyle w:val="InternetLink"/>
                  <w:rFonts w:ascii="Times New Roman" w:hAnsi="Times New Roman"/>
                  <w:b/>
                  <w:color w:val="0000FF"/>
                  <w:sz w:val="20"/>
                  <w:u w:val="single"/>
                </w:rPr>
                <w:t>PART II - OTHER INFORMATION</w:t>
              </w:r>
            </w:hyperlink>
            <w:hyperlink w:anchor="part_ii_or_information">
              <w:r>
                <w:rPr>
                  <w:rStyle w:val="InternetLink"/>
                  <w:rFonts w:ascii="Times New Roman" w:hAnsi="Times New Roman"/>
                  <w:color w:val="0000FF"/>
                  <w:sz w:val="20"/>
                </w:rPr>
                <w:t xml:space="preserve"> </w:t>
              </w:r>
            </w:hyperlink>
          </w:p>
        </w:tc>
      </w:tr>
      <w:tr>
        <w:trPr/>
        <w:tc>
          <w:tcPr>
            <w:tcW w:w="73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6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62"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73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6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62"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73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6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62" w:type="dxa"/>
            <w:tcBorders/>
            <w:tcMar>
              <w:top w:w="0" w:type="dxa"/>
              <w:left w:w="0" w:type="dxa"/>
              <w:bottom w:w="0" w:type="dxa"/>
              <w:right w:w="0" w:type="dxa"/>
            </w:tcMar>
            <w:vAlign w:val="center"/>
          </w:tcPr>
          <w:p>
            <w:pPr>
              <w:pStyle w:val="TableContents"/>
              <w:bidi w:val="0"/>
              <w:spacing w:before="0" w:after="283"/>
              <w:jc w:val="left"/>
              <w:rPr/>
            </w:pPr>
            <w:hyperlink w:anchor="item_2_unregistered_sales_of_equity">
              <w:r>
                <w:rPr>
                  <w:rStyle w:val="InternetLink"/>
                  <w:rFonts w:ascii="Times New Roman" w:hAnsi="Times New Roman"/>
                  <w:color w:val="0000FF"/>
                  <w:sz w:val="20"/>
                  <w:u w:val="single"/>
                </w:rPr>
                <w:t>Unregistered Sales of Equity Securities and Use of Proceeds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73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6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2" w:type="dxa"/>
            <w:tcBorders/>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73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6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2" w:type="dxa"/>
            <w:tcBorders/>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73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6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62" w:type="dxa"/>
            <w:tcBorders/>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73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6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62"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73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6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547" w:type="dxa"/>
            <w:gridSpan w:val="3"/>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b/>
                  <w:color w:val="0000FF"/>
                  <w:sz w:val="20"/>
                  <w:u w:val="single"/>
                </w:rPr>
                <w:t>Signatures</w:t>
              </w:r>
            </w:hyperlink>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2" w:name="part_ifinancial_information"/>
      <w:bookmarkEnd w:id="2"/>
      <w:r>
        <w:rPr>
          <w:rFonts w:ascii="Times New Roman" w:hAnsi="Times New Roman"/>
          <w:b/>
          <w:color w:val="000000"/>
          <w:sz w:val="20"/>
        </w:rPr>
        <w:t>PART I-FINANCIAL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bookmarkStart w:id="3" w:name="item_1_financial_statements"/>
      <w:bookmarkEnd w:id="3"/>
      <w:r>
        <w:rPr>
          <w:rFonts w:ascii="Times New Roman" w:hAnsi="Times New Roman"/>
          <w:b/>
          <w:color w:val="000000"/>
          <w:sz w:val="20"/>
        </w:rPr>
        <w:t>Item 1. Financial Statements</w:t>
      </w:r>
      <w:r>
        <w:rPr>
          <w:rFonts w:ascii="Times New Roman" w:hAnsi="Times New Roman"/>
          <w:color w:val="000000"/>
          <w:sz w:val="20"/>
        </w:rPr>
        <w:t xml:space="preserve"> </w:t>
      </w:r>
    </w:p>
    <w:p>
      <w:pPr>
        <w:pStyle w:val="TextBody"/>
        <w:bidi w:val="0"/>
        <w:spacing w:before="360" w:after="283"/>
        <w:jc w:val="center"/>
        <w:rPr>
          <w:rFonts w:ascii="Times New Roman" w:hAnsi="Times New Roman"/>
          <w:sz w:val="20"/>
        </w:rPr>
      </w:pPr>
      <w:r>
        <w:rPr>
          <w:rFonts w:ascii="Times New Roman" w:hAnsi="Times New Roman"/>
          <w:b/>
          <w:color w:val="000000"/>
          <w:sz w:val="20"/>
        </w:rPr>
        <w:t>LARIMAR THERAPEUTICS, INC.</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bookmarkStart w:id="4" w:name="condensed_consolidated_balance_sheets"/>
      <w:bookmarkEnd w:id="4"/>
      <w:r>
        <w:rPr>
          <w:rFonts w:ascii="Times New Roman" w:hAnsi="Times New Roman"/>
          <w:b/>
          <w:color w:val="000000"/>
          <w:sz w:val="20"/>
        </w:rPr>
        <w:t>CONDENSED CONSOLIDATED BALANCE SHEETS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tbl>
      <w:tblPr>
        <w:tblW w:w="9337" w:type="dxa"/>
        <w:jc w:val="left"/>
        <w:tblInd w:w="0" w:type="dxa"/>
        <w:tblLayout w:type="fixed"/>
        <w:tblCellMar>
          <w:top w:w="28" w:type="dxa"/>
          <w:left w:w="28" w:type="dxa"/>
          <w:bottom w:w="28" w:type="dxa"/>
          <w:right w:w="28" w:type="dxa"/>
        </w:tblCellMar>
      </w:tblPr>
      <w:tblGrid>
        <w:gridCol w:w="6141"/>
        <w:gridCol w:w="146"/>
        <w:gridCol w:w="211"/>
        <w:gridCol w:w="841"/>
        <w:gridCol w:w="166"/>
        <w:gridCol w:w="146"/>
        <w:gridCol w:w="219"/>
        <w:gridCol w:w="876"/>
        <w:gridCol w:w="591"/>
      </w:tblGrid>
      <w:tr>
        <w:trPr/>
        <w:tc>
          <w:tcPr>
            <w:tcW w:w="6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61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1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177,913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85,412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51,440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1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204,977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142,022</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2,069</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1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208,511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145,842</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58,474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1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64,795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1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67,757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(See Note 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 $0.001 par value per share; 5,000,000 shares authorized</w:t>
              <w:br/>
              <w:t>   as of March 31, 2026 and December 31, 2025; 500,000 and 250,000</w:t>
              <w:br/>
              <w:t>   shares issued and outstanding as of March 31, 2026</w:t>
              <w:br/>
              <w:t>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$0.001 par value per share; 115,000,000 shares</w:t>
              <w:br/>
              <w:t xml:space="preserve">   authorized as of March 31, 2026 and December 31, 2025; </w:t>
              <w:br/>
              <w:t xml:space="preserve">   103,882,937 and 83,090,392 shares issued and outstanding as of </w:t>
              <w:br/>
              <w:t>   March 31,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622,367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512,779</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(464,444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(434,831</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other comprehensive gain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61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158,033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78,085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61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208,511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145,842</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LARIMAR THERAPEUTICS, INC.</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bookmarkStart w:id="5" w:name="condensed_consolidated_statements_operat"/>
      <w:bookmarkEnd w:id="5"/>
      <w:r>
        <w:rPr>
          <w:rFonts w:ascii="Times New Roman" w:hAnsi="Times New Roman"/>
          <w:b/>
          <w:color w:val="000000"/>
          <w:sz w:val="20"/>
        </w:rPr>
        <w:t>CONDENSED CONSOLIDATED STATEMENTS OF</w:t>
      </w:r>
      <w:r>
        <w:rPr>
          <w:rFonts w:ascii="Times New Roman" w:hAnsi="Times New Roman"/>
          <w:color w:val="000000"/>
          <w:sz w:val="20"/>
        </w:rPr>
        <w:t xml:space="preserve"> </w:t>
      </w:r>
      <w:r>
        <w:rPr>
          <w:rFonts w:ascii="Times New Roman" w:hAnsi="Times New Roman"/>
          <w:b/>
          <w:color w:val="000000"/>
          <w:sz w:val="20"/>
        </w:rPr>
        <w:t>OPERATIONS AND COMPREHENSIVE LOSS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tbl>
      <w:tblPr>
        <w:tblW w:w="10194" w:type="dxa"/>
        <w:jc w:val="left"/>
        <w:tblInd w:w="0" w:type="dxa"/>
        <w:tblLayout w:type="fixed"/>
        <w:tblCellMar>
          <w:top w:w="28" w:type="dxa"/>
          <w:left w:w="28" w:type="dxa"/>
          <w:bottom w:w="28" w:type="dxa"/>
          <w:right w:w="28" w:type="dxa"/>
        </w:tblCellMar>
      </w:tblPr>
      <w:tblGrid>
        <w:gridCol w:w="6631"/>
        <w:gridCol w:w="146"/>
        <w:gridCol w:w="211"/>
        <w:gridCol w:w="1036"/>
        <w:gridCol w:w="166"/>
        <w:gridCol w:w="146"/>
        <w:gridCol w:w="211"/>
        <w:gridCol w:w="1036"/>
        <w:gridCol w:w="611"/>
      </w:tblGrid>
      <w:tr>
        <w:trPr/>
        <w:tc>
          <w:tcPr>
            <w:tcW w:w="6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26,552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31,188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(31,188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(29,281</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(29,281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loss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6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(29,375</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and diluted net loss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used in computing basic and diluted net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89,814,820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63,964,008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441,667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LARIMAR THERAPEUTICS, INC.</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bookmarkStart w:id="6" w:name="condensed_consolidated_statements_change"/>
      <w:bookmarkEnd w:id="6"/>
      <w:r>
        <w:rPr>
          <w:rFonts w:ascii="Times New Roman" w:hAnsi="Times New Roman"/>
          <w:b/>
          <w:color w:val="000000"/>
          <w:sz w:val="20"/>
        </w:rPr>
        <w:t>CONDENSED CONSOLIDATED STATEMENTS OF CHANGES IN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STOCKHOLDERS’ EQUITY</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data)</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pPr>
      <w:r>
        <w:rPr/>
        <w:t> </w:t>
      </w:r>
    </w:p>
    <w:tbl>
      <w:tblPr>
        <w:tblW w:w="11295" w:type="dxa"/>
        <w:jc w:val="left"/>
        <w:tblInd w:w="0" w:type="dxa"/>
        <w:tblLayout w:type="fixed"/>
        <w:tblCellMar>
          <w:top w:w="28" w:type="dxa"/>
          <w:left w:w="28" w:type="dxa"/>
          <w:bottom w:w="28" w:type="dxa"/>
          <w:right w:w="28" w:type="dxa"/>
        </w:tblCellMar>
      </w:tblPr>
      <w:tblGrid>
        <w:gridCol w:w="1261"/>
        <w:gridCol w:w="146"/>
        <w:gridCol w:w="781"/>
        <w:gridCol w:w="146"/>
        <w:gridCol w:w="146"/>
        <w:gridCol w:w="211"/>
        <w:gridCol w:w="346"/>
        <w:gridCol w:w="146"/>
        <w:gridCol w:w="146"/>
        <w:gridCol w:w="146"/>
        <w:gridCol w:w="1141"/>
        <w:gridCol w:w="166"/>
        <w:gridCol w:w="146"/>
        <w:gridCol w:w="211"/>
        <w:gridCol w:w="421"/>
        <w:gridCol w:w="166"/>
        <w:gridCol w:w="146"/>
        <w:gridCol w:w="211"/>
        <w:gridCol w:w="781"/>
        <w:gridCol w:w="146"/>
        <w:gridCol w:w="146"/>
        <w:gridCol w:w="211"/>
        <w:gridCol w:w="841"/>
        <w:gridCol w:w="166"/>
        <w:gridCol w:w="146"/>
        <w:gridCol w:w="437"/>
        <w:gridCol w:w="779"/>
        <w:gridCol w:w="166"/>
        <w:gridCol w:w="146"/>
        <w:gridCol w:w="220"/>
        <w:gridCol w:w="816"/>
        <w:gridCol w:w="211"/>
      </w:tblGrid>
      <w:tr>
        <w:trPr/>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Par Value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Balances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83,090,392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512,779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(434,831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78,085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net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23,000,000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107,616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preferred stock in exchange for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288,545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loss on marketable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(29,613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Balances as of March 31, 2026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103,882,937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622,367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(464,444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158,033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LARIMAR THERAPEUTICS, INC.</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CONDENSED CONSOLIDATED STATEMENTS OF CHANGES IN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STOCKHOLDERS’ EQUITY</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data)</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(Continued)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92"/>
        <w:gridCol w:w="146"/>
        <w:gridCol w:w="1036"/>
        <w:gridCol w:w="146"/>
        <w:gridCol w:w="146"/>
        <w:gridCol w:w="263"/>
        <w:gridCol w:w="431"/>
        <w:gridCol w:w="146"/>
        <w:gridCol w:w="146"/>
        <w:gridCol w:w="211"/>
        <w:gridCol w:w="781"/>
        <w:gridCol w:w="146"/>
        <w:gridCol w:w="146"/>
        <w:gridCol w:w="211"/>
        <w:gridCol w:w="841"/>
        <w:gridCol w:w="166"/>
        <w:gridCol w:w="146"/>
        <w:gridCol w:w="405"/>
        <w:gridCol w:w="811"/>
        <w:gridCol w:w="166"/>
        <w:gridCol w:w="146"/>
        <w:gridCol w:w="225"/>
        <w:gridCol w:w="838"/>
        <w:gridCol w:w="214"/>
      </w:tblGrid>
      <w:tr>
        <w:trPr/>
        <w:tc>
          <w:tcPr>
            <w:tcW w:w="22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22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Balances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63,815,065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440,758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(269,158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171,812</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212,827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1,834</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loss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(29,281</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Balances as of March 31, 2025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64,027,892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442,592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(298,439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144,271</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LARIMAR THERAPEUTICS, INC.</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bookmarkStart w:id="7" w:name="condensed_consolidated_statements_cash_f"/>
      <w:bookmarkEnd w:id="7"/>
      <w:r>
        <w:rPr>
          <w:rFonts w:ascii="Times New Roman" w:hAnsi="Times New Roman"/>
          <w:b/>
          <w:color w:val="000000"/>
          <w:sz w:val="20"/>
        </w:rPr>
        <w:t>CONDENSED 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197"/>
        <w:gridCol w:w="346"/>
        <w:gridCol w:w="211"/>
        <w:gridCol w:w="781"/>
        <w:gridCol w:w="566"/>
        <w:gridCol w:w="546"/>
        <w:gridCol w:w="211"/>
        <w:gridCol w:w="736"/>
        <w:gridCol w:w="611"/>
      </w:tblGrid>
      <w:tr>
        <w:trPr/>
        <w:tc>
          <w:tcPr>
            <w:tcW w:w="619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(29,613</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(29,281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1,979</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Lease expense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1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expense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premium on marketable securities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1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Changes in operating assets and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9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expenses and other current assets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9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2,925</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19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expenses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(20,401</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19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assets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619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cash used in operating activities: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(44,614</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(26,540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property and equipment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marketable securities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(52,503</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Maturities of marketable securities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29,000</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67,000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619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29,000</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14,448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issuance of equity securities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108,101</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exercise of stock options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619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cash provided by financing activities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108,115</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increase in cash, cash equivalents and restricted cash</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92,501</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(12,092</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beginning of period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86,018</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end of period</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178,519</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21,732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non-cash investing and financing activities: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property and equipment included in accounts payable and accrued expenses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Offering costs included in accounts payable and accrued expense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LARIMAR THERAPEUTICS, INC.</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bookmarkStart w:id="8" w:name="notes_to_condensed_consolidated_financia"/>
      <w:bookmarkEnd w:id="8"/>
      <w:r>
        <w:rPr>
          <w:rFonts w:ascii="Times New Roman" w:hAnsi="Times New Roman"/>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 xml:space="preserve">Description of Business and Basis of Presentation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Larimar Therapeutics, Inc., together with its subsidiary (the “Company” or “Larimar”), is a clinical-stage biotechnology company focused on developing treatments for patients suffering from complex rare diseases using its novel cell penetrating peptide technology platform. Larimar's lead product candidate, nomlabofusp, is a subcutaneously administered, recombinant fusion protein intended to deliver human frataxin (“FXN”), an essential protein, to the mitochondria of patients with Friedreich's Ataxia (“FA”). FA is a rare, progressive, and fatal disease in which patients are unable to produce sufficient FXN due to a genetic abnormality.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condensed consolidated financial statements include the accounts of Larimar and its wholly owned subsidiary. All intercompany balances and transactions have been eliminated. The accompanying condensed consolidated financial statements have been prepared in conformity with U.S. Generally Accepted Accounting Principles (“GAAP”).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consolidated balance sheet as of December 31, 2025 was derived from the Company’s audited financial statements but does not include all disclosures required by GAAP. The accompanying unaudited condensed consolidated financial statements as of March 31, 2026 and for the three months ended March 31, 2026 and 2025, have been prepared by the Company pursuant to the rules and regulations of the Securities and Exchange Commission (“SEC”) for interim financial statements. Certain information and footnote disclosures normally included in financial statements prepared in accordance with GAAP have been condensed or omitted pursuant to such rules and regulations. However, the Company believes that the disclosures are adequate to make the information presented not misleading. These condensed consolidated financial statements should be read in conjunction with the Company’s audited consolidated financial statements and the notes thereto for the year ended December 31, 2025 included in the Company’s Annual Report on Form 10-K filed with the SEC on March 19,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opinion of management, all adjustments, consisting only of normal recurring adjustments necessary for a fair statement of the Company’s condensed consolidated financial position as of March 31, 2026, condensed consolidated results of operations for the three months ended March 31, 2026 and condensed consolidated statement of cash flows for the three months ended March 31, 2026 have been made. The results of operations for the three months ended March 31, 2026 are not necessarily indicative of the results of operations that may be expected for the year ending December 31, 2026.</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Liquidity and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condensed consolidated financial statements have been presented on the basis that it will continue as a going concern, which contemplates the realization of assets and satisfaction of liabilities in the normal course of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its inception, the Company has incurred significant recurring operating losses and negative cash flows from operations. The Company has incurred net losses of $29.6 million and $29.3 million for the three months ended March 31, 2026 and 2025, respectively. In addition, as of March 31, 2026, the Company had an accumulated deficit of $464.4 million. The Company expects to continue to generate operating losses for the foreseeable future. As of March 31, 2026, the Company had approximately $200.4 million of cash, cash equivalents and marketable securities available for use to fund its operations and capital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funded its operations to date primarily with proceeds from sales of common stock and proceeds from the sale of prefunded warrants for the purchase of common stock, the acquisition in 2020 of cash, cash equivalents and marketable securities upon the merger with Zafgen, Inc. (“Zafgen”) and, prior to the 2020 merger with Zafgen, capital contributions from Chondrial Holdings, LLC.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July 2025, the Company completed an underwritten public offering of common stock raising net proceeds of approximately $65.0 million.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2026, the Company completed an underwritten public offering of common stock raising net proceeds of approximately $107.6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accordance with Accounting Standards Update (“ASU”) No. 2014-15, “Disclosure of Uncertainties about an Entity’s Ability to Continue as a Going Concern”, the Company has evaluated whether there are certain conditions and events, considered in the aggregate, that raise substantial doubt about the Company’s ability to continue as a going concern within one year after the date that these condensed consolidated financial statements are issued. As of the issuance date of these condensed consolidated financial statements, the Company expects its cash, cash equivalents and marketable securities will be sufficient to fund its forecasted operating expenses and capital expenditure requirements for at least twelve months from the date these financial statements are issued.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not yet commercialized any products and its ability to commercialize nomlabofusp is dependent on receiving regulatory approval in the United States and/or other countries. The Company expects that its research and development, general and administrative and commercial expenses will continue to increase and, as a result, that it may need additional capital to fund its future operating and capital requirements. Unless and until the Company can generate substantial revenue, management continuously evaluates different strategies to obtain the required funding for future operations. These strategies include seeking additional funding through a combination of public or private equity offerings, debt or royalty financings, collaborations and licensing arrangements, strategic partnerships with pharmaceutical and/or larger biotechnology companies, or other sources. The incurrence of indebtedness would result in increased payment obligations and the Company may be required to agree to certain restrictive covenants, such as limitations on its ability to incur additional debt, limitations on its ability to acquire, sell or license intellectual property rights, minimum required cash balances and other operating restrictions that could adversely impact the Company's ability to conduct its business. Any additional fundraising efforts may divert the Company's management from their day-to-day activities, which may adversely affect its ability to develop and commercialize its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can be no assurance that the Company would be able to raise sufficient additional capital on acceptable terms, if at all. If such additional financing is not available on satisfactory terms, or is not available in sufficient amounts, or if the Company does not have sufficient authorized shares, the Company may be required to delay, limit, or eliminate the development of business opportunities and its ability to achieve its business objectives, its competitiveness, and its business, financial condition, and results of operations will be materially adversely affected. The Company could also be required to seek funds through arrangements with collaborative partners or otherwise at an earlier stage than otherwise would be desirable and it may be required to relinquish rights to some of its technologies or product candidates or otherwise agree to terms unfavorable to it, any of which may have a material adverse effect on the Company's business, operating results and prospects. In addition, geopolitical tensions (including the war in the Middle East and other regional conflicts around the world), volatility of capital markets, and other adverse macroeconomic events, including those due to inflationary pressures, rising interest rates, tariff or trade protection measures that have been or may in the future be imposed by the U.S. or other countries, bank instability and the ability of the U.S. government to manage federal debt limits as well as the potential impact of other health crises on the global financial markets may reduce the Company's ability to access capital, which could negatively affect its liquidity and ability to continue as a going concern.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the Company is unable to obtain sufficient funding when needed and/or on acceptable terms, the Company may be required to significantly curtail, delay or discontinue one or more of its research and development programs, the manufacture of clinical and commercial supplies, product portfolio expansion, commercialization efforts and/or commercial operations, which could adversely affect its business prospects, or the Company may be unable to continue operations. If the timing of the Company's clinical assumptions are delayed or if there are other forecasted assumption changes that negatively impact its operating plan, the Company would reduce expenditures in order to further extend cash resources.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2.</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Summary of Significant Accounting Policies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condensed consolidated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This process involves reviewing open contracts and purchase orders, communicating with our personnel and outside vendors to identify services that have been performed on our behalf and estimating the level of service performed and the associated costs incurred for the services when we have not yet been invoiced or otherwise notified of the actual costs. Significant estimates and assumptions reflected in these condensed consolidated financial statements include, but are not limited to, the accrual of research and development expense, the recording as prepaid expense of payments made in advance of the actual provision of goods or services, valuation of stock-based awards and valuation of leases. Due to inherent uncertainty involved in making estimates, actual results reported in future periods may be affected by changes in these estimates. On an ongoing basis, the Company evaluates its estimates and assumptions.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Research and Development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associated with internal research and development and external research and development services, including drug development, clinical studies and non-clinical studies, are expensed as incurred. Research and development expenses include costs for salaries, employee benefits, subcontractors, facility-related expenses, depreciation, stock-based compensation, third-party license fees, laboratory supplies, and external costs of outside vendors engaged to conduct discovery, non-clinical and clinical development activities and clinical trials as well as to manufacture clinical trial materials, and other costs. The Company recognizes external research and development costs based on an evaluation of the progress to completion of specific tasks using information provided to the Company by its key service providers.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Nonrefundable advance payments for goods or services to be received in the future for use in research and development activities are recorded as prepaid expenses. Such prepaid expenses are recognized as an expense when the goods have been delivered or the related services have been performed, or when it is no longer expected that the goods will be delivered, or the services rendered.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Upfront payments, milestone payments and annual maintenance fees under license agreements are currently expensed in the period in which they are incurred.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Patent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patent-related costs incurred in connection with filing and prosecuting patent applications are expensed as incurred due to the uncertainty about the recovery of the expenditure. Amounts incurred are classified as general and administrative expenses.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Stock-Based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measures all stock-based awards granted to employees and directors based on the fair value on the date of grant using the Black-Scholes option-pricing model. Compensation expense of those awards is recognized over the requisite service period, which is the vesting period of the respective award. Typically, the Company issues awards with only service-based vesting conditions and records the expense for these awards using the straight-line method. The Company accounts for forfeitures as they occur.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classifies stock-based compensation expense in its consolidated statements of operations and comprehensive loss in the same manner in which the award recipient’s payroll costs are classified or in which the award recipient’s service payments are classified.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Prior to May 28, 2020, the Company had been a private company and lacked company-specific historical and implied volatility information for its common stock. Prior to January 1, 2023, the Company estimated its expected common stock price volatility solely based on the historical volatility of publicly traded peer companies. Beginning on January 1, 2023, based on the availability of sufficient historical trading data of the Company's own common stock on the Nasdaq Global Market to calculate accurately its volatility, the Company began blending its volatility starting from June 2020 (following its merger with Zafgen in 2020) to the date of each stock-based award, and weighing the volatility of its peer group for the amount of time from May 31, 2020 backwards so that the blended volatility equals the expected term of the related stock-based award. The expected term of the Company’s stock options has been determined utilizing the “simplified” method for awards that qualify as “plain-vanilla” options.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risk-free interest rate is determined by reference to the U.S. Treasury yield curve in effect at the time of grant of the award for time periods approximately equal to the expected term of the award. The expected dividend yield considers the fact that the Company has never paid cash dividends on common stock and does not expect to pay any cash dividends in the foreseeable future.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Segment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segments are defined as components of an enterprise for which separate discrete information is available for evaluation by the chief operating decision maker, or decision making group, in deciding how to allocate resources in assessing performance. The Company is managed on a consolidated basis and has one operating and reportable segment related to the development of clinical and preclinical product candidates for the development of the Company’s proprietary new therapies, primarily nomlabofusp, the Company's life science segment. The Company’s chief operating decision maker (“CODM”) is the Company's chief executive officer (“CEO”).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accounting policies of the life science segment are the same as those described in the summary of significant accounting policies. The CODM assesses performance for the Company and its reportable segment based on net loss, which is reported on the consolidated Statements of Operations. The measure of segment assets is reported on the balance sheet as total consolidated assets. All long-lived assets are located in the 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date, the Company has not generated any product revenue. The Company expects to continue to incur significant expenses and operating losses for the foreseeable future as it advances product candidates through all stages of development and clinical trials and regulatory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CODM uses consolidated financial information, including consolidated net loss, to evaluate performance, forecast future period financial results, allocate resources for the company by, among other things, comparing budgeted to actual results.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table below summarizes the significant expense categories regularly provided to the CODM for the three months ended March 31, 2026 and 2025:</w:t>
      </w:r>
    </w:p>
    <w:p>
      <w:pPr>
        <w:pStyle w:val="TextBody"/>
        <w:bidi w:val="0"/>
        <w:jc w:val="left"/>
        <w:rPr/>
      </w:pPr>
      <w:r>
        <w:rPr/>
        <w:t> </w:t>
      </w:r>
    </w:p>
    <w:tbl>
      <w:tblPr>
        <w:tblW w:w="6041" w:type="dxa"/>
        <w:jc w:val="left"/>
        <w:tblInd w:w="0" w:type="dxa"/>
        <w:tblLayout w:type="fixed"/>
        <w:tblCellMar>
          <w:top w:w="28" w:type="dxa"/>
          <w:left w:w="28" w:type="dxa"/>
          <w:bottom w:w="28" w:type="dxa"/>
          <w:right w:w="28" w:type="dxa"/>
        </w:tblCellMar>
      </w:tblPr>
      <w:tblGrid>
        <w:gridCol w:w="2621"/>
        <w:gridCol w:w="146"/>
        <w:gridCol w:w="285"/>
        <w:gridCol w:w="996"/>
        <w:gridCol w:w="224"/>
        <w:gridCol w:w="197"/>
        <w:gridCol w:w="285"/>
        <w:gridCol w:w="996"/>
        <w:gridCol w:w="291"/>
      </w:tblGrid>
      <w:tr>
        <w:trPr/>
        <w:tc>
          <w:tcPr>
            <w:tcW w:w="2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6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March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6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Technical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12,087</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15,307</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Development </w:t>
            </w:r>
            <w:r>
              <w:rPr>
                <w:rFonts w:ascii="Times New Roman" w:hAnsi="Times New Roman"/>
                <w:color w:val="000000"/>
                <w:sz w:val="13"/>
              </w:rPr>
              <w: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11,337</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9,609</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Nomlabofusp support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1,607</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1,636</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General and administrative </w:t>
            </w:r>
            <w:r>
              <w:rPr>
                <w:rFonts w:ascii="Times New Roman" w:hAnsi="Times New Roman"/>
                <w:color w:val="000000"/>
                <w:sz w:val="13"/>
              </w:rPr>
              <w:t>(b)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4,978</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4,146</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Commercial </w:t>
            </w:r>
            <w:r>
              <w:rPr>
                <w:rFonts w:ascii="Times New Roman" w:hAnsi="Times New Roman"/>
                <w:color w:val="000000"/>
                <w:sz w:val="13"/>
              </w:rPr>
              <w:t>(c)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31,117</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31,188</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(1,504</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(1,907</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(29,613</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(29,281</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Development expenses include research and development related stock compensation expense of approximately $1.0 million and $0.9 million for the three months ended March 31, 2026 and 2025,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General and administrative expenses include general and administrative related stock compensation expense of approximately $1.0 million and $0.9 million for the three months ended March 31, 2026 and 2025,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 Commercial expenses relate to commercial readiness activities.</w:t>
      </w:r>
    </w:p>
    <w:p>
      <w:pPr>
        <w:pStyle w:val="TextBody"/>
        <w:bidi w:val="0"/>
        <w:spacing w:before="120" w:after="283"/>
        <w:jc w:val="left"/>
        <w:rPr>
          <w:rFonts w:ascii="Times New Roman" w:hAnsi="Times New Roman"/>
          <w:sz w:val="20"/>
        </w:rPr>
      </w:pPr>
      <w:r>
        <w:rPr>
          <w:rFonts w:ascii="Times New Roman" w:hAnsi="Times New Roman"/>
          <w:b/>
          <w:i/>
          <w:color w:val="000000"/>
          <w:sz w:val="20"/>
        </w:rPr>
        <w:t>Recently Issued and Adopted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new accounting guidance is issued by the FASB or other standard setting bodies that is adopted by us as of the effective date or, in some cases where early adoption is permitted, in advance of the effective date. We have assessed the recently issued guidance that is not yet effective and believe the new guidance will not have a material impact on the consolidated results of operations, cash flows or financial position.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Recently Issued Accounting Pronouncements Not Yet Adopted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2024, the FASB issued ASU 2024-03, “Income Statement - Reporting Comprehensive Income - Expense Disaggregation Disclosures (Subtopic 220-40): Disaggregation of Income Statement Expenses”, which requires disaggregated disclosures in the notes of the financial statements of certain categories of expenses that are included in expense line items on the face of the income statement. This ASU is effective for annual periods beginning after December 15, 2026, and interim periods within annual reporting periods beginning after December 15, 2027. Early adoption is permitted. The Company will evaluate the impact adopting ASU 2024-03 will have on the Company's consolidated financial statements and disclosures.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Income Taxes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recognize deferred tax assets and liabilities for the expected future tax consequences of temporary differences between the financial reporting and tax basis of assets and liabilities, as well as for operating loss and tax credit carryforwards. Deferred tax assets and liabilities are measured using the tax rates that are expected to apply to taxable income for the years in which those tax assets and liabilities are expected to be realized or settled. We record valuation allowances to reduce deferred tax assets to the amount we believe is more likely than not to be realized. During the three months ended March 31, 2026 and 2025, the Company recorded no income tax benefits for the net operating losses incurred in each period due to the uncertainty of realizing a benefit from those items.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3.</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Fair Value Measurements and Marketable Securities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Fair Value Measurements</w:t>
      </w:r>
    </w:p>
    <w:p>
      <w:pPr>
        <w:pStyle w:val="TextBody"/>
        <w:bidi w:val="0"/>
        <w:spacing w:before="120" w:after="283"/>
        <w:jc w:val="left"/>
        <w:rPr>
          <w:rFonts w:ascii="Times New Roman" w:hAnsi="Times New Roman"/>
          <w:sz w:val="20"/>
        </w:rPr>
      </w:pPr>
      <w:r>
        <w:rPr>
          <w:rFonts w:ascii="Times New Roman" w:hAnsi="Times New Roman"/>
          <w:color w:val="000000"/>
          <w:sz w:val="20"/>
        </w:rPr>
        <w:t>The Company’s assets and liabilities that are measured at fair value on a recurring basis as of March 31, 2026 and December 31, 2025 are measured in accordance with the standards of ASC 820,“</w:t>
      </w:r>
      <w:r>
        <w:rPr>
          <w:rFonts w:ascii="Times New Roman" w:hAnsi="Times New Roman"/>
          <w:i/>
          <w:color w:val="000000"/>
          <w:sz w:val="20"/>
        </w:rPr>
        <w:t>Fair Value Measurements and Disclosures</w:t>
      </w:r>
      <w:r>
        <w:rPr>
          <w:rFonts w:ascii="Times New Roman" w:hAnsi="Times New Roman"/>
          <w:color w:val="000000"/>
          <w:sz w:val="20"/>
        </w:rPr>
        <w:t xml:space="preserve">”, which establishes a three-level valuation hierarchy for measuring fair value and expands financial statement disclosures about fair value measurements. The valuation hierarchy is based on the transparency of inputs to the valuation of an asset or liability as of the measurement date. The three levels are defined as follows: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15"/>
        <w:gridCol w:w="9490"/>
      </w:tblGrid>
      <w:tr>
        <w:trPr/>
        <w:tc>
          <w:tcPr>
            <w:tcW w:w="715" w:type="dxa"/>
            <w:tcBorders/>
            <w:vAlign w:val="center"/>
          </w:tcPr>
          <w:p>
            <w:pPr>
              <w:pStyle w:val="TableContents"/>
              <w:bidi w:val="0"/>
              <w:spacing w:before="0" w:after="283"/>
              <w:jc w:val="left"/>
              <w:rPr>
                <w:sz w:val="4"/>
                <w:szCs w:val="4"/>
              </w:rPr>
            </w:pPr>
            <w:r>
              <w:rPr>
                <w:sz w:val="4"/>
                <w:szCs w:val="4"/>
              </w:rPr>
            </w:r>
          </w:p>
        </w:tc>
        <w:tc>
          <w:tcPr>
            <w:tcW w:w="9490" w:type="dxa"/>
            <w:tcBorders/>
            <w:vAlign w:val="center"/>
          </w:tcPr>
          <w:p>
            <w:pPr>
              <w:pStyle w:val="TableContents"/>
              <w:bidi w:val="0"/>
              <w:spacing w:before="0" w:after="283"/>
              <w:jc w:val="left"/>
              <w:rPr>
                <w:sz w:val="4"/>
                <w:szCs w:val="4"/>
              </w:rPr>
            </w:pPr>
            <w:r>
              <w:rPr>
                <w:sz w:val="4"/>
                <w:szCs w:val="4"/>
              </w:rPr>
            </w:r>
          </w:p>
        </w:tc>
      </w:tr>
      <w:tr>
        <w:trPr/>
        <w:tc>
          <w:tcPr>
            <w:tcW w:w="71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 1</w:t>
            </w:r>
          </w:p>
        </w:tc>
        <w:tc>
          <w:tcPr>
            <w:tcW w:w="949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Inputs to the valuation methodology are quoted prices (unadjusted) for identical assets or liabilities in active markets.</w:t>
            </w:r>
          </w:p>
        </w:tc>
      </w:tr>
      <w:tr>
        <w:trPr/>
        <w:tc>
          <w:tcPr>
            <w:tcW w:w="715" w:type="dxa"/>
            <w:tcBorders/>
            <w:tcMar>
              <w:top w:w="0" w:type="dxa"/>
              <w:left w:w="0" w:type="dxa"/>
              <w:bottom w:w="0" w:type="dxa"/>
              <w:right w:w="0" w:type="dxa"/>
            </w:tcMar>
            <w:vAlign w:val="center"/>
          </w:tcPr>
          <w:p>
            <w:pPr>
              <w:pStyle w:val="TableContents"/>
              <w:bidi w:val="0"/>
              <w:spacing w:before="0" w:after="283"/>
              <w:jc w:val="left"/>
              <w:rPr/>
            </w:pPr>
            <w:r>
              <w:rPr/>
              <w:t> </w:t>
            </w:r>
          </w:p>
        </w:tc>
        <w:tc>
          <w:tcPr>
            <w:tcW w:w="949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 2</w:t>
            </w:r>
          </w:p>
        </w:tc>
        <w:tc>
          <w:tcPr>
            <w:tcW w:w="949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Inputs to the valuation methodology include quoted prices for similar assets and liabilities in active markets, and inputs that are observable for the asset or liability, either directly or indirectly, for substantially the full term of the financial instrument.</w:t>
            </w:r>
          </w:p>
        </w:tc>
      </w:tr>
      <w:tr>
        <w:trPr/>
        <w:tc>
          <w:tcPr>
            <w:tcW w:w="715" w:type="dxa"/>
            <w:tcBorders/>
            <w:tcMar>
              <w:top w:w="0" w:type="dxa"/>
              <w:left w:w="0" w:type="dxa"/>
              <w:bottom w:w="0" w:type="dxa"/>
              <w:right w:w="0" w:type="dxa"/>
            </w:tcMar>
            <w:vAlign w:val="center"/>
          </w:tcPr>
          <w:p>
            <w:pPr>
              <w:pStyle w:val="TableContents"/>
              <w:bidi w:val="0"/>
              <w:spacing w:before="0" w:after="283"/>
              <w:jc w:val="left"/>
              <w:rPr/>
            </w:pPr>
            <w:r>
              <w:rPr/>
              <w:t> </w:t>
            </w:r>
          </w:p>
        </w:tc>
        <w:tc>
          <w:tcPr>
            <w:tcW w:w="949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 3</w:t>
            </w:r>
          </w:p>
        </w:tc>
        <w:tc>
          <w:tcPr>
            <w:tcW w:w="949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Inputs to the valuation methodology are unobservable and significant to the fair value measurement.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financial instruments consist primarily of cash, cash equivalents, marketable securities, accounts payable and accrued liabilities. For accounts payable and accrued liabilities, the carrying amounts of these financial instruments as of March 31, 2026 and December 31, 2025 were considered representative of their fair values due to their short term to maturity.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tables summarize the Company’s cash equivalents and marketable securities as of March 31, 2026 and December 31, 2025:</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481"/>
        <w:gridCol w:w="146"/>
        <w:gridCol w:w="211"/>
        <w:gridCol w:w="781"/>
        <w:gridCol w:w="146"/>
        <w:gridCol w:w="146"/>
        <w:gridCol w:w="211"/>
        <w:gridCol w:w="781"/>
        <w:gridCol w:w="146"/>
        <w:gridCol w:w="146"/>
        <w:gridCol w:w="221"/>
        <w:gridCol w:w="710"/>
        <w:gridCol w:w="146"/>
        <w:gridCol w:w="146"/>
        <w:gridCol w:w="415"/>
        <w:gridCol w:w="681"/>
        <w:gridCol w:w="691"/>
      </w:tblGrid>
      <w:tr>
        <w:trPr/>
        <w:tc>
          <w:tcPr>
            <w:tcW w:w="4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4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Quoted</w:t>
              <w:br/>
              <w:t>Prices in</w:t>
              <w:br/>
              <w:t>Active</w:t>
              <w:br/>
              <w:t xml:space="preserve">Markets </w:t>
              <w:b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br/>
              <w:t>Other</w:t>
              <w:br/>
              <w:t>Observable</w:t>
              <w:br/>
              <w:t xml:space="preserve">Inputs </w:t>
              <w:b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br/>
              <w:t>Unobservable</w:t>
              <w:br/>
              <w:t xml:space="preserve">Inputs </w:t>
              <w:br/>
              <w:t>(Level 3)</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87"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448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Money market funds invested in government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168,275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168,275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448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168,275</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168,275</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1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6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44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448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U.S. Government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448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Total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22,472</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1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22,472</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691"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cash equivalents and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190,747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168,275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448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Money market funds invested in government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448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78,930</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78,930</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1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6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4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448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U.S. Government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448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Total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51,440</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1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51,440</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691"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cash equivalents and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130,370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accrued interest receivable related to the Company’s investments was $0.8 million and $0.7 million as of March 31, 2026 and December 31, 2025, respectively, and is included in prepaid expenses and other current assets on the condensed consolidated balance sheet.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classifies its money market funds and U.S. treasury bills, which are valued based on quoted market prices in active markets with no valuation adjustment, as Level 1 assets within the fair value hierarchy.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classifies its investments in U.S. government and agency securities, corporate commercial paper, and corporate bonds, if any, as Level 2 assets within the fair value hierarchy. The fair values of these investments are estimated by taking into consideration valuations obtained from third-party pricing services.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benchmark securities, prepayment/default projections based on historical data and other observable inputs.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2026 and December 31, 2025, the unrealized losses for available-for-sale investments were non-credit related, and the Company does not intend to sell the investments that were in an unrealized loss position, nor will it be required to sell those investments before recovery of their amortized cost basis, which may be maturity. As of March 31, 2026 and December 31, 2025, no allowances for credit losses for the Company’s investments were recorded. During the three months ended March 31, 2026 and 2025, the Company did not recognize any impairment losses related to investments.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March 31, 2026 and December 31, 2025, the Company's cash equivalents and marketable securities consisted of a U.S. government money market fund, U.S. Treasury Bills and U.S. government and agency securities,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held in our name in a separate custody account with U.S. Bank. The U.S. government money market fund has same-day liquidity access and the U.S. government and agency securities all have maturities of 360 days or less.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Marketable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the Company's marketable securities as of March 31, 2026 and December 31, 2025: </w:t>
      </w:r>
    </w:p>
    <w:p>
      <w:pPr>
        <w:pStyle w:val="TextBody"/>
        <w:bidi w:val="0"/>
        <w:jc w:val="left"/>
        <w:rPr/>
      </w:pPr>
      <w:r>
        <w:rPr/>
        <w:t> </w:t>
      </w:r>
    </w:p>
    <w:tbl>
      <w:tblPr>
        <w:tblW w:w="7914" w:type="dxa"/>
        <w:jc w:val="left"/>
        <w:tblInd w:w="0" w:type="dxa"/>
        <w:tblLayout w:type="fixed"/>
        <w:tblCellMar>
          <w:top w:w="28" w:type="dxa"/>
          <w:left w:w="28" w:type="dxa"/>
          <w:bottom w:w="28" w:type="dxa"/>
          <w:right w:w="28" w:type="dxa"/>
        </w:tblCellMar>
      </w:tblPr>
      <w:tblGrid>
        <w:gridCol w:w="2711"/>
        <w:gridCol w:w="146"/>
        <w:gridCol w:w="211"/>
        <w:gridCol w:w="676"/>
        <w:gridCol w:w="146"/>
        <w:gridCol w:w="146"/>
        <w:gridCol w:w="354"/>
        <w:gridCol w:w="532"/>
        <w:gridCol w:w="146"/>
        <w:gridCol w:w="146"/>
        <w:gridCol w:w="352"/>
        <w:gridCol w:w="578"/>
        <w:gridCol w:w="146"/>
        <w:gridCol w:w="146"/>
        <w:gridCol w:w="211"/>
        <w:gridCol w:w="676"/>
        <w:gridCol w:w="591"/>
      </w:tblGrid>
      <w:tr>
        <w:trPr/>
        <w:tc>
          <w:tcPr>
            <w:tcW w:w="2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 xml:space="preserve">Unrealized </w:t>
              <w:br/>
              <w:t>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6"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Government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22,472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7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22,466</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22,472</w:t>
            </w:r>
          </w:p>
        </w:tc>
        <w:tc>
          <w:tcPr>
            <w:tcW w:w="5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27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Government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51,440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7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51,386</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51,440</w:t>
            </w:r>
          </w:p>
        </w:tc>
        <w:tc>
          <w:tcPr>
            <w:tcW w:w="5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2026 and December 31, 2025, the Company held no investments that have been in a continuous loss position for 12 months or longer.</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4.</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Prepaid Expenses and Other Current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Prepaid expenses and other current assets consisted of the following: </w:t>
      </w:r>
    </w:p>
    <w:p>
      <w:pPr>
        <w:pStyle w:val="TextBody"/>
        <w:bidi w:val="0"/>
        <w:jc w:val="left"/>
        <w:rPr/>
      </w:pPr>
      <w:r>
        <w:rPr/>
        <w:t> </w:t>
      </w:r>
    </w:p>
    <w:tbl>
      <w:tblPr>
        <w:tblW w:w="6255" w:type="dxa"/>
        <w:jc w:val="left"/>
        <w:tblInd w:w="0" w:type="dxa"/>
        <w:tblLayout w:type="fixed"/>
        <w:tblCellMar>
          <w:top w:w="28" w:type="dxa"/>
          <w:left w:w="28" w:type="dxa"/>
          <w:bottom w:w="28" w:type="dxa"/>
          <w:right w:w="28" w:type="dxa"/>
        </w:tblCellMar>
      </w:tblPr>
      <w:tblGrid>
        <w:gridCol w:w="3676"/>
        <w:gridCol w:w="146"/>
        <w:gridCol w:w="230"/>
        <w:gridCol w:w="625"/>
        <w:gridCol w:w="146"/>
        <w:gridCol w:w="146"/>
        <w:gridCol w:w="294"/>
        <w:gridCol w:w="801"/>
        <w:gridCol w:w="191"/>
      </w:tblGrid>
      <w:tr>
        <w:trPr/>
        <w:tc>
          <w:tcPr>
            <w:tcW w:w="3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insurance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prepaid expenses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5.</w:t>
      </w:r>
    </w:p>
    <w:p>
      <w:pPr>
        <w:pStyle w:val="TextBody"/>
        <w:bidi w:val="0"/>
        <w:jc w:val="left"/>
        <w:rPr>
          <w:rFonts w:ascii="Times New Roman" w:hAnsi="Times New Roman"/>
          <w:b/>
          <w:color w:val="000000"/>
          <w:sz w:val="20"/>
        </w:rPr>
      </w:pPr>
      <w:r>
        <w:rPr>
          <w:rFonts w:ascii="Times New Roman" w:hAnsi="Times New Roman"/>
          <w:b/>
          <w:color w:val="000000"/>
          <w:sz w:val="20"/>
        </w:rPr>
        <w:t>Fixed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Fixed assets, net consisted of the following:</w:t>
      </w:r>
    </w:p>
    <w:p>
      <w:pPr>
        <w:pStyle w:val="TextBody"/>
        <w:bidi w:val="0"/>
        <w:jc w:val="left"/>
        <w:rPr/>
      </w:pPr>
      <w:r>
        <w:rPr/>
        <w:t> </w:t>
      </w:r>
    </w:p>
    <w:tbl>
      <w:tblPr>
        <w:tblW w:w="6412" w:type="dxa"/>
        <w:jc w:val="left"/>
        <w:tblInd w:w="0" w:type="dxa"/>
        <w:tblLayout w:type="fixed"/>
        <w:tblCellMar>
          <w:top w:w="28" w:type="dxa"/>
          <w:left w:w="28" w:type="dxa"/>
          <w:bottom w:w="28" w:type="dxa"/>
          <w:right w:w="28" w:type="dxa"/>
        </w:tblCellMar>
      </w:tblPr>
      <w:tblGrid>
        <w:gridCol w:w="2731"/>
        <w:gridCol w:w="146"/>
        <w:gridCol w:w="916"/>
        <w:gridCol w:w="146"/>
        <w:gridCol w:w="214"/>
        <w:gridCol w:w="641"/>
        <w:gridCol w:w="166"/>
        <w:gridCol w:w="146"/>
        <w:gridCol w:w="274"/>
        <w:gridCol w:w="821"/>
        <w:gridCol w:w="211"/>
      </w:tblGrid>
      <w:tr>
        <w:trPr/>
        <w:tc>
          <w:tcPr>
            <w:tcW w:w="2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Useful Life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lease 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Depreciation expense was $0.1 million for the three months ended March 31, 2026 and 2025, respectively. In addition, for the three months ended March 31, 2026 and 2025, there was less than $0.1 million of depreciation related to sublet assets recorded as other expense.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6.</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Accrued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Accrued expenses consisted of the following: </w:t>
      </w:r>
    </w:p>
    <w:p>
      <w:pPr>
        <w:pStyle w:val="TextBody"/>
        <w:bidi w:val="0"/>
        <w:jc w:val="left"/>
        <w:rPr/>
      </w:pPr>
      <w:r>
        <w:rPr/>
        <w:t> </w:t>
      </w:r>
    </w:p>
    <w:tbl>
      <w:tblPr>
        <w:tblW w:w="6347" w:type="dxa"/>
        <w:jc w:val="left"/>
        <w:tblInd w:w="0" w:type="dxa"/>
        <w:tblLayout w:type="fixed"/>
        <w:tblCellMar>
          <w:top w:w="28" w:type="dxa"/>
          <w:left w:w="28" w:type="dxa"/>
          <w:bottom w:w="28" w:type="dxa"/>
          <w:right w:w="28" w:type="dxa"/>
        </w:tblCellMar>
      </w:tblPr>
      <w:tblGrid>
        <w:gridCol w:w="3736"/>
        <w:gridCol w:w="146"/>
        <w:gridCol w:w="211"/>
        <w:gridCol w:w="676"/>
        <w:gridCol w:w="146"/>
        <w:gridCol w:w="146"/>
        <w:gridCol w:w="260"/>
        <w:gridCol w:w="835"/>
        <w:gridCol w:w="191"/>
      </w:tblGrid>
      <w:tr>
        <w:trP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53,914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payroll and related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58,474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7.</w:t>
      </w:r>
    </w:p>
    <w:p>
      <w:pPr>
        <w:pStyle w:val="TextBody"/>
        <w:bidi w:val="0"/>
        <w:jc w:val="left"/>
        <w:rPr>
          <w:rFonts w:ascii="Times New Roman" w:hAnsi="Times New Roman"/>
          <w:b/>
          <w:color w:val="000000"/>
          <w:sz w:val="20"/>
        </w:rPr>
      </w:pPr>
      <w:r>
        <w:rPr>
          <w:rFonts w:ascii="Times New Roman" w:hAnsi="Times New Roman"/>
          <w:b/>
          <w:color w:val="000000"/>
          <w:sz w:val="20"/>
        </w:rPr>
        <w:t>Stockholders’ Equity and Stock Options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2026, the Company’s Ninth Amended and Restated Certificate of Incorporation, as amended, authorized the Company to issue up to 115,000,000 shares of common stock, par value $0.001 per share, of which 103,882,937 shares were issued and outstanding, and up to 5,000,000 shares of undesignated preferred stock, par value $0.001 per share, of which 500,000 shares were issued or outstanding. The voting, dividend and liquidation rights of the holders of the Company’s common stock are subject to and qualified by the rights, powers and preferences of the holders of the preferred stock. Each share of common stock entitles the holder to one vote on all matters submitted to a vote of the Company’s stockholders. Common stockholders are entitled to receive dividends, as may be declared by the board of directors of the Company (the “Board”), if any. No cash dividends have been declared or paid to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July 2025, the Company sold 21,562,500 shares of its common stock in an underwritten public offering at a price of $3.20 per share and received net proceeds of approximately $65.0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2026, the Company sold 23,000,000 shares of its common stock in an underwritten public offering at a price of $5.00 per share and received net proceeds of approximately $107.6 million.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ATM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2024, the Company entered into a sales agreement (the "ATM Agreement") with Guggenheim Securities, LLC in connection with the establishment of an “at-the-market” offering program under which the Company could sell up to an aggregate of $100 million of shares of common stock (the “ATM Shares”) from time to time. To date, no sales of common stock have been made under this ATM Agreement.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Preferred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2025, the Company entered into an exchange agreement (the “Exchange Agreement”) with Blue Owl Healthcare Opportunities IV Public Investments LP (the “Stockholder”) pursuant to which the Stockholder exchanged 2,500,000 shares of the Company’s common stock for 250,000 shares of newly designated Series A Convertible Preferred Stock of par value $0.001 per share ( the “Series A Preferred Stock”). In January 2026, the Stockholder exchanged an additional 2,500,000 shares of the Company’s common stock for an additional 250,000 shares of Series A Preferred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Each share of the Series A Preferred Stock will be convertible into ten shares of common stock at the option of the holder at any time, subject to certain limitations, including that the holder will be prohibited from converting preferred stock into common stock if, as a result of such conversion, the holder, together with its affiliates, would beneficially own a number of shares of common stock more than 9.99% of the total common stock then issued and outstanding immediately following the conversion of such shares of Series A Preferred Stock. Holders of the Series A Preferred Stock are permitted to increase this percentage to an amount not to exceed 19.99% upon 60 days’ notice.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Shares of Series A Preferred Stock will generally have no voting rights, except as required by law and except that the consent of a majority of the holders of the outstanding Series A Preferred Stock will be required to amend the terms of the preferred stock. In the event of the Company’s liquidation, dissolution or winding up, holders of Series A Preferred Stock will participate pari passu with any distribution of proceeds to holders of common stock, calculated on an as-converted basis. Holders of preferred stock are entitled to receive when, as, and if dividends are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declared and paid on the common stock, an equivalent dividend, calculated on an as-converted basis. Shares of Series A Preferred Stock are otherwise not entitled to dividends.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Series A Preferred Stock ranks on parity with the common stock and any class or series of capital stock of the Company created specifically ranking by its terms on parity with the preferred stock. Additionally, it ranks senior to any class or series of capital stock of the Company hereafter created specifically ranking by its terms junior to the preferred stock and junior to any class or series of capital stock of Larimar created specifically ranking by its terms senior to any preferred stock, in each case, as to distributions of assets upon liquidation, dissolution or winding up of the Company, whether voluntarily or involuntarily.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2020 Equity Incentive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Board adopted the 2020 Equity Incentive Plan (the“2020 Plan”) on July 16, 2020 and the stockholders of the Company approved the 2020 Plan on September 29, 2020. The 2020 Plan replaced the predecessor plans (the (“Prior Plans”) that the Company assumed following its merger with Zafgen in May 2020. Options outstanding under the Prior Plans will remain outstanding, unchanged, and subject to the terms of the Prior Plans and the respective award agreements, and no further awards will be made under the Prior Plans. However, if any award previously granted under the Prior Plans, expires, terminates, is canceled, or is forfeited for any reason after the approval of the 2020 Plan, the shares subject to that award will be added to the 2020 Plan share pool so that they can be utilized for new grants under the 2020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2020 Plan provides for the grant of incentive stock options (“ISOs”), nonstatutory stock options (“NSOs”), stock appreciation rights, restricted stock awards, restricted stock unit awards, performance-based restricted stock units, and cash or other stock-based awards. ISOs may be granted only to the Company’s employees, including the Company’s officers, and the employees of the Company’s affiliates. All other awards may be granted to the Company’s employees, including the Company’s officers, the Company’s non-employee directors and consultants, and the employees and consultants of the Company’s affiliates.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maximum number of shares that may be issued in respect of any awards under the 2020 Plan is the sum of: (i) 1,700,000 shares plus (ii) an annual increase on January 1, 2021 and each anniversary of such date thereafter through January 1, 2030, equal to the lesser of (A) 4% of the shares issued and outstanding on the last day of the immediately preceding fiscal year, or (B) such smaller number of shares as determined by the Board (collectively, the “Plan Limit”). The maximum aggregate number of shares that may be issued under the 2020 Plan is 8,000,000 over the ten-year term of the 2020 Plan.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permitted by the 2020 Plan, the Company added 3,323,616 and 2,552,603 shares available for grant to the 2020 Plan on January 1, 2026 and January 1, 2025, respectively. As of March 31, 2026, 1,326,303 shares of common stock were available for grant under the 2020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three months ended March 31, 2026 and twelve months ended December 31, 2025, options to purchase 416 and 1,333 shares, respectively, issued under the Prior Plans were cancelled and became available for grant under the 2020 Plan.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Stock Option Valuation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presents, on a weighted average basis, the assumptions used in the Black-Scholes option-pricing model to determine the grant-date fair value of stock options granted to employees during the three months ended March 31, 2026:</w:t>
      </w:r>
    </w:p>
    <w:p>
      <w:pPr>
        <w:pStyle w:val="TextBody"/>
        <w:bidi w:val="0"/>
        <w:jc w:val="left"/>
        <w:rPr/>
      </w:pPr>
      <w:r>
        <w:rPr/>
        <w:t> </w:t>
      </w:r>
    </w:p>
    <w:tbl>
      <w:tblPr>
        <w:tblW w:w="3133" w:type="dxa"/>
        <w:jc w:val="left"/>
        <w:tblInd w:w="0" w:type="dxa"/>
        <w:tblLayout w:type="fixed"/>
        <w:tblCellMar>
          <w:top w:w="28" w:type="dxa"/>
          <w:left w:w="28" w:type="dxa"/>
          <w:bottom w:w="28" w:type="dxa"/>
          <w:right w:w="28" w:type="dxa"/>
        </w:tblCellMar>
      </w:tblPr>
      <w:tblGrid>
        <w:gridCol w:w="2086"/>
        <w:gridCol w:w="146"/>
        <w:gridCol w:w="901"/>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3.95%</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6.25</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97%</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Stock Options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Company’s stock option activity for the three months ended March 31, 2026 (amounts in millions, except for share, contractual term, and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184"/>
        <w:gridCol w:w="146"/>
        <w:gridCol w:w="146"/>
        <w:gridCol w:w="1036"/>
        <w:gridCol w:w="166"/>
        <w:gridCol w:w="146"/>
        <w:gridCol w:w="248"/>
        <w:gridCol w:w="548"/>
        <w:gridCol w:w="146"/>
        <w:gridCol w:w="146"/>
        <w:gridCol w:w="418"/>
        <w:gridCol w:w="1032"/>
        <w:gridCol w:w="146"/>
        <w:gridCol w:w="146"/>
        <w:gridCol w:w="353"/>
        <w:gridCol w:w="605"/>
        <w:gridCol w:w="593"/>
      </w:tblGrid>
      <w:tr>
        <w:trPr/>
        <w:tc>
          <w:tcPr>
            <w:tcW w:w="41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4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Remaining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Intrinsic</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Exercise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Contractual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 (a)</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Term (in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Outstanding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8,535,772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18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Options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2,146,290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18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Options 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18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Options forfeited/expired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Outstanding as of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10,577,601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Exercisable as of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5,416,292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Vested and expected to vest as of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10,577,601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jc w:val="left"/>
        <w:rPr>
          <w:rFonts w:ascii="Times New Roman" w:hAnsi="Times New Roman"/>
          <w:color w:val="000000"/>
          <w:sz w:val="20"/>
        </w:rPr>
      </w:pPr>
      <w:r>
        <w:rPr>
          <w:rFonts w:ascii="Times New Roman" w:hAnsi="Times New Roman"/>
          <w:color w:val="000000"/>
          <w:sz w:val="20"/>
        </w:rPr>
        <w:t>The aggregate intrinsic value is calculated as the difference between the exercise price of the underlying options and the fair value of the common stock for the options that were (“In the money”) as of March 31, 2026.</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Option Grants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March 31, 2026, the Company granted options to purchase 2,146,290 shares of common stock to employees and directors under the 2020 Plan. The options have an exercise price equal to the closing stock price as of the grant date and vest over four years, with 25% vesting on the first anniversary of the grant and the remainder vesting in equal monthly installments thereafter. The weighted-average grant date fair value of options granted under the 2020 Plan during the three months ended March 31, 2026 was $2.89.</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2026, total unrecognized compensation expense related to unvested stock options granted under the 2020 Plan was $15.0 million, which is expected to be recognized over a weighted average period of 2.58 years.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Inducement Stock Option Grant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inducement awards granted in the three months ended March 31,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2026, total unrecognized compensation expense related to unvested inducement options granted was $0.3 million, which is expected to be recognized over a weighted average period of 1.06 years.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Restricted Stock Units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RSUs are granted under the 2020 Plan to certain of the Company's employees in order to retain key employees. The value of an RSU award is based on the Company's stock price on the date of grant. The shares underlying the RSUs are not issued until the RSUs vest.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Activity with respect to the Company's RSUs and performance-based RSUs during the three months ended March 31, 2026 was as follows (in millions, except share, contractual term, and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189"/>
        <w:gridCol w:w="146"/>
        <w:gridCol w:w="146"/>
        <w:gridCol w:w="931"/>
        <w:gridCol w:w="166"/>
        <w:gridCol w:w="146"/>
        <w:gridCol w:w="290"/>
        <w:gridCol w:w="643"/>
        <w:gridCol w:w="146"/>
        <w:gridCol w:w="146"/>
        <w:gridCol w:w="418"/>
        <w:gridCol w:w="1001"/>
        <w:gridCol w:w="146"/>
        <w:gridCol w:w="146"/>
        <w:gridCol w:w="351"/>
        <w:gridCol w:w="601"/>
        <w:gridCol w:w="593"/>
      </w:tblGrid>
      <w:tr>
        <w:trPr/>
        <w:tc>
          <w:tcPr>
            <w:tcW w:w="41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4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Remaining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Intrinsic</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Grant Date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Contractual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 (a)</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Term (in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Outstanding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1,000,518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18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Restricted stock units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527,190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18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Restricted stock units 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(288,545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18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Restricted stock units 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Outstanding as of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1,229,259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Unvested and expected to vest as of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1,229,259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Restricted Stock Unit Grants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three months ended March 31, 2026, the Company granted 527,190 shares of RSUs to employees under the 2020 Plan. The RSUs vest annually over four years and have a weighted-average grant date fair value of $3.60 per unit.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2026, total unrecognized compensation expense for RSUs was $3.6 million, which is expected to be recognized over a weighted average period of 2.86 years.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Performance-Based Restricted Stock Unit Grants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January 2025, the Company granted performance-based RSUs (the “January 2025 PSU Awards”) to each of the four executive officers of the Company under the 2020 Plan. Each award was expressed as a target number of RSUs. With respect to the January 2025 PSU Awards, the Board established specified regulatory-related performance criteria and a corresponding performance period over which such performance criteria must be achieved, the satisfaction of which are conditions to earning the January 2025 PSU Awards and vesting of the underlying RSUs. As of March 31, 2026, the January 2025 PSU Awards were outstanding covering 200,000 common stock underlying RSUs.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grant date fair value of the performance-based RSUs was $3.46 per unit based on the grant date closing price per share. As of March 31, 2026, the underlying performance criteria of the January 2025 PSU Awards were determined to be not probable of achievement for accounting purposes, and no stock-based compensation expense was recognized for the three months ended March 31, 2026 and 2025.</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Stock-Based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Stock-based compensation expense was classified in the condensed consolidated statements of operations as follows:</w:t>
      </w:r>
    </w:p>
    <w:p>
      <w:pPr>
        <w:pStyle w:val="TextBody"/>
        <w:bidi w:val="0"/>
        <w:jc w:val="left"/>
        <w:rPr/>
      </w:pPr>
      <w:r>
        <w:rPr/>
        <w:t> </w:t>
      </w:r>
    </w:p>
    <w:tbl>
      <w:tblPr>
        <w:tblW w:w="5044" w:type="dxa"/>
        <w:jc w:val="left"/>
        <w:tblInd w:w="0" w:type="dxa"/>
        <w:tblLayout w:type="fixed"/>
        <w:tblCellMar>
          <w:top w:w="28" w:type="dxa"/>
          <w:left w:w="28" w:type="dxa"/>
          <w:bottom w:w="28" w:type="dxa"/>
          <w:right w:w="28" w:type="dxa"/>
        </w:tblCellMar>
      </w:tblPr>
      <w:tblGrid>
        <w:gridCol w:w="2311"/>
        <w:gridCol w:w="146"/>
        <w:gridCol w:w="272"/>
        <w:gridCol w:w="738"/>
        <w:gridCol w:w="188"/>
        <w:gridCol w:w="188"/>
        <w:gridCol w:w="272"/>
        <w:gridCol w:w="738"/>
        <w:gridCol w:w="1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1,979</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8.</w:t>
      </w:r>
    </w:p>
    <w:p>
      <w:pPr>
        <w:pStyle w:val="TextBody"/>
        <w:bidi w:val="0"/>
        <w:jc w:val="left"/>
        <w:rPr>
          <w:rFonts w:ascii="Times New Roman" w:hAnsi="Times New Roman"/>
          <w:b/>
          <w:color w:val="000000"/>
          <w:sz w:val="20"/>
        </w:rPr>
      </w:pPr>
      <w:r>
        <w:rPr>
          <w:rFonts w:ascii="Times New Roman" w:hAnsi="Times New Roman"/>
          <w:b/>
          <w:color w:val="000000"/>
          <w:sz w:val="20"/>
        </w:rPr>
        <w:t>Commitments and Contingencies</w:t>
      </w:r>
    </w:p>
    <w:p>
      <w:pPr>
        <w:pStyle w:val="TextBody"/>
        <w:bidi w:val="0"/>
        <w:spacing w:before="120" w:after="283"/>
        <w:jc w:val="left"/>
        <w:rPr>
          <w:rFonts w:ascii="Times New Roman" w:hAnsi="Times New Roman"/>
          <w:sz w:val="20"/>
        </w:rPr>
      </w:pPr>
      <w:r>
        <w:rPr>
          <w:rFonts w:ascii="Times New Roman" w:hAnsi="Times New Roman"/>
          <w:b/>
          <w:i/>
          <w:color w:val="000000"/>
          <w:sz w:val="20"/>
        </w:rPr>
        <w:t>Intellectual Property Licenses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is party to an exclusive License Agreement (the "IU License"), dated November 30, 2016, as amended, with Indiana University (“IU”). Such agreement provides for a transferable, worldwide license to certain patent rights regarding technology used by the Company with respect to the development of nomlabofusp.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partial consideration for the right and license granted under the agreement, the Company will pay IU a royalty of a low single digit percentage of net sales of licensed products depending on whether there is a valid patent covering such products. As additional consideration for these agreements, the Company is obligated to pay IU certain milestone payments of up to $2.0 million in the aggregate upon the achievement of certain developmental milestones, which commenced with the enrollment of the first patient in a Phase 1 clinical trial. The Company enrolled the first patient in its SAD trial on December 11, 2019 and paid IU less than $0.1 million. The Company will also pay IU sublicensing fees ranging from a high-single digit to a low double-digit percentage of sublicense consideration depending on the Company’s achievement of certain regulatory milestones as of the time of receipt of the sublicense consideration. The Company is also obligated to reimburse IU for patent-related expenses. In the event that the Company disputes the validity of any of the licensed patents, the royalty rate would be tripled during such dispute. The Company is also obligated to pay to IU a minimum annual royalty of less than $0.1 million per annum.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October 2022, the Company initiated dosing of a Phase 2 study. Pursuant to the terms of the IU License, the company recognized milestone expense of $0.1 million within research and development expenses.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agreement continues from its effective date through the last to date of expiration of the licensed patent, unless earlier terminated by either party in accordance with the terms of the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were previously a party to the License Agreement dated November 30, 2016, with Wake Forest University Health Sciences (“WFUHS”), which licensed certain patent rights regarding technology used by us with respect to the development of nomlabofusp in consideration for an obligation to pay WFUHS a royalty of a low single digit percentage of net sales of licensed products, certain milestones, and certain sublicensing revenue. The WFUHS license expired in December 2025 with the last to expire licensed patent.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Leases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Bala Cynwyd Office Space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August 8, 2019, the Company entered into an operating lease for 4,642 square footage of office space in Bala Cynwyd, Pennsylvania, effective as of December 15, 2019, for a period of three years and six months with an option to extend the lease for three additional years. Due to required tenant improvements to be completed by the landlord, the Company did not take immediate possession of the leased property and the lease term commenced on February 15, 2020.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9, 2023, the Company executed a lease extension agreement on its original 4,642 square footage of office space in Bala Cynwyd, Pennsylvania (which was set to expire in August 2023) and agreed to lease an additional 3,462 square feet of office space from the same landlord.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lease extension on the original 4,642 square footage commenced on September 1, 2023 and the Company recorded a right of use asset and lease liability of $0.5 million as of that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new lease on 3,462 additional square footage commenced on October 1, 2023 and the Company recorded a right of use asset and lease liability of $0.3 million as of that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November 24, 2025, the Company executed the second amendment to the lease on the current 8,104 square footage of office space in Bala Cynwyd, Pennsylvania which was set to expire in August 2026 that extended the lease term on the then current 8,104 square footage through January 31, 2030 and agreed to lease an additional 7,107 square feet of space from the same landlord. As of March 31, 2026, the property had not been made available for use due to the tenant improvement work being performed by the landlord. Consequently, the Company determined that the lease has not yet commenced for accounting purposes. No right of use asset or lease liability will be recorded until the lease commencement date which shall occur in Q2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right of use assets and lease liabilities with both these leases are reflected in the financial statements for three months ended March 31, 2026 as are the right of use asset and lease liability of the Company's Boston office space discussed below.</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Boston Office Lease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connection with the Company's 2020 merger with Zafgen, on May 28, 2020, the Company acquired a non-cancellable operating lease for approximately 17,705 square feet of office space (the “Premises”). The lease expires on October 30, 2029. As part of the agreement, the Company was initially required to maintain a letter of credit, of $1.3 million. In October of 2024, upon the agreement with the landlord that we had achieved certain clinical development milestones required in the lease, this letter of credit was reduced to $0.6 million. During both periods presented, this cash deposit is classified as restricted cash within the condensed consolidated financial statements. In addition to the base rent, the Company is also responsible for its share of operating expenses, electricity and real estate taxes, which costs are not included in the determination of the leases’ right-of-use assets or lease liabilities. The right-of-use asset is being amortized to other income/(expense) over the remaining lease term as a result of the sublease described below.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October 27, 2020, the Company entered into a sublease agreement (the “Sublease”) with Massachusetts Municipal Association, Inc. (the “Subtenant”), whereby the Company sublet the entire Premises to the Subtenant. The initial term of the Sublease commenced on December 4, 2020 and continues until October 30, 2029. In connection with the Sublease, the Company evaluated the need for impairment under ASC 360 (“Impairment Testing: Long-Lived Assets Classified as Held and Used”) and determined there was no impairment.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Sublease provided for an initial annual base rent of $0.8 million, which increases annually up to a maximum annual base rent of $1.0 million. The Subtenant also is responsible for paying to the Company future increases in operating costs (commencing on January 1, 2022), future increases in annual tax costs (commencing July 1, 2021) and all utility costs (commencing March 1, 2021) attributable to the Premises during the term of the Sublease. As part of the Sublease, the subtenant deposited a letter of credit in the amount of $0.8 million to assure their performance under the sublease. If there are no uncured events of default under the sublease, the amount of this security deposit decreases over time to $0.4 million on the sixth anniversary of the Sublease. The Company records sublease income on this sublease on a straight-line basis as a component of other income/(expense).</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Lab Space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October 16, 2023, the Company entered into an operating lease for lab space in King of Prussia, Pennsylvania for a period of four years. Due to required tenant improvements to be completed by the landlord, the Company did not take immediate possession of the leased property. The actual lease term commenced on May 10, 2024. Upon commencement of the lease term, the Company recorded a right of use asset and lease liability of $0.5 million which are reflected in these condensed consolidated financial statements.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Lease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Expense arising from operating leases was $0.1 million during the three months ended March 31, 2026 and 2025, respectively. For operating leases, the weighted-average remaining lease term for leases as of March 31, 2026 and December 31, 2025 was 3.4 and 3.6 years, respectively. For operating leases, the weighted average discount rate for leases as of March 31, 2026 and December 31, 2025 was 11.0%. The Company has not entered into any financing leases.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Maturities of lease liabilities due under these lease agreements as of March 31, 2026 are as follows: </w:t>
      </w:r>
    </w:p>
    <w:p>
      <w:pPr>
        <w:pStyle w:val="TextBody"/>
        <w:bidi w:val="0"/>
        <w:jc w:val="left"/>
        <w:rPr/>
      </w:pPr>
      <w:r>
        <w:rPr/>
        <w:t> </w:t>
      </w:r>
    </w:p>
    <w:tbl>
      <w:tblPr>
        <w:tblW w:w="4804" w:type="dxa"/>
        <w:jc w:val="left"/>
        <w:tblInd w:w="0" w:type="dxa"/>
        <w:tblLayout w:type="fixed"/>
        <w:tblCellMar>
          <w:top w:w="28" w:type="dxa"/>
          <w:left w:w="28" w:type="dxa"/>
          <w:bottom w:w="28" w:type="dxa"/>
          <w:right w:w="28" w:type="dxa"/>
        </w:tblCellMar>
      </w:tblPr>
      <w:tblGrid>
        <w:gridCol w:w="3391"/>
        <w:gridCol w:w="146"/>
        <w:gridCol w:w="230"/>
        <w:gridCol w:w="626"/>
        <w:gridCol w:w="411"/>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3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Leases</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Nine months ending December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Year ended December 31, 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Year ended December 31, 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Year ended December 31, 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lease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Present value of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3,779</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Legal Proceedings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not currently a party to any litigation, nor is management aware of any pending or threatened litigation against the Company, that it believes would materially affect the Company's business, operating results, financial condition or cash flows.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9.</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Net Loss Per Share Giving Effect to Conversion of Common Stock to Series A Preferred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sets forth the computation of basic and diluted net loss per share for the three months ended March 31, 2026 (in thousands, except share and per share amounts). For purposes of earnings per share, the Series A Preferred Stock have the same characteristics as common stock and have no liquidation or other material preferential rights over common stock and accordingly, have been considered as a second class of common stock in the computation of net loss per share regardless of their legal form. Losses are allocated between the common shares and the Series A Preferred Stock on a pro rata basis as they share equally in losses and residual net assets on an as-converted basis. </w:t>
      </w:r>
    </w:p>
    <w:p>
      <w:pPr>
        <w:pStyle w:val="TextBody"/>
        <w:bidi w:val="0"/>
        <w:spacing w:before="40" w:after="283"/>
        <w:jc w:val="left"/>
        <w:rPr/>
      </w:pPr>
      <w:r>
        <w:rPr/>
        <w:t> </w:t>
      </w:r>
    </w:p>
    <w:tbl>
      <w:tblPr>
        <w:tblW w:w="7920" w:type="dxa"/>
        <w:jc w:val="left"/>
        <w:tblInd w:w="0" w:type="dxa"/>
        <w:tblLayout w:type="fixed"/>
        <w:tblCellMar>
          <w:top w:w="28" w:type="dxa"/>
          <w:left w:w="28" w:type="dxa"/>
          <w:bottom w:w="28" w:type="dxa"/>
          <w:right w:w="28" w:type="dxa"/>
        </w:tblCellMar>
      </w:tblPr>
      <w:tblGrid>
        <w:gridCol w:w="6316"/>
        <w:gridCol w:w="146"/>
        <w:gridCol w:w="211"/>
        <w:gridCol w:w="1036"/>
        <w:gridCol w:w="211"/>
      </w:tblGrid>
      <w:tr>
        <w:trPr/>
        <w:tc>
          <w:tcPr>
            <w:tcW w:w="6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(29,613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Allocation of net loss to common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Allocation of net loss to Series A Preferred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of common stock outstanding,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89,814,820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of Series A Preferred outstanding,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441,667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of common stock,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of Series A Preferred,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weighted average number of Series A Preferred Stock reflects only the period of time that this class of securities has been newly designated and issued.</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Company excluded the options below to purchase common stock, unreleased restricted stock units, and performance-based restricted stock units outstanding as of March 31, 2026 and 2025, respectively, from the computation of diluted net loss per share for the three months ended March 31, 2026 and 2025, respectively, because they had an anti-dilutive impact due to the net loss incurred for the periods. Additionally, the as-converted preferred shares have been excluded from diluted earnings per share as the effect would not be dilutive.</w:t>
      </w:r>
    </w:p>
    <w:tbl>
      <w:tblPr>
        <w:tblW w:w="7374" w:type="dxa"/>
        <w:jc w:val="left"/>
        <w:tblInd w:w="0" w:type="dxa"/>
        <w:tblLayout w:type="fixed"/>
        <w:tblCellMar>
          <w:top w:w="28" w:type="dxa"/>
          <w:left w:w="28" w:type="dxa"/>
          <w:bottom w:w="28" w:type="dxa"/>
          <w:right w:w="28" w:type="dxa"/>
        </w:tblCellMar>
      </w:tblPr>
      <w:tblGrid>
        <w:gridCol w:w="4486"/>
        <w:gridCol w:w="146"/>
        <w:gridCol w:w="146"/>
        <w:gridCol w:w="1036"/>
        <w:gridCol w:w="146"/>
        <w:gridCol w:w="146"/>
        <w:gridCol w:w="146"/>
        <w:gridCol w:w="931"/>
        <w:gridCol w:w="191"/>
      </w:tblGrid>
      <w:tr>
        <w:trPr/>
        <w:tc>
          <w:tcPr>
            <w:tcW w:w="4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10,577,601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8,541,489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restricted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1,229,259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1,023,061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performance-based restricted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12,006,860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9,764,550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bookmarkStart w:id="9" w:name="item_2_managements_discussion_analysis_f"/>
      <w:bookmarkEnd w:id="9"/>
      <w:r>
        <w:rPr>
          <w:rFonts w:ascii="Times New Roman" w:hAnsi="Times New Roman"/>
          <w:b/>
          <w:color w:val="000000"/>
          <w:sz w:val="20"/>
        </w:rPr>
        <w:t>Item 2. Management’s Discussion and Analysis of 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The following discussion and analysis of our financial condition and results of operations should be read in conjunction with our condensed consolidated financial statements and related notes appearing elsewhere in this Quarterly Report on Form 10-Q (“Quarterly Report”), and the audited consolidated financial statements and notes thereto and management’s discussion and analysis of financial condition and results of operations for the year ended December 31, 2025 included in our Annual Report on Form 10-K filed with the Securities and Exchange Commission (“SEC”) on March 19, 2026 (the </w:t>
      </w:r>
      <w:r>
        <w:rPr>
          <w:rFonts w:ascii="Times New Roman" w:hAnsi="Times New Roman"/>
          <w:color w:val="000000"/>
          <w:sz w:val="20"/>
        </w:rPr>
        <w:t>“2025 Annual Report”)</w:t>
      </w:r>
      <w:r>
        <w:rPr>
          <w:rFonts w:ascii="Times New Roman" w:hAnsi="Times New Roman"/>
          <w:i/>
          <w:color w:val="000000"/>
          <w:sz w:val="20"/>
        </w:rPr>
        <w:t>. Some of the information contained in this discussion and analysis or set forth elsewhere in this Quarterly Report, including information with respect to our plans and strategy for our business, includes forward-looking statements that involve risks, uncertainties, and assumptions. These statements are based on our beliefs and expectations about future outcomes and are subject to risks and uncertainties that could cause our actual results to differ materially from anticipated results. We undertake no obligation to publicly update these forward-looking statements, whether as a result of new information, future events or otherwise. You should read the “Risk Factors” section included in our 2025 Annual Report, in addition to the“Cautionary Note Regarding Forward-Looking Statements” sections of this Quarterly Report for a discussion of important factors that could cause actual results to differ materially from the results described in or implied by the forward-looking statements contained in the following discussion and analysis.</w:t>
      </w:r>
    </w:p>
    <w:p>
      <w:pPr>
        <w:pStyle w:val="TextBody"/>
        <w:bidi w:val="0"/>
        <w:spacing w:before="12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 clinical-stage biotechnology company focused on developing treatments for patients suffering from complex rare diseases using our novel cell penetrating peptide (“CPP”) technology platform. Our lead product candidate, nomlabofusp, is a subcutaneously administered, recombinant fusion protein intended to deliver frataxin (“FXN”), an essential protein, to the mitochondria of patients with Friedreich's ataxia (“FA”). FA is a rare, progressive, and fatal disease in which patients are unable to produce sufficient FXN due to a genetic abnormality. Currently, there are no treatment options that address the core deficit of FA, low levels of FXN. Nomlabofusp represents the first potential therapy designed to systemically increase FXN levels in patients with FA.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that our CPP platform, which enables a therapeutic molecule to cross a cell membrane in order to reach intracellular targets, also has the potential to enable the treatment of other rare and orphan diseases. We intend to use our proprietary platform to target additional orphan indications characterized by deficiencies in or alterations of intracellular content or activity.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our inception, we have devoted substantially all of our resources to developing nomlabofusp, building our intellectual property portfolio, developing third-party manufacturing capabilities, business planning, raising capital, developing sales and marketing capacities, and providing general and administrative support for such operations.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Nomlabofusp Program Update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Orphan Drug Designation, Fast Track Designation, Pediatric Rare Disease Designation and Breakthrough Therapy Designation from the FDA and have been granted orphan drug designation and access to the European Medicines Agency’s (“EMA’s”) Priority Medicines Program (“PRIME”) scheme in the European Union (the “EU”). We have also received access in the United Kingdom (the “UK”) to the Medicines and Healthcare Regulatory Agency’s (“MHRA”) Innovative Licensing and Access Pathway (“ILAP”). These programs are designed to facilitate development of certain therapeutics such as those for rare and serious diseases, and those that have the potential to meet an unmet medical need.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FDA’s Center for Drug Evaluation and Research selected nomlabofusp as one of a few drug development programs for participation in the Support for Clinical Trials Advancing Rare Disease Therapeutics (“START”) Pilot Program. The objective of the program is to accelerate the development of drugs for rare diseases that lead to significant disability or death by facilitating frequent advice and regular communication with the FDA staff to expedite the review process of biologics and drugs.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engaged in multiple discussions and interactions with the FDA in connection with our clinical development of nomlabofusp and communications remain ongoing. We have also had numerous interactions with the EMA, the MHRA, and Canada’s Health Canada regarding the clinical development of nomlabofusp.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completed four clinical studies: (i) two Phase 1 clinical studies in adults, (ii) a Phase 2 dose exploration study in adults and (iii) a Phase 1 pharmacokinetic (“PK”) run-in study in adolescents (12-17 years old). We currently have an ongoing open label (“OL”) study (previously referred to as the Open Label Extension, (“OLE”) study) in adults and adolescents with FA.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Recent significant developments are as follows: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2026, the FDA granted Breakthrough Therapy Designation (“BTD”) ”) to nomlabofusp for the treatment of adults and children with FA. The designation was based on the FDA’s review of available clinical data from our ongoing OL study evaluating nomlabofusp in adult and pediatric patients with FA. BTD is intended to expedite the development and regulatory review of a drug intended to treat a serious condition. A drug is eligible for BTD if preliminary clinical evidence indicates that the drug may demonstrate substantial improvement over available treatments in one or more clinically significant endpoints.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in February 2026, as a result of a START pilot program meeting with the FDA, we announced continued alignment with the FDA to consider the use of skin FXN as a novel surrogate endpoint reasonably likely to predict clinical benefit to support a planned Biologics License Application (“BLA”) submission seeking accelerated approval and that the use of FXN as a novel surrogate endpoint to support accelerated approval. There was also agreement on the type of analyses required to support the exposure response relationships for the nomlabofusp program. The FDA also stated that the adequacy of the safety database will be a matter of review at the time of BLA submission.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scheduled a Type B meeting with the FDA later in the second quarter of 2026. We plan to provide topline study data from our OL study in the second quarter of 2026 and we plan to initiate a rolling BLA seeking accelerated approval with the submission of nonclinical and clinical modules in June 2026. We are continuing to focus on the completeness of our chemistry, manufacturing and controls ("CMC") module, and plan to submit the final modules, including the CMC module, in the second half of 2026. If approved, we are targeting a U.S. launch in the first half of 2027.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our global confirmatory Phase 3 study, we are planning sites in the U.S., E.U., U.K., Canada and Australia. We have obtained feedback from both the FDA and the EMA on the study protocol. We plan to initiate dosing of the first patient in mid-2026.</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Financing Activities, including Recent Material Financings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funded our operations to date primarily with proceeds from sales of common stock, proceeds from the sale of prefunded warrants for the purchase of common stock, the acquisition in 2020 of cash, cash equivalents, marketable securities, and restricted cash upon the merger with Zafgen, Inc. (“Zafgen”) and, prior to the 2020 merger with Zafgen, capital contributions from Chondrial Holdings, LLC.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2024, we entered into a Sales Agreement (“2024 ATM Agreement”) with Guggenheim Securities, LLC in connection with the establishment of an “at-the-market” offering program providing for the sale of up to an aggregate of $100 million of shares of our common stock from time to time. To date, we have made no sales under the 2024 ATM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July 2025, we completed an underwritten public offering in which we issued and sold 21,562,500 shares of our common stock, including the exercise in full of the underwriters' option to purchase additional shares, at a public offering price of $3.20 per share. We received net proceeds of approximately $65.0 million, after deducting underwriting discounts, commissions and other offering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February 2026, we completed an underwritten public offering in which we issued and sold 23,000,000 shares of our common stock, including the exercise in full of the underwriters' option to purchase additional shares, at a public offering price of $5.00 per share. We received net proceeds of approximately $107.6 million, after deducting underwriting discounts, commissions, and other offering expenses.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Critical Accounting Policies and Significant Judgments and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condensed, consolidated financial statements are prepared in accordance with Generally Accepted Accounting Principles (“GAAP”). The preparation of our consolidated financial statements and related disclosures requires us to make estimates and assumptions that affect the reported amount of assets, liabilities, costs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expenses, and related disclosures. We believe that the estimates and assumptions involved in the accounting policies described below may have the greatest potential impact on our consolidated financial statements and, therefore, consider these to be our critical accounting policies. We evaluate these estimates and assumptions on an ongoing basis. Our actual results may differ from these estimates under different assumptions and conditions.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Research and Development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for certain research and development activities, such as manufacturing, non-clinical studies, and clinical trials are generally recognized based on the evaluation of the progress of completion of specific tasks using information and data provided by our vendors and collaborators, and accordingly, are considered an area of significant judgment and management’s review of manufacturing, non-clinical, and clinical expenses. This process involves reviewing open contracts and purchase orders, communicating with our personnel, and outside vendors to identify services that have been performed on our behalf and estimating the level of service performed and the associated costs incurred for the services when we have not yet been invoiced or otherwise notified of the actual costs. We work with vendors and suppliers to ensure that our estimates of our research and development expenses are reasonable. We expect to increase our investment in research and development in order to advance nomlabofusp through additional clinical trials. As a result, we expect that our research and development expenses will continue to increase in the foreseeable future as we pursue clinical development of nomlabofusp, including manufacturing activities, and/or any other product candidates we develop.</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Stock Compensation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measure all stock-based awards granted to employees and directors based on the fair value on the date of grant using the Black-Scholes option-pricing model. The Black-Scholes option-pricing model requires the use of highly subjective assumptions which determine the fair value of stock-based awards. The assumptions used in our option-pricing model represent management’s best estimates. These estimates are complex, involve a number of variables, uncertainties, and assumptions and the application of management’s judgment, and thus are inherently subjective. If factors change and different assumptions are used, our stock-based compensation expense could be materially different in the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Prior to May 28, 2020, we were a private company and lacked company-specific historical and implied volatility information for our common stock. Prior to January 1, 2023, we estimated our expected common stock price volatility solely based on the historical volatility of publicly traded peer companies with comparable characteristics including enterprise value, risk profiles, and position within the industry. Beginning on January 1, 2023, we began blending our historical data starting in June 2020 (following our merger with Zafgen in 2020) with its historical peer group. We regularly evaluate our peer group to assess changes in circumstances where identified companies may no longer be similar to us, in which case, more suitable companies whose share prices are publicly available would be utilized in the calculation. We expect to continue to do so until we have full historical data regarding the volatility of our own traded stock price.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expected term of our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The expected dividend yield considers the fact that we have never paid cash dividends on common stock and do not expect to pay any cash dividends in the foreseeable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Compensation expense of those awards is recognized over the requisite service period, which is generally the vesting period of the respective award. Typically, we issue awards with only service-based vesting conditions and record the expense for these awards using the straight-line method. We account for forfeitures as they occur.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January 2025, our Board of Directors (“Board”) approved the issuance of an aggregate of 200,000 performance-based restricted stock units (“RSUs”) to certain of our executive officers (the “January 2025 PSU Awards”). The Board established specified performance criteria and a corresponding performance period over which such performance criteria must be achieved, the satisfaction of which are conditions to earning the January 2025 PSU Awards, and vesting of the underlying RSUs. As of March 31, 2026, the underlying performance criteria of the January 2025 PSU Awards were determined to be not probable of achievement for accounting purposes and no stock-based compensation expense was recognized for the three months ended March 31,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classify stock-based compensation expense in our consolidated statements of operations and comprehensive loss in the same manner in which the award recipient’s payroll costs are classified or in which the award recipient’s service payments are classified.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Financial Operations Overview</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date, we have not generated any revenue from product sales and do not expect to generate any revenue from the sale of products in the foreseeable future. If our development efforts result in clinical success and regulatory approval or collaboration agreements with third parties for our product candidates, we may generate revenue from those product candidates or collaborations.</w:t>
      </w:r>
    </w:p>
    <w:p>
      <w:pPr>
        <w:pStyle w:val="TextBody"/>
        <w:bidi w:val="0"/>
        <w:spacing w:before="120" w:after="283"/>
        <w:jc w:val="left"/>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majority of our operating expenses since inception have consisted primarily of research and development activities, and general and administrative costs.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which consist primarily of costs associated with our product research and development efforts, are expensed as incurred. Research and development expenses consist primarily of: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third-party contract costs relating to research, formulation, manufacturing, non-clinical studies and clinical trial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employee related costs, including salaries, benefits and stock-based compensation expenses for employees engaged in scientific research and development functions;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external costs of outside consultants and vendors;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payments made under our third-party licensing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laboratory consumables;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allocated facility-related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this time, we cannot reasonably estimate or know the nature, timing and estimated costs of the efforts that will be necessary to complete the clinical and commercial development of nomlabofusp, or any other product candidates we develop. We are also unable to predict when, if ever, material net cash inflows will commence from sales of our product candidates. The duration, costs, and timing of clinical trials and development of nomlabofusp or any other product candidates we develop will depend on a variety of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rate of progress and expense of clinical trials and other research and development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trial results;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uncertainties in clinical trial enrollment rate or design;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significant and changing government regulation;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and receipt of any regulatory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influence of the FDA or other regulatory authorities on our clinical trial design and timing;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establishing manufacturing capabilities or making arrangements with third-party manufacturers and risk involved with development of manufacturing processes, FDA pre-approval inspection practices and successful completion of manufacturing batches for clinical development and other regulatory purposes;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obtain and maintain patent and trade secret protection and regulatory exclusivity for our product candidates;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recruit and retain key research and development personnel.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change in the outcome of one or more of these variables with respect to the development of a product candidate could significantly change the costs, timing, and viability associated with the development of that product candidate. For example, if the FDA or another regulatory authority were to require us to conduct additional non-clinical or clinical trials beyond those that we currently anticipate will be required for the completion of clinical development of a product candidate, or if we experience significant delays in enrollment in any of our clinical trials, we could be required to expend significant additional financial resources and time on the completion of clinical development.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120" w:after="120"/>
        <w:jc w:val="left"/>
        <w:rPr>
          <w:rFonts w:ascii="Times New Roman" w:hAnsi="Times New Roman"/>
          <w:b w:val="false"/>
          <w:i/>
          <w:color w:val="000000"/>
          <w:sz w:val="20"/>
        </w:rPr>
      </w:pPr>
      <w:r>
        <w:rPr>
          <w:rFonts w:ascii="Times New Roman" w:hAnsi="Times New Roman"/>
          <w:b w:val="false"/>
          <w:i/>
          <w:color w:val="000000"/>
          <w:sz w:val="20"/>
        </w:rPr>
        <w:t>General and Administrative Expenses</w:t>
      </w:r>
    </w:p>
    <w:p>
      <w:pPr>
        <w:pStyle w:val="TextBody"/>
        <w:bidi w:val="0"/>
        <w:jc w:val="left"/>
        <w:rPr>
          <w:rFonts w:ascii="Times New Roman" w:hAnsi="Times New Roman"/>
          <w:color w:val="000000"/>
          <w:sz w:val="20"/>
        </w:rPr>
      </w:pPr>
      <w:r>
        <w:rPr>
          <w:rFonts w:ascii="Times New Roman" w:hAnsi="Times New Roman"/>
          <w:color w:val="000000"/>
          <w:sz w:val="20"/>
        </w:rPr>
        <w:t xml:space="preserve">General and administrative expenses consist primarily of personnel costs, consisting of salaries, related benefits and stock-based compensation, costs related to our executive, finance, commercial, information technology, and costs related to other administrative functions. General and administrative expenses also include insurance expenses and professional fees for auditing, commercial readiness costs, tax, and legal services, including legal expenses to pursue patent protection for our intellectual property and related costs. We expect that our general and administrative expenses will increase in the foreseeable future as we hire additional employees to implement, improve, and scale our operational, financial, commercial and management systems. </w:t>
      </w:r>
    </w:p>
    <w:p>
      <w:pPr>
        <w:pStyle w:val="TextBody"/>
        <w:bidi w:val="0"/>
        <w:spacing w:before="12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Comparison of three months ended March 31, 2026 and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results of operations for the three months ended March 31, 2026 and 2025:</w:t>
      </w:r>
    </w:p>
    <w:tbl>
      <w:tblPr>
        <w:tblW w:w="6616" w:type="dxa"/>
        <w:jc w:val="left"/>
        <w:tblInd w:w="0" w:type="dxa"/>
        <w:tblLayout w:type="fixed"/>
        <w:tblCellMar>
          <w:top w:w="28" w:type="dxa"/>
          <w:left w:w="28" w:type="dxa"/>
          <w:bottom w:w="28" w:type="dxa"/>
          <w:right w:w="28" w:type="dxa"/>
        </w:tblCellMar>
      </w:tblPr>
      <w:tblGrid>
        <w:gridCol w:w="2671"/>
        <w:gridCol w:w="146"/>
        <w:gridCol w:w="211"/>
        <w:gridCol w:w="736"/>
        <w:gridCol w:w="166"/>
        <w:gridCol w:w="146"/>
        <w:gridCol w:w="211"/>
        <w:gridCol w:w="736"/>
        <w:gridCol w:w="166"/>
        <w:gridCol w:w="146"/>
        <w:gridCol w:w="218"/>
        <w:gridCol w:w="652"/>
        <w:gridCol w:w="411"/>
      </w:tblGrid>
      <w:tr>
        <w:trPr/>
        <w:tc>
          <w:tcPr>
            <w:tcW w:w="2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(Decrease)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8"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Statement of Operations Data: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sz w:val="20"/>
        </w:rPr>
      </w:pPr>
      <w:r>
        <w:rPr>
          <w:rFonts w:ascii="Times New Roman" w:hAnsi="Times New Roman"/>
          <w:b/>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for the three months ended March 31, 2026 decreased $1.5 million compared to the three months ended March 31, 2025. The decrease in research and development expenses was primarily driven by a decrease of $3.1 million in nomlabofusp manufacturing related costs and a decrease of $0.5 million in clinical trial costs primarily related to the completion of the Company’s adolescent run-in study in the first half of 2025, partially offset by an increase of $1.6 million in professional consulting fees predominantly related to BLA preparation and inspection readiness, and an increase of $0.2 million in personnel expenses due to increased headcount.</w:t>
      </w:r>
    </w:p>
    <w:p>
      <w:pPr>
        <w:pStyle w:val="TextBody"/>
        <w:bidi w:val="0"/>
        <w:spacing w:before="120" w:after="283"/>
        <w:jc w:val="left"/>
        <w:rPr>
          <w:rFonts w:ascii="Times New Roman" w:hAnsi="Times New Roman"/>
          <w:sz w:val="20"/>
        </w:rPr>
      </w:pPr>
      <w:r>
        <w:rPr>
          <w:rFonts w:ascii="Times New Roman" w:hAnsi="Times New Roman"/>
          <w:b/>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for the three months ended March 31, 2026 increased $1.5 million compared to the three months ended March 31, 2025. The increase in general and administrative expenses was primarily due to an increase of $1.1 million in professional fees related to commercial consulting services performed and an increase of $0.3 million of personnel costs associated with increased headcount.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Other Income (expense),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income (expense), net was $1.5 million income in the three months ended March 31, 2026 compared to $1.9 million income in the three months ended March 31, 2025. The decrease was primarily driven by lower interest and accretion income due to lower interest yields and lower average investable cash, cash equivalents, and marketable securities balances.</w:t>
      </w:r>
    </w:p>
    <w:p>
      <w:pPr>
        <w:pStyle w:val="TextBody"/>
        <w:bidi w:val="0"/>
        <w:spacing w:before="12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our inception, we have not generated any revenue from any sources, including from product sales, and have incurred significant operating losses and negative cash flows from our operations. We have devoted substantially all of our resources to developing nomlabofusp, building our intellectual property portfolio, developing third-party manufacturing capabilities, business planning, capital raising, and providing general and administrative support for such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sources and uses of cash for each of the periods presented below:</w:t>
      </w:r>
    </w:p>
    <w:p>
      <w:pPr>
        <w:pStyle w:val="TextBody"/>
        <w:bidi w:val="0"/>
        <w:jc w:val="left"/>
        <w:rPr/>
      </w:pPr>
      <w:r>
        <w:rPr/>
        <w:t> </w:t>
      </w:r>
    </w:p>
    <w:tbl>
      <w:tblPr>
        <w:tblW w:w="7468" w:type="dxa"/>
        <w:jc w:val="left"/>
        <w:tblInd w:w="0" w:type="dxa"/>
        <w:tblLayout w:type="fixed"/>
        <w:tblCellMar>
          <w:top w:w="28" w:type="dxa"/>
          <w:left w:w="28" w:type="dxa"/>
          <w:bottom w:w="28" w:type="dxa"/>
          <w:right w:w="28" w:type="dxa"/>
        </w:tblCellMar>
      </w:tblPr>
      <w:tblGrid>
        <w:gridCol w:w="4711"/>
        <w:gridCol w:w="146"/>
        <w:gridCol w:w="225"/>
        <w:gridCol w:w="833"/>
        <w:gridCol w:w="177"/>
        <w:gridCol w:w="155"/>
        <w:gridCol w:w="225"/>
        <w:gridCol w:w="785"/>
        <w:gridCol w:w="211"/>
      </w:tblGrid>
      <w:tr>
        <w:trPr/>
        <w:tc>
          <w:tcPr>
            <w:tcW w:w="4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(44,614</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(26,540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29,000</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14,448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108,115</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92,501</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(12,092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sz w:val="20"/>
        </w:rPr>
      </w:pPr>
      <w:r>
        <w:rPr>
          <w:rFonts w:ascii="Times New Roman" w:hAnsi="Times New Roman"/>
          <w:b/>
          <w:i/>
          <w:color w:val="000000"/>
          <w:sz w:val="20"/>
        </w:rPr>
        <w:t>Net cash used in 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three months ended March 31, 2026, operating activities used $44.6 million of cash, resulting from our net loss of $29.6 million, adjusted for noncash expenses of $1.9 million and changes in our operating assets and liabilities resulting in a use of cash of $16.9 million. Our net loss was primarily attributed to research and development activities related to our nomlabofusp program and our general and administrative expenses as described above. Noncash expenses primarily relate to stock-based compensation expenses. The change in operating assets and liabilities was primarily due to an decrease in accrued expenses.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March 31, 2025, operating activities used $26.5 million of cash, resulting from our net loss of $29.3 million, adjusted for noncash expenses of $1.1 million and changes in our operating assets and liabilities resulting in a source of cash of $1.6 million. Our net loss was primarily attributed to research and development activities related to our nomlabofusp program and our general and administrative expenses as described above. Noncash expenses are primarily stock-based compensation expenses. The change in operating assets and liabilities was primarily due to a decrease in prepaid expenses, partially offset by a decrease in accrued expense and accounts payable.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Net cash provided by (used in) 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March 31, 2026, investing activities provided $29.0 million of cash from the maturities of marketable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March 31, 2025, investing activities provided $14.4 million of cash from the maturities of $67.0 million of marketable securities, partially offset by the purchase of $52.5 million in marketable securities.</w:t>
      </w:r>
    </w:p>
    <w:p>
      <w:pPr>
        <w:pStyle w:val="TextBody"/>
        <w:bidi w:val="0"/>
        <w:spacing w:before="120" w:after="283"/>
        <w:jc w:val="left"/>
        <w:rPr>
          <w:rFonts w:ascii="Times New Roman" w:hAnsi="Times New Roman"/>
          <w:sz w:val="20"/>
        </w:rPr>
      </w:pPr>
      <w:r>
        <w:rPr>
          <w:rFonts w:ascii="Times New Roman" w:hAnsi="Times New Roman"/>
          <w:b/>
          <w:i/>
          <w:color w:val="000000"/>
          <w:sz w:val="20"/>
        </w:rPr>
        <w:t>Net cash provided by financing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March 31, 2026, financing activities provided $108.1 million of cash flows from an offering of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March 31, 2025, there were no financing activities.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Operating Capital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not yet commercialized any products and do not expect to generate revenue from the commercial sale of any products for several years, if at 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incurred net losses of approximately $29.6 million and $29.3 million for the three months ended March 31, 2026 and 2025, respectively. As of March 31, 2026, we had an accumulated deficit of $464.4 million and cash, cash equivalents, and marketable securities of $200.4 million, excluding restricted cash of $0.6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Losses have resulted principally from costs incurred in connection with research and development activities, and general and administrative costs associated with the development of nomlabofusp and our operations. We expect to incur significant expenses and operating losses for the foreseeable future as we expect to continue to incur expenses in connection with our ongoing activities, if and as we: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 to advance the development of nomlabofusp through additional clinical trials, including related manufacturing costs;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to identify and advance development of additional product candidates into clinical development and identify additional indications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to obtain regulatory approvals for nomlabofusp and other potential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identify, acquire or in-license other product candidates and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 leverage and expand our intellectual property portfolio;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expand our operational, financial, commercial and management systems and personnel, including personnel to support our clinical development and future commercialization efforts and our operations as a public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July 2025, we sold 21,562,500 shares of our common stock, after deducting underwriters' discounts, commissions and other offering expenses and received net proceeds of approximately $65.0 million, after deducting underwriting discounts, commissions, and other offering expenses.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February 2026, we completed an underwritten public offering in which we issued and sold 23,000,000 shares of our common stock, including the exercise in full of the underwriters' option to purchase additional shares, at a public offering price of $5.00 per share. We received net proceeds of approximately $107.6 million, after deducting underwriting discounts, commissions, and other offering expenses.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anticipate that our current cash, cash equivalents, and marketable securities as of March 31, 2026 will fund operations into the second quarter of 2027. If we encounter unexpected delays in our clinical trials or if there are other unanticipated changes to our operating plan from our current assumptions that negatively impact our operations, we may reduce expenditures in order to further extend our existing cash resources. Until we can generate substantial revenue, if ever, we could seek additional funding through a combination of public or private equity offerings, debt/royalty financings, collaborations, strategic alliances and licensing arrangements or other sources. The incurrence of indebtedness would result in increased fixed payment obligations and we may be required to agree to certain restrictive covenants, such as limitations on our ability to incur additional debt, minimum cash balances, limitations on our ability to acquire, sell or license intellectual property rights and other operating restrictions that could adversely impact our ability to conduct our business. Any additional fundraising efforts may divert our management from their day-to-day activities, which may adversely affect our ability to develop and commercialize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can be no assurance that, if required, we would be able to raise sufficient additional capital on acceptable terms, if at all. If such additional financing is not available on satisfactory terms, or is not available in sufficient amounts, or we do not have sufficient authorized shares, we may be required to delay, limit, or eliminate the development of business opportunities and our ability to achieve our business objectives, our competitiveness, and our business, financial condition, and results of operations will be materially adversely affected. We could also be required to seek funds through arrangements with collaborative partners, strategic alliances or otherwise at an earlier stage than otherwise would be desirable and we may be required to relinquish rights to some of our technologies or product candidates or otherwise agree to terms unfavorable to us, any of which may have a material adverse effect on our business, operating results and prospects. In addition, geopolitical tensions, volatility of capital markets, and other adverse macroeconomic events, including those due to inflationary pressures, rising interest rates, bank instability and the ability of the U.S. government to manage federal debt limits, as well as the potential impact of health crises on the global financial markets may reduce our ability to access capital, which could negatively affect our liquidity and ability to continue as a going concern.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required to obtain sufficient funding, but are unable to do so, when needed and/or on acceptable terms, we may be required to significantly curtail, delay or discontinue one or more of our research and development programs, the manufacture of clinical and commercial supplies, product portfolio expansion and/or pre commercialization efforts, which could adversely affect our business prospects, or we may be unable to continue operations. Certain restrictive covenants, such as limitations on our ability to incur additional debt, limitations on our ability to acquire, sell or license intellectual property rights and other operating restrictions that could adversely impact our ability to conduct our business. Any additional fundraising efforts may divert our management from their day-to-day activities, which may adversely affect our ability to develop and commercialize our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periods presented we did not have, and we currently do not have, any off-balance sheet arrangements, as defined under applicable SEC rules, such as relationships with unconsolidated entities or financial partnerships, which are often referred to as structured finance or special purpose entities, established for the purpose of facilitating financing transactions that are not required to be reflected on our balance sheets. </w:t>
      </w:r>
    </w:p>
    <w:p>
      <w:pPr>
        <w:pStyle w:val="TextBody"/>
        <w:bidi w:val="0"/>
        <w:spacing w:before="120" w:after="283"/>
        <w:jc w:val="left"/>
        <w:rPr>
          <w:rFonts w:ascii="Times New Roman" w:hAnsi="Times New Roman"/>
          <w:sz w:val="20"/>
        </w:rPr>
      </w:pPr>
      <w:r>
        <w:rPr>
          <w:rFonts w:ascii="Times New Roman" w:hAnsi="Times New Roman"/>
          <w:b/>
          <w:color w:val="000000"/>
          <w:sz w:val="20"/>
        </w:rPr>
        <w:t>Recently Issued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Please read Note 2 to our condensed consolidated financial statements included in Part I of Item 1 of this Quarterly Report on Form 10-Q for a description of recent accounting pronouncements applicable to our business, if any. </w:t>
      </w:r>
    </w:p>
    <w:p>
      <w:pPr>
        <w:pStyle w:val="TextBody"/>
        <w:bidi w:val="0"/>
        <w:spacing w:before="120" w:after="283"/>
        <w:jc w:val="left"/>
        <w:rPr>
          <w:rFonts w:ascii="Times New Roman" w:hAnsi="Times New Roman"/>
          <w:sz w:val="20"/>
        </w:rPr>
      </w:pPr>
      <w:r>
        <w:rPr>
          <w:rFonts w:ascii="Times New Roman" w:hAnsi="Times New Roman"/>
          <w:b/>
          <w:color w:val="000000"/>
          <w:sz w:val="20"/>
        </w:rPr>
        <w:t>Other Company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0" w:name="item_3_quantitative_qualitative_disclosu"/>
      <w:bookmarkEnd w:id="10"/>
      <w:r>
        <w:rPr>
          <w:rFonts w:ascii="Times New Roman" w:hAnsi="Times New Roman"/>
          <w:b/>
          <w:color w:val="000000"/>
          <w:sz w:val="20"/>
        </w:rPr>
        <w:t>Item 3. Quantitative and Qualitative Disclosures about Market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"smaller reporting company" as defined by Rule 12b-2 of the Securities Exchange Act of 1934, as amended (the "Exchange Act") and are not required to provide the information under this item.</w:t>
      </w:r>
    </w:p>
    <w:p>
      <w:pPr>
        <w:pStyle w:val="TextBody"/>
        <w:bidi w:val="0"/>
        <w:spacing w:before="120" w:after="283"/>
        <w:jc w:val="left"/>
        <w:rPr>
          <w:rFonts w:ascii="Times New Roman" w:hAnsi="Times New Roman"/>
          <w:sz w:val="20"/>
        </w:rPr>
      </w:pPr>
      <w:bookmarkStart w:id="11" w:name="item_4_controls_and_procedures"/>
      <w:bookmarkEnd w:id="11"/>
      <w:r>
        <w:rPr>
          <w:rFonts w:ascii="Times New Roman" w:hAnsi="Times New Roman"/>
          <w:b/>
          <w:color w:val="000000"/>
          <w:sz w:val="20"/>
        </w:rPr>
        <w:t>Item 4. Controls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maintain “disclosure controls and procedures,” as such term is defined in Rules 13a-15(e) and 15d-15(e) under the Exchange Act, that are designed to ensure that information required to be disclosed by us in reports that we file or submit under the Exchange Act is recorded, processed, summarized, and reported within the time periods specified in SEC rules and forms, and that such information is accumulated and communicated to our management, including our Chief Executive Officer and our Chief Financial Officer, to allow timely decisions regarding required disclosure.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design of any disclosure controls and procedures is based in part upon certain assumptions about the likelihood of future events, and there can be no assurance that any design will succeed in achieving its stated goals under all potential future conditions.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 respect to the quarter ended March 31, 2026, under the supervision and with the participation of our management, we conducted an evaluation of the effectiveness of the design and operations of our disclosure controls and procedures. Based upon this evaluation, our Chief Executive Officer and Chief Financial Officer have concluded that our disclosure controls and procedures are effective.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Management does not expect that our internal control over financial reporting will prevent or detect all errors and all fraud. A control system, no matter how well conceived and operated, can provide only reasonable, not absolute, assurance that the objectives of the control systems are met. Further, the design of a control system must reflect the fact that there are resource constraints and the benefits of controls must be considered relative to their costs. Because of the inherent limitations in a cost-effective control system, no evaluation of internal control over financial reporting can provide absolute assurance that misstatements due to error or fraud will not occur or that all control issues and instances of fraud, if any, have been or will be detected.</w:t>
      </w:r>
    </w:p>
    <w:p>
      <w:pPr>
        <w:pStyle w:val="TextBody"/>
        <w:bidi w:val="0"/>
        <w:spacing w:before="120" w:after="283"/>
        <w:jc w:val="left"/>
        <w:rPr>
          <w:rFonts w:ascii="Times New Roman" w:hAnsi="Times New Roman"/>
          <w:sz w:val="20"/>
        </w:rPr>
      </w:pPr>
      <w:r>
        <w:rPr>
          <w:rFonts w:ascii="Times New Roman" w:hAnsi="Times New Roman"/>
          <w:b/>
          <w:i/>
          <w:color w:val="000000"/>
          <w:sz w:val="20"/>
        </w:rPr>
        <w:t>Changes in Internal Control Over Financial Reporting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changes in our internal control over financial reporting identified in connection with the evaluation required by Rule 13a-15(d) and 15d-15(d) of the Exchange Act that have occurred during the fiscal quarter ended March 31, 2026, which have materially affected or reasonably probable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2" w:name="part_ii_or_information"/>
      <w:bookmarkEnd w:id="12"/>
      <w:r>
        <w:rPr>
          <w:rFonts w:ascii="Times New Roman" w:hAnsi="Times New Roman"/>
          <w:b/>
          <w:color w:val="000000"/>
          <w:sz w:val="20"/>
        </w:rPr>
        <w:t>PART II - OTHER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bookmarkStart w:id="13" w:name="item_1_legal_proceedings"/>
      <w:bookmarkEnd w:id="13"/>
      <w:r>
        <w:rPr>
          <w:rFonts w:ascii="Times New Roman" w:hAnsi="Times New Roman"/>
          <w:b/>
          <w:color w:val="000000"/>
          <w:sz w:val="20"/>
        </w:rPr>
        <w:t>Item 1. Legal</w:t>
      </w:r>
      <w:r>
        <w:rPr>
          <w:rFonts w:ascii="Times New Roman" w:hAnsi="Times New Roman"/>
          <w:color w:val="000000"/>
          <w:sz w:val="20"/>
        </w:rPr>
        <w:t xml:space="preserve"> </w:t>
      </w:r>
      <w:r>
        <w:rPr>
          <w:rFonts w:ascii="Times New Roman" w:hAnsi="Times New Roman"/>
          <w:b/>
          <w:color w:val="000000"/>
          <w:sz w:val="20"/>
        </w:rPr>
        <w:t>Proceedings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we are subject to claims in legal proceedings arising in the normal course of business. To our knowledge, during the three months ended March 31, 2026, there were none, and as of the date of this Quarterly Report, there are no threatened or pending legal actions that could reasonably be expected to have a material adverse effect on our business, financial condition, results of operations, or cash flows. </w:t>
      </w:r>
    </w:p>
    <w:p>
      <w:pPr>
        <w:pStyle w:val="TextBody"/>
        <w:bidi w:val="0"/>
        <w:spacing w:before="120" w:after="283"/>
        <w:jc w:val="left"/>
        <w:rPr>
          <w:rFonts w:ascii="Times New Roman" w:hAnsi="Times New Roman"/>
          <w:sz w:val="20"/>
        </w:rPr>
      </w:pPr>
      <w:bookmarkStart w:id="14" w:name="item_1a_risk_factors"/>
      <w:bookmarkEnd w:id="14"/>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You should carefully consider the risk factors described in our 2025 Annual Report under the caption “Item 1A. Risk Factors.” The risks described in our 2025 Annual Report are not the only risks facing our company. Additional risks and uncertainties not currently known to us or that we currently deem to be immaterial also may materially adversely affect our business, financial condition, or future results.</w:t>
      </w:r>
    </w:p>
    <w:p>
      <w:pPr>
        <w:pStyle w:val="TextBody"/>
        <w:bidi w:val="0"/>
        <w:jc w:val="left"/>
        <w:rPr/>
      </w:pPr>
      <w:r>
        <w:rPr/>
        <w:t> </w:t>
      </w:r>
    </w:p>
    <w:p>
      <w:pPr>
        <w:pStyle w:val="TextBody"/>
        <w:bidi w:val="0"/>
        <w:jc w:val="left"/>
        <w:rPr>
          <w:rFonts w:ascii="Times New Roman" w:hAnsi="Times New Roman"/>
          <w:b/>
          <w:color w:val="000000"/>
          <w:sz w:val="20"/>
        </w:rPr>
      </w:pPr>
      <w:bookmarkStart w:id="15" w:name="item_2_unregistered_sales_of_equity"/>
      <w:bookmarkEnd w:id="15"/>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left"/>
        <w:rPr>
          <w:rFonts w:ascii="Times New Roman" w:hAnsi="Times New Roman"/>
          <w:b/>
          <w:color w:val="000000"/>
          <w:sz w:val="20"/>
        </w:rPr>
      </w:pPr>
      <w:bookmarkStart w:id="16" w:name="item_3_defaults_upon_senior_securities"/>
      <w:bookmarkEnd w:id="16"/>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left"/>
        <w:rPr>
          <w:rFonts w:ascii="Times New Roman" w:hAnsi="Times New Roman"/>
          <w:sz w:val="20"/>
        </w:rPr>
      </w:pPr>
      <w:bookmarkStart w:id="17" w:name="item_4_mine_safety_disclosures"/>
      <w:bookmarkEnd w:id="17"/>
      <w:r>
        <w:rPr>
          <w:rFonts w:ascii="Times New Roman" w:hAnsi="Times New Roman"/>
          <w:b/>
          <w:color w:val="000000"/>
          <w:sz w:val="20"/>
        </w:rPr>
        <w:t>Item 4. Mine Safety Disclosures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120" w:after="283"/>
        <w:jc w:val="left"/>
        <w:rPr>
          <w:rFonts w:ascii="Times New Roman" w:hAnsi="Times New Roman"/>
          <w:b/>
          <w:color w:val="000000"/>
          <w:sz w:val="20"/>
        </w:rPr>
      </w:pPr>
      <w:bookmarkStart w:id="18" w:name="item_5_other_information"/>
      <w:bookmarkEnd w:id="18"/>
      <w:r>
        <w:rPr>
          <w:rFonts w:ascii="Times New Roman" w:hAnsi="Times New Roman"/>
          <w:b/>
          <w:color w:val="000000"/>
          <w:sz w:val="20"/>
        </w:rPr>
        <w:t>Item 5. Other Information</w:t>
      </w:r>
    </w:p>
    <w:p>
      <w:pPr>
        <w:pStyle w:val="TextBody"/>
        <w:bidi w:val="0"/>
        <w:spacing w:before="120" w:after="120"/>
        <w:jc w:val="left"/>
        <w:rPr>
          <w:rFonts w:ascii="Times New Roman" w:hAnsi="Times New Roman"/>
          <w:i/>
          <w:color w:val="000000"/>
          <w:sz w:val="20"/>
        </w:rPr>
      </w:pPr>
      <w:r>
        <w:rPr>
          <w:rFonts w:ascii="Times New Roman" w:hAnsi="Times New Roman"/>
          <w:i/>
          <w:color w:val="000000"/>
          <w:sz w:val="20"/>
        </w:rPr>
        <w:t>Rule 10b5-1 Trading Arrangements</w:t>
      </w:r>
    </w:p>
    <w:p>
      <w:pPr>
        <w:pStyle w:val="TextBody"/>
        <w:bidi w:val="0"/>
        <w:jc w:val="left"/>
        <w:rPr>
          <w:rFonts w:ascii="Times New Roman" w:hAnsi="Times New Roman"/>
          <w:color w:val="000000"/>
          <w:sz w:val="20"/>
        </w:rPr>
      </w:pPr>
      <w:r>
        <w:rPr>
          <w:rFonts w:ascii="Times New Roman" w:hAnsi="Times New Roman"/>
          <w:color w:val="000000"/>
          <w:sz w:val="20"/>
        </w:rPr>
        <w:t xml:space="preserve">During the quarter ended March 31, 2026, none of our directors or officers (as defined in Rule 16a-1(f) under the Exchange Act) adopted, modified or terminated a “Rule 10b5-1 trading arrangement” or “non-Rule 10b5-1 trading arrangement” (as each term is defined in Item 408(a) of Regulation S-K).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9" w:name="item_6_exhibits"/>
      <w:bookmarkEnd w:id="19"/>
      <w:r>
        <w:rPr>
          <w:rFonts w:ascii="Times New Roman" w:hAnsi="Times New Roman"/>
          <w:b/>
          <w:color w:val="000000"/>
          <w:sz w:val="20"/>
        </w:rPr>
        <w:t>Item 6. Exhibits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exhibits filed as part of this Quarterly Report are set forth on the Exhibit Index, which is incorporated herein by reference. </w:t>
      </w:r>
    </w:p>
    <w:p>
      <w:pPr>
        <w:pStyle w:val="TextBody"/>
        <w:bidi w:val="0"/>
        <w:spacing w:before="360" w:after="283"/>
        <w:jc w:val="center"/>
        <w:rPr>
          <w:rFonts w:ascii="Times New Roman" w:hAnsi="Times New Roman"/>
          <w:sz w:val="20"/>
        </w:rPr>
      </w:pPr>
      <w:r>
        <w:rPr>
          <w:rFonts w:ascii="Times New Roman" w:hAnsi="Times New Roman"/>
          <w:b/>
          <w:color w:val="000000"/>
          <w:sz w:val="20"/>
        </w:rPr>
        <w:t>EXHIBIT INDEX</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17"/>
        <w:gridCol w:w="299"/>
        <w:gridCol w:w="9089"/>
      </w:tblGrid>
      <w:tr>
        <w:trPr/>
        <w:tc>
          <w:tcPr>
            <w:tcW w:w="81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089" w:type="dxa"/>
            <w:tcBorders/>
            <w:vAlign w:val="center"/>
          </w:tcPr>
          <w:p>
            <w:pPr>
              <w:pStyle w:val="TableContents"/>
              <w:bidi w:val="0"/>
              <w:spacing w:before="0" w:after="283"/>
              <w:jc w:val="left"/>
              <w:rPr>
                <w:sz w:val="4"/>
                <w:szCs w:val="4"/>
              </w:rPr>
            </w:pPr>
            <w:r>
              <w:rPr>
                <w:sz w:val="4"/>
                <w:szCs w:val="4"/>
              </w:rPr>
            </w:r>
          </w:p>
        </w:tc>
      </w:tr>
      <w:tr>
        <w:trPr/>
        <w:tc>
          <w:tcPr>
            <w:tcW w:w="817"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b/>
                <w:color w:val="000000"/>
                <w:sz w:val="16"/>
              </w:rPr>
              <w:t>Exhibit No.</w:t>
            </w:r>
            <w:r>
              <w:rPr>
                <w:rFonts w:ascii="Times New Roman" w:hAnsi="Times New Roman"/>
                <w:color w:val="000000"/>
                <w:sz w:val="16"/>
              </w:rPr>
              <w:t xml:space="preserve"> </w:t>
            </w:r>
          </w:p>
        </w:tc>
        <w:tc>
          <w:tcPr>
            <w:tcW w:w="299" w:type="dxa"/>
            <w:tcBorders>
              <w:bottom w:val="single" w:sz="6" w:space="0" w:color="000000"/>
            </w:tcBorders>
            <w:tcMar>
              <w:top w:w="0" w:type="dxa"/>
              <w:left w:w="0" w:type="dxa"/>
              <w:right w:w="0" w:type="dxa"/>
            </w:tcMar>
            <w:vAlign w:val="center"/>
          </w:tcPr>
          <w:p>
            <w:pPr>
              <w:pStyle w:val="TableContents"/>
              <w:bidi w:val="0"/>
              <w:spacing w:before="0" w:after="283"/>
              <w:jc w:val="center"/>
              <w:rPr/>
            </w:pPr>
            <w:r>
              <w:rPr/>
              <w:t> </w:t>
            </w:r>
          </w:p>
        </w:tc>
        <w:tc>
          <w:tcPr>
            <w:tcW w:w="9089"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Description</w:t>
            </w:r>
            <w:r>
              <w:rPr>
                <w:rFonts w:ascii="Times New Roman" w:hAnsi="Times New Roman"/>
                <w:color w:val="000000"/>
                <w:sz w:val="16"/>
              </w:rPr>
              <w:t xml:space="preserve"> </w:t>
            </w:r>
          </w:p>
        </w:tc>
      </w:tr>
      <w:tr>
        <w:trPr/>
        <w:tc>
          <w:tcPr>
            <w:tcW w:w="817" w:type="dxa"/>
            <w:tcBorders/>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tcMar>
              <w:top w:w="0" w:type="dxa"/>
              <w:left w:w="0" w:type="dxa"/>
              <w:bottom w:w="0" w:type="dxa"/>
              <w:right w:w="0" w:type="dxa"/>
            </w:tcMar>
            <w:vAlign w:val="center"/>
          </w:tcPr>
          <w:p>
            <w:pPr>
              <w:pStyle w:val="TableContents"/>
              <w:bidi w:val="0"/>
              <w:spacing w:before="0" w:after="283"/>
              <w:jc w:val="left"/>
              <w:rPr/>
            </w:pPr>
            <w:r>
              <w:rPr/>
              <w:t> </w:t>
            </w:r>
          </w:p>
        </w:tc>
        <w:tc>
          <w:tcPr>
            <w:tcW w:w="908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299" w:type="dxa"/>
            <w:tcBorders/>
            <w:tcMar>
              <w:top w:w="0" w:type="dxa"/>
              <w:left w:w="0" w:type="dxa"/>
              <w:bottom w:w="0" w:type="dxa"/>
              <w:right w:w="0" w:type="dxa"/>
            </w:tcMar>
            <w:vAlign w:val="center"/>
          </w:tcPr>
          <w:p>
            <w:pPr>
              <w:pStyle w:val="TableContents"/>
              <w:bidi w:val="0"/>
              <w:spacing w:before="0" w:after="283"/>
              <w:jc w:val="left"/>
              <w:rPr/>
            </w:pPr>
            <w:r>
              <w:rPr/>
              <w:t> </w:t>
            </w:r>
          </w:p>
        </w:tc>
        <w:tc>
          <w:tcPr>
            <w:tcW w:w="9089"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Certificate of Amendment to Certificate of Designation of Preferences, Rights and Limitations of Series A Convertible Preferred Stock (incorporated herein by reference to Exhibit 3.1 to the Company’s Current Report on Form 8-K (File No. 001-36510) filed on January 22, 2026).</w:t>
              </w:r>
            </w:hyperlink>
          </w:p>
        </w:tc>
      </w:tr>
      <w:tr>
        <w:trPr/>
        <w:tc>
          <w:tcPr>
            <w:tcW w:w="817" w:type="dxa"/>
            <w:tcBorders/>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tcMar>
              <w:top w:w="0" w:type="dxa"/>
              <w:left w:w="0" w:type="dxa"/>
              <w:bottom w:w="0" w:type="dxa"/>
              <w:right w:w="0" w:type="dxa"/>
            </w:tcMar>
            <w:vAlign w:val="center"/>
          </w:tcPr>
          <w:p>
            <w:pPr>
              <w:pStyle w:val="TableContents"/>
              <w:bidi w:val="0"/>
              <w:spacing w:before="0" w:after="283"/>
              <w:jc w:val="left"/>
              <w:rPr/>
            </w:pPr>
            <w:r>
              <w:rPr/>
              <w:t> </w:t>
            </w:r>
          </w:p>
        </w:tc>
        <w:tc>
          <w:tcPr>
            <w:tcW w:w="908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299" w:type="dxa"/>
            <w:tcBorders/>
            <w:tcMar>
              <w:top w:w="0" w:type="dxa"/>
              <w:left w:w="0" w:type="dxa"/>
              <w:bottom w:w="0" w:type="dxa"/>
              <w:right w:w="0" w:type="dxa"/>
            </w:tcMar>
            <w:vAlign w:val="center"/>
          </w:tcPr>
          <w:p>
            <w:pPr>
              <w:pStyle w:val="TableContents"/>
              <w:bidi w:val="0"/>
              <w:spacing w:before="0" w:after="283"/>
              <w:jc w:val="left"/>
              <w:rPr/>
            </w:pPr>
            <w:r>
              <w:rPr/>
              <w:t> </w:t>
            </w:r>
          </w:p>
        </w:tc>
        <w:tc>
          <w:tcPr>
            <w:tcW w:w="9089"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Exchange Agreement, dated January 21, 2026, by and between Larimar Therapeutics, Inc. and the Stockholder named therein (incorporated by reference to Exhibit 10.1 to the Company’s Current Report on Form 8-K filed on January 22, 2026).</w:t>
              </w:r>
            </w:hyperlink>
          </w:p>
        </w:tc>
      </w:tr>
      <w:tr>
        <w:trPr/>
        <w:tc>
          <w:tcPr>
            <w:tcW w:w="817" w:type="dxa"/>
            <w:tcBorders/>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tcMar>
              <w:top w:w="0" w:type="dxa"/>
              <w:left w:w="0" w:type="dxa"/>
              <w:bottom w:w="0" w:type="dxa"/>
              <w:right w:w="0" w:type="dxa"/>
            </w:tcMar>
            <w:vAlign w:val="center"/>
          </w:tcPr>
          <w:p>
            <w:pPr>
              <w:pStyle w:val="TableContents"/>
              <w:bidi w:val="0"/>
              <w:spacing w:before="0" w:after="283"/>
              <w:jc w:val="left"/>
              <w:rPr/>
            </w:pPr>
            <w:r>
              <w:rPr/>
              <w:t> </w:t>
            </w:r>
          </w:p>
        </w:tc>
        <w:tc>
          <w:tcPr>
            <w:tcW w:w="908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299" w:type="dxa"/>
            <w:tcBorders/>
            <w:tcMar>
              <w:top w:w="0" w:type="dxa"/>
              <w:left w:w="0" w:type="dxa"/>
              <w:bottom w:w="0" w:type="dxa"/>
              <w:right w:w="0" w:type="dxa"/>
            </w:tcMar>
            <w:vAlign w:val="center"/>
          </w:tcPr>
          <w:p>
            <w:pPr>
              <w:pStyle w:val="TableContents"/>
              <w:bidi w:val="0"/>
              <w:spacing w:before="0" w:after="283"/>
              <w:jc w:val="left"/>
              <w:rPr/>
            </w:pPr>
            <w:r>
              <w:rPr/>
              <w:t> </w:t>
            </w:r>
          </w:p>
        </w:tc>
        <w:tc>
          <w:tcPr>
            <w:tcW w:w="9089" w:type="dxa"/>
            <w:tcBorders/>
            <w:tcMar>
              <w:top w:w="0" w:type="dxa"/>
              <w:left w:w="0" w:type="dxa"/>
              <w:bottom w:w="0" w:type="dxa"/>
              <w:right w:w="0" w:type="dxa"/>
            </w:tcMar>
            <w:vAlign w:val="center"/>
          </w:tcPr>
          <w:p>
            <w:pPr>
              <w:pStyle w:val="TableContents"/>
              <w:bidi w:val="0"/>
              <w:spacing w:before="0" w:after="283"/>
              <w:jc w:val="left"/>
              <w:rPr/>
            </w:pPr>
            <w:hyperlink w:anchor="lrmr-ex31_1.htm">
              <w:r>
                <w:rPr>
                  <w:rStyle w:val="InternetLink"/>
                  <w:rFonts w:ascii="Times New Roman" w:hAnsi="Times New Roman"/>
                  <w:color w:val="0000FF"/>
                  <w:sz w:val="20"/>
                  <w:u w:val="single"/>
                </w:rPr>
                <w:t>Certification of Principal Executive Officer pursuant to Rule 13a-14(a) or Rule 15d-14(a) of the Securities Exchange Act of 1934, as adopted pursuant to Section 302 of the Sarbanes-Oxley Act of 2002.</w:t>
              </w:r>
            </w:hyperlink>
          </w:p>
        </w:tc>
      </w:tr>
      <w:tr>
        <w:trPr/>
        <w:tc>
          <w:tcPr>
            <w:tcW w:w="817" w:type="dxa"/>
            <w:tcBorders/>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tcMar>
              <w:top w:w="0" w:type="dxa"/>
              <w:left w:w="0" w:type="dxa"/>
              <w:bottom w:w="0" w:type="dxa"/>
              <w:right w:w="0" w:type="dxa"/>
            </w:tcMar>
            <w:vAlign w:val="center"/>
          </w:tcPr>
          <w:p>
            <w:pPr>
              <w:pStyle w:val="TableContents"/>
              <w:bidi w:val="0"/>
              <w:spacing w:before="0" w:after="283"/>
              <w:jc w:val="left"/>
              <w:rPr/>
            </w:pPr>
            <w:r>
              <w:rPr/>
              <w:t> </w:t>
            </w:r>
          </w:p>
        </w:tc>
        <w:tc>
          <w:tcPr>
            <w:tcW w:w="908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299" w:type="dxa"/>
            <w:tcBorders/>
            <w:tcMar>
              <w:top w:w="0" w:type="dxa"/>
              <w:left w:w="0" w:type="dxa"/>
              <w:bottom w:w="0" w:type="dxa"/>
              <w:right w:w="0" w:type="dxa"/>
            </w:tcMar>
            <w:vAlign w:val="center"/>
          </w:tcPr>
          <w:p>
            <w:pPr>
              <w:pStyle w:val="TableContents"/>
              <w:bidi w:val="0"/>
              <w:spacing w:before="0" w:after="283"/>
              <w:jc w:val="left"/>
              <w:rPr/>
            </w:pPr>
            <w:r>
              <w:rPr/>
              <w:t> </w:t>
            </w:r>
          </w:p>
        </w:tc>
        <w:tc>
          <w:tcPr>
            <w:tcW w:w="9089" w:type="dxa"/>
            <w:tcBorders/>
            <w:tcMar>
              <w:top w:w="0" w:type="dxa"/>
              <w:left w:w="0" w:type="dxa"/>
              <w:bottom w:w="0" w:type="dxa"/>
              <w:right w:w="0" w:type="dxa"/>
            </w:tcMar>
            <w:vAlign w:val="center"/>
          </w:tcPr>
          <w:p>
            <w:pPr>
              <w:pStyle w:val="TableContents"/>
              <w:bidi w:val="0"/>
              <w:spacing w:before="0" w:after="283"/>
              <w:jc w:val="left"/>
              <w:rPr/>
            </w:pPr>
            <w:hyperlink w:anchor="lrmr-ex31_2.htm">
              <w:r>
                <w:rPr>
                  <w:rStyle w:val="InternetLink"/>
                  <w:rFonts w:ascii="Times New Roman" w:hAnsi="Times New Roman"/>
                  <w:color w:val="0000FF"/>
                  <w:sz w:val="20"/>
                  <w:u w:val="single"/>
                </w:rPr>
                <w:t>Certification of Principal Financial Officer pursuant to Rule 13a-14(a) or Rule 15d-14(a) of the Securities Exchange Act of 1934, as adopted pursuant to Section 302 of the Sarbanes-Oxley Act of 2002.</w:t>
              </w:r>
            </w:hyperlink>
          </w:p>
        </w:tc>
      </w:tr>
      <w:tr>
        <w:trPr/>
        <w:tc>
          <w:tcPr>
            <w:tcW w:w="817" w:type="dxa"/>
            <w:tcBorders/>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tcMar>
              <w:top w:w="0" w:type="dxa"/>
              <w:left w:w="0" w:type="dxa"/>
              <w:bottom w:w="0" w:type="dxa"/>
              <w:right w:w="0" w:type="dxa"/>
            </w:tcMar>
            <w:vAlign w:val="center"/>
          </w:tcPr>
          <w:p>
            <w:pPr>
              <w:pStyle w:val="TableContents"/>
              <w:bidi w:val="0"/>
              <w:spacing w:before="0" w:after="283"/>
              <w:jc w:val="left"/>
              <w:rPr/>
            </w:pPr>
            <w:r>
              <w:rPr/>
              <w:t> </w:t>
            </w:r>
          </w:p>
        </w:tc>
        <w:tc>
          <w:tcPr>
            <w:tcW w:w="908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299" w:type="dxa"/>
            <w:tcBorders/>
            <w:tcMar>
              <w:top w:w="0" w:type="dxa"/>
              <w:left w:w="0" w:type="dxa"/>
              <w:bottom w:w="0" w:type="dxa"/>
              <w:right w:w="0" w:type="dxa"/>
            </w:tcMar>
            <w:vAlign w:val="center"/>
          </w:tcPr>
          <w:p>
            <w:pPr>
              <w:pStyle w:val="TableContents"/>
              <w:bidi w:val="0"/>
              <w:spacing w:before="0" w:after="283"/>
              <w:jc w:val="left"/>
              <w:rPr/>
            </w:pPr>
            <w:r>
              <w:rPr/>
              <w:t> </w:t>
            </w:r>
          </w:p>
        </w:tc>
        <w:tc>
          <w:tcPr>
            <w:tcW w:w="9089" w:type="dxa"/>
            <w:tcBorders/>
            <w:tcMar>
              <w:top w:w="0" w:type="dxa"/>
              <w:left w:w="0" w:type="dxa"/>
              <w:bottom w:w="0" w:type="dxa"/>
              <w:right w:w="0" w:type="dxa"/>
            </w:tcMar>
            <w:vAlign w:val="center"/>
          </w:tcPr>
          <w:p>
            <w:pPr>
              <w:pStyle w:val="TableContents"/>
              <w:bidi w:val="0"/>
              <w:spacing w:before="0" w:after="283"/>
              <w:jc w:val="left"/>
              <w:rPr/>
            </w:pPr>
            <w:hyperlink w:anchor="lrmr-ex32_1.htm">
              <w:r>
                <w:rPr>
                  <w:rStyle w:val="InternetLink"/>
                  <w:rFonts w:ascii="Times New Roman" w:hAnsi="Times New Roman"/>
                  <w:color w:val="0000FF"/>
                  <w:sz w:val="20"/>
                  <w:u w:val="single"/>
                </w:rPr>
                <w:t>Certification of Principal Executive Officer and Principal Financial Officer pursuant to 18 U.S.C. Section 1350, as adopted pursuant to Section 906 of the Sarbanes-Oxley Act of 2002.</w:t>
              </w:r>
            </w:hyperlink>
          </w:p>
        </w:tc>
      </w:tr>
      <w:tr>
        <w:trPr/>
        <w:tc>
          <w:tcPr>
            <w:tcW w:w="817" w:type="dxa"/>
            <w:tcBorders/>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tcMar>
              <w:top w:w="0" w:type="dxa"/>
              <w:left w:w="0" w:type="dxa"/>
              <w:bottom w:w="0" w:type="dxa"/>
              <w:right w:w="0" w:type="dxa"/>
            </w:tcMar>
            <w:vAlign w:val="center"/>
          </w:tcPr>
          <w:p>
            <w:pPr>
              <w:pStyle w:val="TableContents"/>
              <w:bidi w:val="0"/>
              <w:spacing w:before="0" w:after="283"/>
              <w:jc w:val="left"/>
              <w:rPr/>
            </w:pPr>
            <w:r>
              <w:rPr/>
              <w:t> </w:t>
            </w:r>
          </w:p>
        </w:tc>
        <w:tc>
          <w:tcPr>
            <w:tcW w:w="908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7" w:type="dxa"/>
            <w:tcBorders/>
            <w:tcMar>
              <w:top w:w="0" w:type="dxa"/>
              <w:left w:w="0" w:type="dxa"/>
              <w:bottom w:w="0" w:type="dxa"/>
              <w:right w:w="0" w:type="dxa"/>
            </w:tcMar>
            <w:vAlign w:val="center"/>
          </w:tcPr>
          <w:p>
            <w:pPr>
              <w:pStyle w:val="TableContents"/>
              <w:bidi w:val="0"/>
              <w:spacing w:before="0" w:after="283"/>
              <w:ind w:left="0" w:right="0" w:firstLine="153"/>
              <w:jc w:val="left"/>
              <w:rPr>
                <w:rFonts w:ascii="Times New Roman" w:hAnsi="Times New Roman"/>
                <w:color w:val="000000"/>
                <w:sz w:val="20"/>
              </w:rPr>
            </w:pPr>
            <w:r>
              <w:rPr>
                <w:rFonts w:ascii="Times New Roman" w:hAnsi="Times New Roman"/>
                <w:color w:val="000000"/>
                <w:sz w:val="20"/>
              </w:rPr>
              <w:t>101.INS*</w:t>
            </w:r>
          </w:p>
        </w:tc>
        <w:tc>
          <w:tcPr>
            <w:tcW w:w="299" w:type="dxa"/>
            <w:tcBorders/>
            <w:tcMar>
              <w:top w:w="0" w:type="dxa"/>
              <w:left w:w="0" w:type="dxa"/>
              <w:bottom w:w="0" w:type="dxa"/>
              <w:right w:w="0" w:type="dxa"/>
            </w:tcMar>
            <w:vAlign w:val="center"/>
          </w:tcPr>
          <w:p>
            <w:pPr>
              <w:pStyle w:val="TableContents"/>
              <w:bidi w:val="0"/>
              <w:spacing w:before="0" w:after="283"/>
              <w:ind w:left="0" w:right="0" w:firstLine="153"/>
              <w:jc w:val="left"/>
              <w:rPr/>
            </w:pPr>
            <w:r>
              <w:rPr/>
              <w:t> </w:t>
            </w:r>
          </w:p>
        </w:tc>
        <w:tc>
          <w:tcPr>
            <w:tcW w:w="90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the instance document does not appear in the Interactive Data File because its XBRL tag re embedded within the Inline XBRL document</w:t>
            </w:r>
          </w:p>
        </w:tc>
      </w:tr>
      <w:tr>
        <w:trPr/>
        <w:tc>
          <w:tcPr>
            <w:tcW w:w="817" w:type="dxa"/>
            <w:tcBorders/>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tcMar>
              <w:top w:w="0" w:type="dxa"/>
              <w:left w:w="0" w:type="dxa"/>
              <w:bottom w:w="0" w:type="dxa"/>
              <w:right w:w="0" w:type="dxa"/>
            </w:tcMar>
            <w:vAlign w:val="center"/>
          </w:tcPr>
          <w:p>
            <w:pPr>
              <w:pStyle w:val="TableContents"/>
              <w:bidi w:val="0"/>
              <w:spacing w:before="0" w:after="283"/>
              <w:jc w:val="left"/>
              <w:rPr/>
            </w:pPr>
            <w:r>
              <w:rPr/>
              <w:t> </w:t>
            </w:r>
          </w:p>
        </w:tc>
        <w:tc>
          <w:tcPr>
            <w:tcW w:w="908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7" w:type="dxa"/>
            <w:tcBorders/>
            <w:tcMar>
              <w:top w:w="0" w:type="dxa"/>
              <w:left w:w="0" w:type="dxa"/>
              <w:bottom w:w="0" w:type="dxa"/>
              <w:right w:w="0" w:type="dxa"/>
            </w:tcMar>
            <w:vAlign w:val="center"/>
          </w:tcPr>
          <w:p>
            <w:pPr>
              <w:pStyle w:val="TableContents"/>
              <w:bidi w:val="0"/>
              <w:spacing w:before="0" w:after="283"/>
              <w:ind w:left="0" w:right="0" w:firstLine="153"/>
              <w:jc w:val="left"/>
              <w:rPr>
                <w:rFonts w:ascii="Times New Roman" w:hAnsi="Times New Roman"/>
                <w:color w:val="000000"/>
                <w:sz w:val="20"/>
              </w:rPr>
            </w:pPr>
            <w:r>
              <w:rPr>
                <w:rFonts w:ascii="Times New Roman" w:hAnsi="Times New Roman"/>
                <w:color w:val="000000"/>
                <w:sz w:val="20"/>
              </w:rPr>
              <w:t>101.SCH*</w:t>
            </w:r>
          </w:p>
        </w:tc>
        <w:tc>
          <w:tcPr>
            <w:tcW w:w="299" w:type="dxa"/>
            <w:tcBorders/>
            <w:tcMar>
              <w:top w:w="0" w:type="dxa"/>
              <w:left w:w="0" w:type="dxa"/>
              <w:bottom w:w="0" w:type="dxa"/>
              <w:right w:w="0" w:type="dxa"/>
            </w:tcMar>
            <w:vAlign w:val="center"/>
          </w:tcPr>
          <w:p>
            <w:pPr>
              <w:pStyle w:val="TableContents"/>
              <w:bidi w:val="0"/>
              <w:spacing w:before="0" w:after="283"/>
              <w:ind w:left="0" w:right="0" w:firstLine="153"/>
              <w:jc w:val="left"/>
              <w:rPr/>
            </w:pPr>
            <w:r>
              <w:rPr/>
              <w:t> </w:t>
            </w:r>
          </w:p>
        </w:tc>
        <w:tc>
          <w:tcPr>
            <w:tcW w:w="90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Document.</w:t>
            </w:r>
          </w:p>
        </w:tc>
      </w:tr>
      <w:tr>
        <w:trPr/>
        <w:tc>
          <w:tcPr>
            <w:tcW w:w="817" w:type="dxa"/>
            <w:tcBorders/>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tcMar>
              <w:top w:w="0" w:type="dxa"/>
              <w:left w:w="0" w:type="dxa"/>
              <w:bottom w:w="0" w:type="dxa"/>
              <w:right w:w="0" w:type="dxa"/>
            </w:tcMar>
            <w:vAlign w:val="center"/>
          </w:tcPr>
          <w:p>
            <w:pPr>
              <w:pStyle w:val="TableContents"/>
              <w:bidi w:val="0"/>
              <w:spacing w:before="0" w:after="283"/>
              <w:jc w:val="left"/>
              <w:rPr/>
            </w:pPr>
            <w:r>
              <w:rPr/>
              <w:t> </w:t>
            </w:r>
          </w:p>
        </w:tc>
        <w:tc>
          <w:tcPr>
            <w:tcW w:w="908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7" w:type="dxa"/>
            <w:tcBorders/>
            <w:tcMar>
              <w:top w:w="0" w:type="dxa"/>
              <w:left w:w="0" w:type="dxa"/>
              <w:bottom w:w="0" w:type="dxa"/>
              <w:right w:w="0" w:type="dxa"/>
            </w:tcMar>
            <w:vAlign w:val="center"/>
          </w:tcPr>
          <w:p>
            <w:pPr>
              <w:pStyle w:val="TableContents"/>
              <w:bidi w:val="0"/>
              <w:spacing w:before="0" w:after="283"/>
              <w:ind w:left="0" w:right="0" w:firstLine="153"/>
              <w:jc w:val="left"/>
              <w:rPr>
                <w:rFonts w:ascii="Times New Roman" w:hAnsi="Times New Roman"/>
                <w:color w:val="000000"/>
                <w:sz w:val="20"/>
              </w:rPr>
            </w:pPr>
            <w:r>
              <w:rPr>
                <w:rFonts w:ascii="Times New Roman" w:hAnsi="Times New Roman"/>
                <w:color w:val="000000"/>
                <w:sz w:val="20"/>
              </w:rPr>
              <w:t>104</w:t>
            </w:r>
          </w:p>
        </w:tc>
        <w:tc>
          <w:tcPr>
            <w:tcW w:w="299" w:type="dxa"/>
            <w:tcBorders/>
            <w:tcMar>
              <w:top w:w="0" w:type="dxa"/>
              <w:left w:w="0" w:type="dxa"/>
              <w:bottom w:w="0" w:type="dxa"/>
              <w:right w:w="0" w:type="dxa"/>
            </w:tcMar>
            <w:vAlign w:val="center"/>
          </w:tcPr>
          <w:p>
            <w:pPr>
              <w:pStyle w:val="TableContents"/>
              <w:bidi w:val="0"/>
              <w:spacing w:before="0" w:after="283"/>
              <w:ind w:left="0" w:right="0" w:firstLine="153"/>
              <w:jc w:val="left"/>
              <w:rPr/>
            </w:pPr>
            <w:r>
              <w:rPr/>
              <w:t> </w:t>
            </w:r>
          </w:p>
        </w:tc>
        <w:tc>
          <w:tcPr>
            <w:tcW w:w="90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 Filed herewith.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Furnished herewith.</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0" w:name="signatures"/>
      <w:bookmarkEnd w:id="20"/>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as amended, the registrant has duly caused this report to be signed on its behalf by the undersigned thereunto duly authorized. </w:t>
      </w:r>
    </w:p>
    <w:p>
      <w:pPr>
        <w:pStyle w:val="TextBody"/>
        <w:bidi w:val="0"/>
        <w:jc w:val="left"/>
        <w:rPr/>
      </w:pPr>
      <w:r>
        <w:rPr/>
        <w:t> </w:t>
      </w:r>
    </w:p>
    <w:tbl>
      <w:tblPr>
        <w:tblW w:w="6310" w:type="dxa"/>
        <w:jc w:val="left"/>
        <w:tblInd w:w="0" w:type="dxa"/>
        <w:tblLayout w:type="fixed"/>
        <w:tblCellMar>
          <w:top w:w="28" w:type="dxa"/>
          <w:left w:w="28" w:type="dxa"/>
          <w:bottom w:w="28" w:type="dxa"/>
          <w:right w:w="28" w:type="dxa"/>
        </w:tblCellMar>
      </w:tblPr>
      <w:tblGrid>
        <w:gridCol w:w="1741"/>
        <w:gridCol w:w="146"/>
        <w:gridCol w:w="406"/>
        <w:gridCol w:w="146"/>
        <w:gridCol w:w="3871"/>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2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LARIMAR THERAPEUTICS, INC.</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23"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bottom w:val="single" w:sz="6" w:space="0" w:color="FFFFFF"/>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14, 2026</w:t>
            </w:r>
          </w:p>
        </w:tc>
        <w:tc>
          <w:tcPr>
            <w:tcW w:w="146" w:type="dxa"/>
            <w:tcBorders>
              <w:bottom w:val="single" w:sz="6" w:space="0" w:color="FFFFFF"/>
            </w:tcBorders>
            <w:tcMar>
              <w:top w:w="0" w:type="dxa"/>
              <w:left w:w="0" w:type="dxa"/>
              <w:right w:w="0" w:type="dxa"/>
            </w:tcMar>
            <w:vAlign w:val="center"/>
          </w:tcPr>
          <w:p>
            <w:pPr>
              <w:pStyle w:val="TableContents"/>
              <w:bidi w:val="0"/>
              <w:spacing w:before="0" w:after="283"/>
              <w:jc w:val="left"/>
              <w:rPr/>
            </w:pPr>
            <w:r>
              <w:rPr/>
              <w:t> </w:t>
            </w:r>
          </w:p>
        </w:tc>
        <w:tc>
          <w:tcPr>
            <w:tcW w:w="406" w:type="dxa"/>
            <w:tcBorders>
              <w:bottom w:val="single" w:sz="6" w:space="0" w:color="FFFFFF"/>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bottom w:val="single" w:sz="6" w:space="0" w:color="FFFFFF"/>
            </w:tcBorders>
            <w:tcMar>
              <w:top w:w="0" w:type="dxa"/>
              <w:left w:w="0" w:type="dxa"/>
              <w:right w:w="0" w:type="dxa"/>
            </w:tcMar>
            <w:vAlign w:val="center"/>
          </w:tcPr>
          <w:p>
            <w:pPr>
              <w:pStyle w:val="TableContents"/>
              <w:bidi w:val="0"/>
              <w:spacing w:before="0" w:after="283"/>
              <w:jc w:val="left"/>
              <w:rPr/>
            </w:pPr>
            <w:r>
              <w:rPr/>
              <w:t> </w:t>
            </w:r>
          </w:p>
        </w:tc>
        <w:tc>
          <w:tcPr>
            <w:tcW w:w="387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Carole S. Ben-Maimon, M.D.</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Carole S. Ben-Maimon, M.D.</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tcMar>
              <w:top w:w="0" w:type="dxa"/>
              <w:left w:w="0" w:type="dxa"/>
              <w:bottom w:w="0" w:type="dxa"/>
              <w:right w:w="0" w:type="dxa"/>
            </w:tcMar>
            <w:vAlign w:val="center"/>
          </w:tcPr>
          <w:p>
            <w:pPr>
              <w:pStyle w:val="TableContents"/>
              <w:bidi w:val="0"/>
              <w:jc w:val="left"/>
              <w:rPr>
                <w:rFonts w:ascii="Times New Roman" w:hAnsi="Times New Roman"/>
                <w:i/>
                <w:color w:val="000000"/>
                <w:sz w:val="20"/>
              </w:rPr>
            </w:pPr>
            <w:r>
              <w:rPr>
                <w:rFonts w:ascii="Times New Roman" w:hAnsi="Times New Roman"/>
                <w:i/>
                <w:color w:val="000000"/>
                <w:sz w:val="20"/>
              </w:rPr>
              <w:t>President and Chief Executive Officer</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bottom w:val="single" w:sz="6" w:space="0" w:color="FFFFFF"/>
            </w:tcBorders>
            <w:tcMar>
              <w:top w:w="0" w:type="dxa"/>
              <w:left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14, 2026</w:t>
            </w:r>
          </w:p>
        </w:tc>
        <w:tc>
          <w:tcPr>
            <w:tcW w:w="146" w:type="dxa"/>
            <w:tcBorders>
              <w:bottom w:val="single" w:sz="6" w:space="0" w:color="FFFFFF"/>
            </w:tcBorders>
            <w:tcMar>
              <w:top w:w="0" w:type="dxa"/>
              <w:left w:w="0" w:type="dxa"/>
              <w:right w:w="0" w:type="dxa"/>
            </w:tcMar>
            <w:vAlign w:val="center"/>
          </w:tcPr>
          <w:p>
            <w:pPr>
              <w:pStyle w:val="TableContents"/>
              <w:bidi w:val="0"/>
              <w:spacing w:before="0" w:after="283"/>
              <w:jc w:val="left"/>
              <w:rPr/>
            </w:pPr>
            <w:r>
              <w:rPr/>
              <w:t> </w:t>
            </w:r>
          </w:p>
        </w:tc>
        <w:tc>
          <w:tcPr>
            <w:tcW w:w="406" w:type="dxa"/>
            <w:tcBorders>
              <w:bottom w:val="single" w:sz="6" w:space="0" w:color="FFFFFF"/>
            </w:tcBorders>
            <w:tcMar>
              <w:top w:w="0" w:type="dxa"/>
              <w:left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bottom w:val="single" w:sz="6" w:space="0" w:color="FFFFFF"/>
            </w:tcBorders>
            <w:tcMar>
              <w:top w:w="0" w:type="dxa"/>
              <w:left w:w="0" w:type="dxa"/>
              <w:right w:w="0" w:type="dxa"/>
            </w:tcMar>
            <w:vAlign w:val="center"/>
          </w:tcPr>
          <w:p>
            <w:pPr>
              <w:pStyle w:val="TableContents"/>
              <w:bidi w:val="0"/>
              <w:spacing w:before="0" w:after="283"/>
              <w:jc w:val="left"/>
              <w:rPr/>
            </w:pPr>
            <w:r>
              <w:rPr/>
              <w:t> </w:t>
            </w:r>
          </w:p>
        </w:tc>
        <w:tc>
          <w:tcPr>
            <w:tcW w:w="387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Michael Celano</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Celano</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tcMar>
              <w:top w:w="0" w:type="dxa"/>
              <w:left w:w="0" w:type="dxa"/>
              <w:bottom w:w="0" w:type="dxa"/>
              <w:right w:w="0" w:type="dxa"/>
            </w:tcMar>
            <w:vAlign w:val="center"/>
          </w:tcPr>
          <w:p>
            <w:pPr>
              <w:pStyle w:val="TableContents"/>
              <w:bidi w:val="0"/>
              <w:jc w:val="left"/>
              <w:rPr>
                <w:rFonts w:ascii="Times New Roman" w:hAnsi="Times New Roman"/>
                <w:i/>
                <w:color w:val="000000"/>
                <w:sz w:val="20"/>
              </w:rPr>
            </w:pPr>
            <w:r>
              <w:rPr>
                <w:rFonts w:ascii="Times New Roman" w:hAnsi="Times New Roman"/>
                <w:i/>
                <w:color w:val="000000"/>
                <w:sz w:val="20"/>
              </w:rPr>
              <w:t>Chief Financial Officer</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and Accounting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spacing w:before="0" w:after="120"/>
        <w:jc w:val="right"/>
        <w:rPr>
          <w:rFonts w:ascii="Times New Roman" w:hAnsi="Times New Roman"/>
          <w:b/>
          <w:color w:val="000000"/>
          <w:sz w:val="20"/>
        </w:rPr>
      </w:pPr>
      <w:bookmarkStart w:id="21" w:name="lrmr-ex31_1.htm"/>
      <w:bookmarkStart w:id="22" w:name="kslrmrex31_1"/>
      <w:bookmarkEnd w:id="21"/>
      <w:bookmarkEnd w:id="22"/>
      <w:r>
        <w:rPr>
          <w:rFonts w:ascii="Times New Roman" w:hAnsi="Times New Roman"/>
          <w:b/>
          <w:color w:val="000000"/>
          <w:sz w:val="20"/>
        </w:rPr>
        <w:t>Exhibit 31.1</w:t>
      </w:r>
      <w:r>
        <w:br w:type="page"/>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CERTIFICATION</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I, Carole S. Ben-Maimon, M.D., certify that:</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1. I have reviewed this Quarterly Report on Form 10-Q of Larimar Therapeutics, Inc.;</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4.</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rFonts w:ascii="Times New Roman" w:hAnsi="Times New Roman"/>
          <w:color w:val="000000"/>
          <w:sz w:val="20"/>
        </w:rPr>
      </w:pPr>
      <w:r>
        <w:rPr>
          <w:rFonts w:ascii="Times New Roman" w:hAnsi="Times New Roman"/>
          <w:color w:val="000000"/>
          <w:sz w:val="20"/>
        </w:rPr>
        <w:t>Date: May 14, 2026</w:t>
      </w:r>
    </w:p>
    <w:tbl>
      <w:tblPr>
        <w:tblW w:w="3226" w:type="dxa"/>
        <w:jc w:val="left"/>
        <w:tblInd w:w="0" w:type="dxa"/>
        <w:tblLayout w:type="fixed"/>
        <w:tblCellMar>
          <w:top w:w="28" w:type="dxa"/>
          <w:left w:w="28" w:type="dxa"/>
          <w:bottom w:w="28" w:type="dxa"/>
          <w:right w:w="28" w:type="dxa"/>
        </w:tblCellMar>
      </w:tblPr>
      <w:tblGrid>
        <w:gridCol w:w="3226"/>
      </w:tblGrid>
      <w:tr>
        <w:trPr/>
        <w:tc>
          <w:tcPr>
            <w:tcW w:w="3226" w:type="dxa"/>
            <w:tcBorders/>
            <w:vAlign w:val="center"/>
          </w:tcPr>
          <w:p>
            <w:pPr>
              <w:pStyle w:val="TableContents"/>
              <w:bidi w:val="0"/>
              <w:spacing w:before="0" w:after="283"/>
              <w:jc w:val="left"/>
              <w:rPr>
                <w:sz w:val="4"/>
                <w:szCs w:val="4"/>
              </w:rPr>
            </w:pPr>
            <w:r>
              <w:rPr>
                <w:sz w:val="4"/>
                <w:szCs w:val="4"/>
              </w:rPr>
            </w:r>
          </w:p>
        </w:tc>
      </w:tr>
      <w:tr>
        <w:trPr/>
        <w:tc>
          <w:tcPr>
            <w:tcW w:w="322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Carole S. Ben-Maimon, M.D.</w:t>
            </w:r>
          </w:p>
        </w:tc>
      </w:tr>
      <w:tr>
        <w:trPr/>
        <w:tc>
          <w:tcPr>
            <w:tcW w:w="322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Carole S. Ben-Maimon, M.D.</w:t>
            </w:r>
          </w:p>
          <w:p>
            <w:pPr>
              <w:pStyle w:val="TableContents"/>
              <w:bidi w:val="0"/>
              <w:jc w:val="left"/>
              <w:rPr>
                <w:rFonts w:ascii="Times New Roman" w:hAnsi="Times New Roman"/>
                <w:color w:val="000000"/>
                <w:sz w:val="20"/>
              </w:rPr>
            </w:pPr>
            <w:r>
              <w:rPr>
                <w:rFonts w:ascii="Times New Roman" w:hAnsi="Times New Roman"/>
                <w:color w:val="000000"/>
                <w:sz w:val="20"/>
              </w:rPr>
              <w:t>President and Chief Executive Officer</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20"/>
        <w:jc w:val="right"/>
        <w:rPr>
          <w:rFonts w:ascii="Times New Roman" w:hAnsi="Times New Roman"/>
          <w:b/>
          <w:color w:val="000000"/>
          <w:sz w:val="20"/>
        </w:rPr>
      </w:pPr>
      <w:bookmarkStart w:id="23" w:name="lrmr-ex31_2.htm"/>
      <w:bookmarkStart w:id="24" w:name="kslrmrex31_2"/>
      <w:bookmarkEnd w:id="23"/>
      <w:bookmarkEnd w:id="24"/>
      <w:r>
        <w:rPr>
          <w:rFonts w:ascii="Times New Roman" w:hAnsi="Times New Roman"/>
          <w:b/>
          <w:color w:val="000000"/>
          <w:sz w:val="20"/>
        </w:rPr>
        <w:t>Exhibit 31.2</w:t>
      </w:r>
      <w:r>
        <w:br w:type="page"/>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CERTIFICATION</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I, Michael Celano, certify that:</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1. I have reviewed this Quarterly Report on Form 10-Q of Larimar Therapeutics, Inc.;</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4.</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rFonts w:ascii="Times New Roman" w:hAnsi="Times New Roman"/>
          <w:color w:val="000000"/>
          <w:sz w:val="20"/>
        </w:rPr>
      </w:pPr>
      <w:r>
        <w:rPr>
          <w:rFonts w:ascii="Times New Roman" w:hAnsi="Times New Roman"/>
          <w:color w:val="000000"/>
          <w:sz w:val="20"/>
        </w:rPr>
        <w:t xml:space="preserve">Date: May 14, 2026 </w:t>
      </w:r>
    </w:p>
    <w:tbl>
      <w:tblPr>
        <w:tblW w:w="4381" w:type="dxa"/>
        <w:jc w:val="left"/>
        <w:tblInd w:w="0" w:type="dxa"/>
        <w:tblLayout w:type="fixed"/>
        <w:tblCellMar>
          <w:top w:w="28" w:type="dxa"/>
          <w:left w:w="28" w:type="dxa"/>
          <w:bottom w:w="28" w:type="dxa"/>
          <w:right w:w="28" w:type="dxa"/>
        </w:tblCellMar>
      </w:tblPr>
      <w:tblGrid>
        <w:gridCol w:w="4381"/>
      </w:tblGrid>
      <w:tr>
        <w:trPr/>
        <w:tc>
          <w:tcPr>
            <w:tcW w:w="4381" w:type="dxa"/>
            <w:tcBorders/>
            <w:vAlign w:val="center"/>
          </w:tcPr>
          <w:p>
            <w:pPr>
              <w:pStyle w:val="TableContents"/>
              <w:bidi w:val="0"/>
              <w:spacing w:before="0" w:after="283"/>
              <w:jc w:val="left"/>
              <w:rPr>
                <w:sz w:val="4"/>
                <w:szCs w:val="4"/>
              </w:rPr>
            </w:pPr>
            <w:r>
              <w:rPr>
                <w:sz w:val="4"/>
                <w:szCs w:val="4"/>
              </w:rPr>
            </w:r>
          </w:p>
        </w:tc>
      </w:tr>
      <w:tr>
        <w:trPr/>
        <w:tc>
          <w:tcPr>
            <w:tcW w:w="438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Michael Celano</w:t>
            </w:r>
          </w:p>
        </w:tc>
      </w:tr>
      <w:tr>
        <w:trPr/>
        <w:tc>
          <w:tcPr>
            <w:tcW w:w="438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Michael Celano</w:t>
            </w:r>
          </w:p>
          <w:p>
            <w:pPr>
              <w:pStyle w:val="TableContents"/>
              <w:bidi w:val="0"/>
              <w:jc w:val="left"/>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(Principal Financial Officer and Accounting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5" w:name="lrmr-ex32_1.htm"/>
      <w:bookmarkStart w:id="26" w:name="kslrmrex32_1"/>
      <w:bookmarkEnd w:id="25"/>
      <w:bookmarkEnd w:id="26"/>
      <w:r>
        <w:rPr/>
        <w:t> </w:t>
      </w:r>
      <w:r>
        <w:br w:type="page"/>
      </w:r>
    </w:p>
    <w:p>
      <w:pPr>
        <w:pStyle w:val="TextBody"/>
        <w:bidi w:val="0"/>
        <w:spacing w:before="0" w:after="200"/>
        <w:jc w:val="right"/>
        <w:rPr>
          <w:rFonts w:ascii="Times New Roman" w:hAnsi="Times New Roman"/>
          <w:b/>
          <w:color w:val="000000"/>
          <w:sz w:val="20"/>
        </w:rPr>
      </w:pPr>
      <w:r>
        <w:rPr>
          <w:rFonts w:ascii="Times New Roman" w:hAnsi="Times New Roman"/>
          <w:b/>
          <w:color w:val="000000"/>
          <w:sz w:val="20"/>
        </w:rPr>
        <w:t>Exhibit 32.1</w:t>
      </w:r>
    </w:p>
    <w:p>
      <w:pPr>
        <w:pStyle w:val="TextBody"/>
        <w:bidi w:val="0"/>
        <w:jc w:val="center"/>
        <w:rPr>
          <w:rFonts w:ascii="Times New Roman" w:hAnsi="Times New Roman"/>
          <w:sz w:val="20"/>
        </w:rPr>
      </w:pPr>
      <w:r>
        <w:rPr>
          <w:rFonts w:ascii="Times New Roman" w:hAnsi="Times New Roman"/>
          <w:b/>
          <w:color w:val="000000"/>
          <w:sz w:val="20"/>
        </w:rPr>
        <w:t>CERTIFICATION</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906 of the Sarbanes-Oxley Act of 2002</w:t>
      </w:r>
    </w:p>
    <w:p>
      <w:pPr>
        <w:pStyle w:val="TextBody"/>
        <w:bidi w:val="0"/>
        <w:jc w:val="center"/>
        <w:rPr>
          <w:rFonts w:ascii="Times New Roman" w:hAnsi="Times New Roman"/>
          <w:b/>
          <w:color w:val="000000"/>
          <w:sz w:val="20"/>
        </w:rPr>
      </w:pPr>
      <w:r>
        <w:rPr>
          <w:rFonts w:ascii="Times New Roman" w:hAnsi="Times New Roman"/>
          <w:b/>
          <w:color w:val="000000"/>
          <w:sz w:val="20"/>
        </w:rPr>
        <w:t>(Subsections (a) and (b) of Section 1350, Chapter 63 of Title 18, United States Code)</w:t>
      </w:r>
    </w:p>
    <w:p>
      <w:pPr>
        <w:pStyle w:val="TextBody"/>
        <w:bidi w:val="0"/>
        <w:jc w:val="center"/>
        <w:rPr/>
      </w:pPr>
      <w:r>
        <w:rPr/>
        <w:t>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Pursuant to Section 906 of the Sarbanes-Oxley Act of 2002 (subsections (a) and (b) of section 1350, chapter 63 of title 18, United States Code), each of the undersigned officers of Larimar Therapeutics, Inc. (the “Company”), does hereby certify, to the best of such officer’s knowledge, that:</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The Quarterly Report on Form 10-Q for the quarter ended March 31, 2026 (the “Report”) of the Company fully complies with the requirements of Section 13(a) or 15(d) of the Securities Exchange Act of 1934; and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tbl>
      <w:tblPr>
        <w:tblW w:w="6065" w:type="dxa"/>
        <w:jc w:val="left"/>
        <w:tblInd w:w="0" w:type="dxa"/>
        <w:tblLayout w:type="fixed"/>
        <w:tblCellMar>
          <w:top w:w="28" w:type="dxa"/>
          <w:left w:w="28" w:type="dxa"/>
          <w:bottom w:w="28" w:type="dxa"/>
          <w:right w:w="28" w:type="dxa"/>
        </w:tblCellMar>
      </w:tblPr>
      <w:tblGrid>
        <w:gridCol w:w="1741"/>
        <w:gridCol w:w="146"/>
        <w:gridCol w:w="146"/>
        <w:gridCol w:w="146"/>
        <w:gridCol w:w="3886"/>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86"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14,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86" w:type="dxa"/>
            <w:tcBorders>
              <w:bottom w:val="single" w:sz="4"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 Carole S. Ben-Maimon, M.D.</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8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Carole S. Ben-Maimon, M.D.</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8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President and Chief Executive Officer</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8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(Principal Executive Officer)</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14,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86" w:type="dxa"/>
            <w:tcBorders>
              <w:bottom w:val="single" w:sz="4"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 Michael Celano</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8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Michael Celano</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8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Chief Financial Officer</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8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374690/000119312526018664/d27699dex31.htm" TargetMode="External"/><Relationship Id="rId3" Type="http://schemas.openxmlformats.org/officeDocument/2006/relationships/hyperlink" Target="https://www.sec.gov/Archives/edgar/data/1374690/000119312526018664/d27699dex101.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17249</Words>
  <Characters>96268</Characters>
  <CharactersWithSpaces>114340</CharactersWithSpaces>
  <Paragraphs>3649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