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Larimar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040" w:type="dxa"/>
            <w:vAlign w:val="bottom"/>
          </w:tcPr>
          <w:p>
            <w:pPr>
              <w:jc w:val="center"/>
              <w:ind w:right="2319"/>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ind w:left="140"/>
              <w:spacing w:after="0"/>
              <w:rPr>
                <w:sz w:val="20"/>
                <w:szCs w:val="20"/>
                <w:color w:val="auto"/>
              </w:rPr>
            </w:pPr>
            <w:r>
              <w:rPr>
                <w:rFonts w:ascii="Arial" w:cs="Arial" w:eastAsia="Arial" w:hAnsi="Arial"/>
                <w:sz w:val="18"/>
                <w:szCs w:val="18"/>
                <w:b w:val="1"/>
                <w:bCs w:val="1"/>
                <w:color w:val="auto"/>
              </w:rPr>
              <w:t>001-36510</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20-3857670</w:t>
            </w:r>
          </w:p>
        </w:tc>
      </w:tr>
      <w:tr>
        <w:trPr>
          <w:trHeight w:val="148"/>
        </w:trPr>
        <w:tc>
          <w:tcPr>
            <w:tcW w:w="4040" w:type="dxa"/>
            <w:vAlign w:val="bottom"/>
          </w:tcPr>
          <w:p>
            <w:pPr>
              <w:jc w:val="center"/>
              <w:ind w:right="2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04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28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40" w:type="dxa"/>
            <w:vAlign w:val="bottom"/>
          </w:tcPr>
          <w:p>
            <w:pPr>
              <w:jc w:val="center"/>
              <w:ind w:left="1179"/>
              <w:spacing w:after="0"/>
              <w:rPr>
                <w:sz w:val="20"/>
                <w:szCs w:val="20"/>
                <w:color w:val="auto"/>
              </w:rPr>
            </w:pPr>
            <w:r>
              <w:rPr>
                <w:rFonts w:ascii="Arial" w:cs="Arial" w:eastAsia="Arial" w:hAnsi="Arial"/>
                <w:sz w:val="18"/>
                <w:szCs w:val="18"/>
                <w:b w:val="1"/>
                <w:bCs w:val="1"/>
                <w:color w:val="auto"/>
                <w:w w:val="90"/>
              </w:rPr>
              <w:t>Three Bala Plaza East, Suite 506</w:t>
            </w: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179"/>
              <w:spacing w:after="0"/>
              <w:rPr>
                <w:sz w:val="20"/>
                <w:szCs w:val="20"/>
                <w:color w:val="auto"/>
              </w:rPr>
            </w:pPr>
            <w:r>
              <w:rPr>
                <w:rFonts w:ascii="Arial" w:cs="Arial" w:eastAsia="Arial" w:hAnsi="Arial"/>
                <w:sz w:val="18"/>
                <w:szCs w:val="18"/>
                <w:b w:val="1"/>
                <w:bCs w:val="1"/>
                <w:color w:val="auto"/>
                <w:w w:val="90"/>
              </w:rPr>
              <w:t>Bala Cynwyd, Pennsylvania</w:t>
            </w:r>
          </w:p>
        </w:tc>
        <w:tc>
          <w:tcPr>
            <w:tcW w:w="22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19004</w:t>
            </w:r>
          </w:p>
        </w:tc>
      </w:tr>
      <w:tr>
        <w:trPr>
          <w:trHeight w:val="186"/>
        </w:trPr>
        <w:tc>
          <w:tcPr>
            <w:tcW w:w="404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(844) 511-9056</w:t>
      </w:r>
    </w:p>
    <w:p>
      <w:pPr>
        <w:spacing w:after="0" w:line="2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LRMR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On May 10, 2021, Larimar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announced its financial results and operational highlights for the first quarter ended March 31, 2021. A copy of the press release is being furnished as Exhibit 99.1 to this Current Report on Form 8-K and is incorporated herein by reference.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this Current Report on Form 8-K and Exhibit 99.1 attached hereto is intended to be furnished and shall not be deemed “filed” for purposes of Section 18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Below is a list of exhibits included with this Current Report on Form 8-K.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5100" w:type="dxa"/>
            <w:vAlign w:val="bottom"/>
            <w:gridSpan w:val="3"/>
          </w:tcPr>
          <w:p>
            <w:pPr>
              <w:ind w:left="4460"/>
              <w:spacing w:after="0"/>
              <w:rPr>
                <w:sz w:val="20"/>
                <w:szCs w:val="20"/>
                <w:color w:val="auto"/>
              </w:rPr>
            </w:pPr>
            <w:r>
              <w:rPr>
                <w:rFonts w:ascii="Arial" w:cs="Arial" w:eastAsia="Arial" w:hAnsi="Arial"/>
                <w:sz w:val="14"/>
                <w:szCs w:val="14"/>
                <w:b w:val="1"/>
                <w:bCs w:val="1"/>
                <w:color w:val="auto"/>
                <w:w w:val="90"/>
              </w:rPr>
              <w:t>Document</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5100" w:type="dxa"/>
            <w:vAlign w:val="bottom"/>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issued by Larimar Therapeutics, Inc. on May 10, 2021*</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ectPr>
          <w:pgSz w:w="11900" w:h="16838" w:orient="portrait"/>
          <w:cols w:equalWidth="0" w:num="1">
            <w:col w:w="11000"/>
          </w:cols>
          <w:pgMar w:left="440" w:top="270"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117"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Name: Carole S. Ben-Maimon, M.D.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i w:val="1"/>
          <w:iCs w:val="1"/>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697355"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9735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Larimar Therapeutics Reports First Quarter 2021 Operating and Financial Results</w:t>
      </w:r>
    </w:p>
    <w:p>
      <w:pPr>
        <w:spacing w:after="0" w:line="229" w:lineRule="exact"/>
        <w:rPr>
          <w:sz w:val="20"/>
          <w:szCs w:val="20"/>
          <w:color w:val="auto"/>
        </w:rPr>
      </w:pPr>
    </w:p>
    <w:p>
      <w:pPr>
        <w:ind w:left="340" w:hanging="113"/>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Topline data from placebo-controlled Phase 1 program in Friedreich’s ataxia patients to be announced tomorrow, May 11, 2021- Management to</w:t>
      </w:r>
    </w:p>
    <w:p>
      <w:pPr>
        <w:spacing w:after="0" w:line="46" w:lineRule="exact"/>
        <w:rPr>
          <w:rFonts w:ascii="Arial" w:cs="Arial" w:eastAsia="Arial" w:hAnsi="Arial"/>
          <w:sz w:val="16"/>
          <w:szCs w:val="16"/>
          <w:color w:val="auto"/>
        </w:rPr>
      </w:pPr>
    </w:p>
    <w:p>
      <w:pPr>
        <w:ind w:left="3480"/>
        <w:spacing w:after="0"/>
        <w:rPr>
          <w:rFonts w:ascii="Arial" w:cs="Arial" w:eastAsia="Arial" w:hAnsi="Arial"/>
          <w:sz w:val="16"/>
          <w:szCs w:val="16"/>
          <w:color w:val="auto"/>
        </w:rPr>
      </w:pPr>
      <w:r>
        <w:rPr>
          <w:rFonts w:ascii="Arial" w:cs="Arial" w:eastAsia="Arial" w:hAnsi="Arial"/>
          <w:sz w:val="18"/>
          <w:szCs w:val="18"/>
          <w:i w:val="1"/>
          <w:iCs w:val="1"/>
          <w:color w:val="auto"/>
        </w:rPr>
        <w:t>discuss during webcast and conference call at 8 a.m. ET</w:t>
      </w:r>
    </w:p>
    <w:p>
      <w:pPr>
        <w:spacing w:after="0" w:line="211" w:lineRule="exact"/>
        <w:rPr>
          <w:sz w:val="20"/>
          <w:szCs w:val="20"/>
          <w:color w:val="auto"/>
        </w:rPr>
      </w:pPr>
    </w:p>
    <w:p>
      <w:pPr>
        <w:ind w:left="3380" w:hanging="99"/>
        <w:spacing w:after="0"/>
        <w:tabs>
          <w:tab w:leader="none" w:pos="33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Cash and investments of $81.4 million as of March 31, 2021</w:t>
      </w:r>
    </w:p>
    <w:p>
      <w:pPr>
        <w:spacing w:after="0" w:line="221"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Bala Cynwyd, PA, </w:t>
      </w:r>
      <w:r>
        <w:rPr>
          <w:rFonts w:ascii="Arial" w:cs="Arial" w:eastAsia="Arial" w:hAnsi="Arial"/>
          <w:sz w:val="18"/>
          <w:szCs w:val="18"/>
          <w:color w:val="auto"/>
        </w:rPr>
        <w:t>May 10, 2021 – Larimar Therapeutics, Inc. (“Larimar”) (Nasdaq: LRMR), a clinical-stage biotechnology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treatments for complex rare diseases, today reported its first quarter 2021 operating and financial results.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Phase 1 program in Friedreich’s ataxia (FA) made strong progress over the past few months and we will be announcing topline data from the program tomorrow,” said Carole Ben-Maimon, MD, President and Chief Executive Officer of Larimar. “In addition to safety and tolerability findings, the upcoming announcement will include pharmacodynamic data assessing frataxin levels in buccal cells, skin, and platelets. These data provide important insights that we expect will inform CTI-1601’s further development, as FA is caused by patients’ inability to produce sufficient amounts of frataxin and CTI-1601 is the only drug candidate that we are aware of in clinical development that is designed to address the root cause of the disease by delivering this crucial protein to patients.”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Highlights</w:t>
      </w:r>
    </w:p>
    <w:p>
      <w:pPr>
        <w:spacing w:after="0" w:line="135" w:lineRule="exact"/>
        <w:rPr>
          <w:sz w:val="20"/>
          <w:szCs w:val="20"/>
          <w:color w:val="auto"/>
        </w:rPr>
      </w:pPr>
    </w:p>
    <w:p>
      <w:pPr>
        <w:ind w:left="960" w:right="9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dosing in its double-blind, placebo controlled, multiple ascending dose (MAD) clinical trial evaluating CTI-1601 in Friedreich’s ataxia (FA) patients.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and Anticipated 2021 Milestones</w:t>
      </w:r>
    </w:p>
    <w:p>
      <w:pPr>
        <w:spacing w:after="0" w:line="135"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 topline data from placebo-controlled, Phase 1 program in FA patients on May 11,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Jive open-label extension clinical trial: expected in 2H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Multiple Ascending Dose (MAD) trial in patients under 18 years of age: expected in 2H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Company had cash, cash equivalents, and marketable debt securities totaling $81.4 million.</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reported a net loss for the first quarter of 2021 of $12.1 million, or $0.76 per share, compared to a net loss of $6.7 million, or $1.10 per share, for the first quarter of 2020.</w:t>
      </w:r>
    </w:p>
    <w:p>
      <w:pPr>
        <w:spacing w:after="0" w:line="17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Research and development expenses for the first quarter of 2021 were $9.0 million compared to $5.0 million for the first quarter of 2020. The increase in research and development expenses compared to the prior year period was primarily driven by higher clinical supply manufacturing costs, an increase in clinical trial costs, an increase in personnel related costs due to headcount additions in our research and development functions, an increase in stock compensation expense associated with stock option grants made in 2020 and Q1 2021 and increases in non-clinical study costs.</w:t>
      </w:r>
    </w:p>
    <w:p>
      <w:pPr>
        <w:sectPr>
          <w:pgSz w:w="11900" w:h="16838" w:orient="portrait"/>
          <w:cols w:equalWidth="0" w:num="1">
            <w:col w:w="11020"/>
          </w:cols>
          <w:pgMar w:left="440" w:top="121" w:right="439" w:bottom="1440" w:gutter="0" w:footer="0" w:header="0"/>
        </w:sectPr>
      </w:pPr>
    </w:p>
    <w:bookmarkStart w:id="4" w:name="page5"/>
    <w:bookmarkEnd w:id="4"/>
    <w:p>
      <w:pPr>
        <w:ind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and administrative expenses for the first quarter of 2021 were $3.1 million, compared to $1.7 million for the first quarter of 2020. The increase in general and administrative expenses as compared to the prior year period was primarily driven by an increase in personnel related costs due to increased headcount, and an increase in stock-based compensation associated with stock option grants made in 2020 and in the first quarter of 2021, an increase in professional fees primarily associated with insurance costs, recruiting services, legal and consulting fees as a result of operating as a public company, partially offset by a decrease in accounting and audit costs related to additional years under audit in the first quarter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Larimar will host a conference call and webcast tomorrow, May 11, 2021 at 8:00 a.m. ET to discuss topline data from its placebo-controlled Phase 1 program in FA patients. To access the webcast, please visit this link to the event. To participate by phone please dial 855-327-6837 (domestic) or 631-891-4304 (international) and refer to conference ID 10014696. Following the live event, the archived webcast will be available for 90 days.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Larimar Therapeutics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Larimar Therapeutics, Inc. (Nasdaq: LRMR), is a clinical-stage biotechnology company focused on developing treatments for complex rare diseases. The company’s lead compound, CTI-1601, is currently being evaluated in a Phase 1 clinical program in the U.S. as a potential treatment for FA. Larimar also plans to use its intracellular delivery platform to design other fusion proteins to target additional rare diseases characterized by deficiencies in intracellular bioactive compounds. For more information, please visit: </w:t>
      </w:r>
      <w:r>
        <w:rPr>
          <w:rFonts w:ascii="Arial" w:cs="Arial" w:eastAsia="Arial" w:hAnsi="Arial"/>
          <w:sz w:val="18"/>
          <w:szCs w:val="18"/>
          <w:u w:val="single" w:color="auto"/>
          <w:color w:val="auto"/>
        </w:rPr>
        <w:t>https://larimartx.com</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CTI-1601 and other planned product candidates, Larimar’s planned research and development efforts, and other matters regarding Larimar’s business strategies, use of capital, results of operations and financial position, and plans and objectives for future operations.</w:t>
      </w:r>
    </w:p>
    <w:p>
      <w:pPr>
        <w:spacing w:after="0" w:line="18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studies and clinical trials, including CTI-1601 clinical milestones; the impact of the COVID-19 pandemic on Larimar’s clinical trial, manufacturing, regulatory and nonclinical study timelines, ability to raise additional capital and general economic conditions; Larimar’s ability to optimize and scale CTI-1601’s manufacturing process; Larimar’s ability to obtain regulatory approval for CTI-1601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the Company with the Securities and</w:t>
      </w:r>
    </w:p>
    <w:p>
      <w:pPr>
        <w:sectPr>
          <w:pgSz w:w="11900" w:h="16838" w:orient="portrait"/>
          <w:cols w:equalWidth="0" w:num="1">
            <w:col w:w="11000"/>
          </w:cols>
          <w:pgMar w:left="440" w:top="274" w:right="459" w:bottom="1440" w:gutter="0" w:footer="0" w:header="0"/>
        </w:sectPr>
      </w:pPr>
    </w:p>
    <w:bookmarkStart w:id="5" w:name="page6"/>
    <w:bookmarkEnd w:id="5"/>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views as of the date hereof. Larimar undertakes no obligation to update any forward-looking statements for any reason, except as required by law.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620" w:type="dxa"/>
            <w:vAlign w:val="bottom"/>
            <w:gridSpan w:val="2"/>
          </w:tcPr>
          <w:p>
            <w:pPr>
              <w:ind w:left="1840"/>
              <w:spacing w:after="0"/>
              <w:rPr>
                <w:sz w:val="20"/>
                <w:szCs w:val="20"/>
                <w:color w:val="auto"/>
              </w:rPr>
            </w:pPr>
            <w:r>
              <w:rPr>
                <w:rFonts w:ascii="Arial" w:cs="Arial" w:eastAsia="Arial" w:hAnsi="Arial"/>
                <w:sz w:val="18"/>
                <w:szCs w:val="18"/>
                <w:b w:val="1"/>
                <w:bCs w:val="1"/>
                <w:color w:val="auto"/>
              </w:rPr>
              <w:t>Company Contact: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Joyce Allaire</w:t>
            </w:r>
          </w:p>
        </w:tc>
        <w:tc>
          <w:tcPr>
            <w:tcW w:w="3620" w:type="dxa"/>
            <w:vAlign w:val="bottom"/>
            <w:gridSpan w:val="2"/>
          </w:tcPr>
          <w:p>
            <w:pPr>
              <w:ind w:left="1840"/>
              <w:spacing w:after="0"/>
              <w:rPr>
                <w:sz w:val="20"/>
                <w:szCs w:val="20"/>
                <w:color w:val="auto"/>
              </w:rPr>
            </w:pPr>
            <w:r>
              <w:rPr>
                <w:rFonts w:ascii="Arial" w:cs="Arial" w:eastAsia="Arial" w:hAnsi="Arial"/>
                <w:sz w:val="18"/>
                <w:szCs w:val="18"/>
                <w:color w:val="auto"/>
              </w:rPr>
              <w:t>Michael Celano</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LifeSci Advisors</w:t>
            </w:r>
          </w:p>
        </w:tc>
        <w:tc>
          <w:tcPr>
            <w:tcW w:w="3620" w:type="dxa"/>
            <w:vAlign w:val="bottom"/>
            <w:gridSpan w:val="2"/>
          </w:tcPr>
          <w:p>
            <w:pPr>
              <w:ind w:left="1840"/>
              <w:spacing w:after="0"/>
              <w:rPr>
                <w:sz w:val="20"/>
                <w:szCs w:val="20"/>
                <w:color w:val="auto"/>
              </w:rPr>
            </w:pPr>
            <w:r>
              <w:rPr>
                <w:rFonts w:ascii="Arial" w:cs="Arial" w:eastAsia="Arial" w:hAnsi="Arial"/>
                <w:sz w:val="18"/>
                <w:szCs w:val="18"/>
                <w:color w:val="auto"/>
                <w:w w:val="99"/>
              </w:rPr>
              <w:t>Chief Financial Officer</w:t>
            </w:r>
          </w:p>
        </w:tc>
      </w:tr>
      <w:tr>
        <w:trPr>
          <w:trHeight w:val="190"/>
        </w:trPr>
        <w:tc>
          <w:tcPr>
            <w:tcW w:w="2060" w:type="dxa"/>
            <w:vAlign w:val="bottom"/>
          </w:tcPr>
          <w:p>
            <w:pPr>
              <w:spacing w:after="0" w:line="190" w:lineRule="exact"/>
              <w:rPr>
                <w:sz w:val="20"/>
                <w:szCs w:val="20"/>
                <w:color w:val="auto"/>
              </w:rPr>
            </w:pPr>
            <w:r>
              <w:rPr>
                <w:rFonts w:ascii="Arial" w:cs="Arial" w:eastAsia="Arial" w:hAnsi="Arial"/>
                <w:sz w:val="18"/>
                <w:szCs w:val="18"/>
                <w:color w:val="auto"/>
                <w:w w:val="92"/>
              </w:rPr>
              <w:t>jallaire@lifesciadvisors.com</w:t>
            </w:r>
          </w:p>
        </w:tc>
        <w:tc>
          <w:tcPr>
            <w:tcW w:w="1840" w:type="dxa"/>
            <w:vAlign w:val="bottom"/>
          </w:tcPr>
          <w:p>
            <w:pPr>
              <w:spacing w:after="0"/>
              <w:rPr>
                <w:sz w:val="16"/>
                <w:szCs w:val="16"/>
                <w:color w:val="auto"/>
              </w:rPr>
            </w:pPr>
          </w:p>
        </w:tc>
        <w:tc>
          <w:tcPr>
            <w:tcW w:w="3620" w:type="dxa"/>
            <w:vAlign w:val="bottom"/>
            <w:gridSpan w:val="2"/>
          </w:tcPr>
          <w:p>
            <w:pPr>
              <w:ind w:left="1840"/>
              <w:spacing w:after="0" w:line="190" w:lineRule="exact"/>
              <w:rPr>
                <w:sz w:val="20"/>
                <w:szCs w:val="20"/>
                <w:color w:val="auto"/>
              </w:rPr>
            </w:pPr>
            <w:r>
              <w:rPr>
                <w:rFonts w:ascii="Arial" w:cs="Arial" w:eastAsia="Arial" w:hAnsi="Arial"/>
                <w:sz w:val="18"/>
                <w:szCs w:val="18"/>
                <w:color w:val="auto"/>
                <w:w w:val="90"/>
              </w:rPr>
              <w:t>mcelano@larimartx.com</w:t>
            </w:r>
          </w:p>
        </w:tc>
      </w:tr>
      <w:tr>
        <w:trPr>
          <w:trHeight w:val="20"/>
        </w:trPr>
        <w:tc>
          <w:tcPr>
            <w:tcW w:w="20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(212) 915-2569</w:t>
            </w:r>
          </w:p>
        </w:tc>
        <w:tc>
          <w:tcPr>
            <w:tcW w:w="1840" w:type="dxa"/>
            <w:vAlign w:val="bottom"/>
          </w:tcPr>
          <w:p>
            <w:pPr>
              <w:spacing w:after="0"/>
              <w:rPr>
                <w:sz w:val="20"/>
                <w:szCs w:val="20"/>
                <w:color w:val="auto"/>
              </w:rPr>
            </w:pPr>
          </w:p>
        </w:tc>
        <w:tc>
          <w:tcPr>
            <w:tcW w:w="3620" w:type="dxa"/>
            <w:vAlign w:val="bottom"/>
            <w:gridSpan w:val="2"/>
          </w:tcPr>
          <w:p>
            <w:pPr>
              <w:ind w:left="1840"/>
              <w:spacing w:after="0"/>
              <w:rPr>
                <w:sz w:val="20"/>
                <w:szCs w:val="20"/>
                <w:color w:val="auto"/>
              </w:rPr>
            </w:pPr>
            <w:r>
              <w:rPr>
                <w:rFonts w:ascii="Arial" w:cs="Arial" w:eastAsia="Arial" w:hAnsi="Arial"/>
                <w:sz w:val="18"/>
                <w:szCs w:val="18"/>
                <w:color w:val="auto"/>
              </w:rPr>
              <w:t>(484) 414-2715</w:t>
            </w:r>
          </w:p>
        </w:tc>
      </w:tr>
    </w:tbl>
    <w:p>
      <w:pPr>
        <w:sectPr>
          <w:pgSz w:w="11900" w:h="16838" w:orient="portrait"/>
          <w:cols w:equalWidth="0" w:num="1">
            <w:col w:w="10940"/>
          </w:cols>
          <w:pgMar w:left="440" w:top="274" w:right="5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LARIMAR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r>
        <w:rPr>
          <w:rFonts w:ascii="Arial" w:cs="Arial" w:eastAsia="Arial" w:hAnsi="Arial"/>
          <w:sz w:val="18"/>
          <w:szCs w:val="18"/>
          <w:b w:val="1"/>
          <w:bCs w:val="1"/>
          <w:color w:val="auto"/>
        </w:rPr>
        <w: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62,193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68,148</w:t>
            </w:r>
          </w:p>
        </w:tc>
        <w:tc>
          <w:tcPr>
            <w:tcW w:w="0" w:type="dxa"/>
            <w:vAlign w:val="bottom"/>
          </w:tcPr>
          <w:p>
            <w:pPr>
              <w:spacing w:after="0"/>
              <w:rPr>
                <w:sz w:val="1"/>
                <w:szCs w:val="1"/>
                <w:color w:val="auto"/>
              </w:rPr>
            </w:pPr>
          </w:p>
        </w:tc>
      </w:tr>
      <w:tr>
        <w:trPr>
          <w:trHeight w:val="216"/>
        </w:trPr>
        <w:tc>
          <w:tcPr>
            <w:tcW w:w="9060" w:type="dxa"/>
            <w:vAlign w:val="bottom"/>
          </w:tcPr>
          <w:p>
            <w:pPr>
              <w:ind w:left="720"/>
              <w:spacing w:after="0"/>
              <w:rPr>
                <w:sz w:val="20"/>
                <w:szCs w:val="20"/>
                <w:color w:val="auto"/>
              </w:rPr>
            </w:pPr>
            <w:r>
              <w:rPr>
                <w:rFonts w:ascii="Arial" w:cs="Arial" w:eastAsia="Arial" w:hAnsi="Arial"/>
                <w:sz w:val="18"/>
                <w:szCs w:val="18"/>
                <w:color w:val="auto"/>
              </w:rPr>
              <w:t>Marketable debt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19,245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24,490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23"/>
        </w:trPr>
        <w:tc>
          <w:tcPr>
            <w:tcW w:w="9060" w:type="dxa"/>
            <w:vAlign w:val="bottom"/>
          </w:tcPr>
          <w:p>
            <w:pPr>
              <w:ind w:left="108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86,127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3,805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93,019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104,686</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3,230</w:t>
            </w: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5,843</w:t>
            </w:r>
          </w:p>
        </w:tc>
        <w:tc>
          <w:tcPr>
            <w:tcW w:w="0" w:type="dxa"/>
            <w:vAlign w:val="bottom"/>
          </w:tcPr>
          <w:p>
            <w:pPr>
              <w:spacing w:after="0"/>
              <w:rPr>
                <w:sz w:val="1"/>
                <w:szCs w:val="1"/>
                <w:color w:val="auto"/>
              </w:rPr>
            </w:pPr>
          </w:p>
        </w:tc>
      </w:tr>
      <w:tr>
        <w:trPr>
          <w:trHeight w:val="216"/>
        </w:trPr>
        <w:tc>
          <w:tcPr>
            <w:tcW w:w="9060" w:type="dxa"/>
            <w:vAlign w:val="bottom"/>
          </w:tcPr>
          <w:p>
            <w:pPr>
              <w:ind w:left="720"/>
              <w:spacing w:after="0"/>
              <w:rPr>
                <w:sz w:val="20"/>
                <w:szCs w:val="20"/>
                <w:color w:val="auto"/>
              </w:rPr>
            </w:pPr>
            <w:r>
              <w:rPr>
                <w:rFonts w:ascii="Arial" w:cs="Arial" w:eastAsia="Arial" w:hAnsi="Arial"/>
                <w:sz w:val="18"/>
                <w:szCs w:val="18"/>
                <w:color w:val="auto"/>
              </w:rPr>
              <w:t>Operating lease liabilities, 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8,992</w:t>
            </w:r>
          </w:p>
        </w:tc>
        <w:tc>
          <w:tcPr>
            <w:tcW w:w="0" w:type="dxa"/>
            <w:vAlign w:val="bottom"/>
          </w:tcPr>
          <w:p>
            <w:pPr>
              <w:spacing w:after="0"/>
              <w:rPr>
                <w:sz w:val="1"/>
                <w:szCs w:val="1"/>
                <w:color w:val="auto"/>
              </w:rPr>
            </w:pPr>
          </w:p>
        </w:tc>
      </w:tr>
      <w:tr>
        <w:trPr>
          <w:trHeight w:val="216"/>
        </w:trPr>
        <w:tc>
          <w:tcPr>
            <w:tcW w:w="9060" w:type="dxa"/>
            <w:vAlign w:val="bottom"/>
          </w:tcPr>
          <w:p>
            <w:pPr>
              <w:ind w:left="720"/>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14,994</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60" w:type="dxa"/>
            <w:vAlign w:val="bottom"/>
          </w:tcPr>
          <w:p>
            <w:pPr>
              <w:ind w:left="720"/>
              <w:spacing w:after="0" w:line="201" w:lineRule="exact"/>
              <w:rPr>
                <w:sz w:val="20"/>
                <w:szCs w:val="20"/>
                <w:color w:val="auto"/>
              </w:rPr>
            </w:pPr>
            <w:r>
              <w:rPr>
                <w:rFonts w:ascii="Arial" w:cs="Arial" w:eastAsia="Arial" w:hAnsi="Arial"/>
                <w:sz w:val="18"/>
                <w:szCs w:val="18"/>
                <w:color w:val="auto"/>
              </w:rPr>
              <w:t>Preferred stock; $0.001 par value per share; 5,000,000 shares authorized as of March 31, 2021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900"/>
              <w:spacing w:after="0"/>
              <w:rPr>
                <w:sz w:val="20"/>
                <w:szCs w:val="20"/>
                <w:color w:val="auto"/>
              </w:rPr>
            </w:pPr>
            <w:r>
              <w:rPr>
                <w:rFonts w:ascii="Arial" w:cs="Arial" w:eastAsia="Arial" w:hAnsi="Arial"/>
                <w:sz w:val="18"/>
                <w:szCs w:val="18"/>
                <w:color w:val="auto"/>
              </w:rPr>
              <w:t>December 31, 2020; no shares issued and outstanding as of March 31, 2021 and December 31, 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06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Common stock, $0.001 par value per share; 115,000,000 shares authorized as of March 31, 2021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2"/>
              </w:rPr>
              <w:t>December 31, 2020; 15,367,730 shares issued and outstanding as of March 31, 2021 and December 31, 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156,470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155,290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2"/>
              </w:rPr>
              <w:t>(77,702)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(65,614)</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78,784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89,692</w:t>
            </w:r>
          </w:p>
        </w:tc>
        <w:tc>
          <w:tcPr>
            <w:tcW w:w="0" w:type="dxa"/>
            <w:vAlign w:val="bottom"/>
          </w:tcPr>
          <w:p>
            <w:pPr>
              <w:spacing w:after="0"/>
              <w:rPr>
                <w:sz w:val="1"/>
                <w:szCs w:val="1"/>
                <w:color w:val="auto"/>
              </w:rPr>
            </w:pPr>
          </w:p>
        </w:tc>
      </w:tr>
      <w:tr>
        <w:trPr>
          <w:trHeight w:val="223"/>
        </w:trPr>
        <w:tc>
          <w:tcPr>
            <w:tcW w:w="906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93,019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104,686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Larimar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8,974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30"/>
        </w:trPr>
        <w:tc>
          <w:tcPr>
            <w:tcW w:w="86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15,996,133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6,091,250</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2021-05-10T15:24:02Z</dcterms:created>
  <dcterms:modified xsi:type="dcterms:W3CDTF">2021-05-10T15:24:02Z</dcterms:modified>
</cp:coreProperties>
</file>