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Amendment 3</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Under the Securities Exchange Act of 1934</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974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7450" cy="1714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6985</wp:posOffset>
            </wp:positionV>
            <wp:extent cx="49974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7450" cy="17145"/>
                    </a:xfrm>
                    <a:prstGeom prst="rect">
                      <a:avLst/>
                    </a:prstGeom>
                    <a:noFill/>
                  </pic:spPr>
                </pic:pic>
              </a:graphicData>
            </a:graphic>
          </wp:anchor>
        </w:drawing>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974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745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June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974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745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840" w:firstLine="8"/>
        <w:spacing w:after="0" w:line="224" w:lineRule="exact"/>
        <w:tabs>
          <w:tab w:leader="none" w:pos="33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7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871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32" w:lineRule="exact"/>
        <w:rPr>
          <w:sz w:val="20"/>
          <w:szCs w:val="20"/>
          <w:color w:val="auto"/>
        </w:rPr>
      </w:pPr>
    </w:p>
    <w:p>
      <w:pPr>
        <w:ind w:left="1000" w:right="5620" w:hanging="553"/>
        <w:spacing w:after="0" w:line="342"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AIGH Capital Management, LLC. I.R.S. Identification Nos. of above persons (entities only).</w:t>
      </w:r>
    </w:p>
    <w:p>
      <w:pPr>
        <w:spacing w:after="0" w:line="120"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27-4413262</w:t>
      </w:r>
    </w:p>
    <w:p>
      <w:pPr>
        <w:spacing w:after="0" w:line="40" w:lineRule="exact"/>
        <w:rPr>
          <w:sz w:val="20"/>
          <w:szCs w:val="20"/>
          <w:color w:val="auto"/>
        </w:rPr>
      </w:pPr>
    </w:p>
    <w:p>
      <w:pPr>
        <w:ind w:left="1000" w:hanging="55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1280" w:hanging="287"/>
        <w:spacing w:after="0" w:line="207" w:lineRule="exact"/>
        <w:tabs>
          <w:tab w:leader="none" w:pos="12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300" w:hanging="307"/>
        <w:spacing w:after="0" w:line="207" w:lineRule="exact"/>
        <w:tabs>
          <w:tab w:leader="none" w:pos="13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1000" w:hanging="55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4" w:lineRule="exact"/>
        <w:rPr>
          <w:rFonts w:ascii="Arial" w:cs="Arial" w:eastAsia="Arial" w:hAnsi="Arial"/>
          <w:sz w:val="18"/>
          <w:szCs w:val="18"/>
          <w:color w:val="auto"/>
        </w:rPr>
      </w:pPr>
    </w:p>
    <w:p>
      <w:pPr>
        <w:ind w:left="1000" w:hanging="55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2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Maryland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Pr>
          <w:p>
            <w:pPr>
              <w:spacing w:after="0"/>
              <w:rPr>
                <w:sz w:val="18"/>
                <w:szCs w:val="18"/>
                <w:color w:val="auto"/>
              </w:rPr>
            </w:pPr>
          </w:p>
        </w:tc>
        <w:tc>
          <w:tcPr>
            <w:tcW w:w="9300" w:type="dxa"/>
            <w:vAlign w:val="bottom"/>
            <w:vMerge w:val="restart"/>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Pr>
          <w:p>
            <w:pPr>
              <w:spacing w:after="0"/>
              <w:rPr>
                <w:sz w:val="18"/>
                <w:szCs w:val="18"/>
                <w:color w:val="auto"/>
              </w:rPr>
            </w:pPr>
          </w:p>
        </w:tc>
        <w:tc>
          <w:tcPr>
            <w:tcW w:w="9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1"/>
              </w:rPr>
              <w:t>Owned by Each</w:t>
            </w:r>
          </w:p>
        </w:tc>
        <w:tc>
          <w:tcPr>
            <w:tcW w:w="440" w:type="dxa"/>
            <w:vAlign w:val="bottom"/>
          </w:tcPr>
          <w:p>
            <w:pPr>
              <w:spacing w:after="0"/>
              <w:rPr>
                <w:sz w:val="18"/>
                <w:szCs w:val="18"/>
                <w:color w:val="auto"/>
              </w:rPr>
            </w:pPr>
          </w:p>
        </w:tc>
        <w:tc>
          <w:tcPr>
            <w:tcW w:w="9300" w:type="dxa"/>
            <w:vAlign w:val="bottom"/>
            <w:vMerge w:val="restart"/>
          </w:tcPr>
          <w:p>
            <w:pPr>
              <w:jc w:val="right"/>
              <w:ind w:right="8510"/>
              <w:spacing w:after="0"/>
              <w:rPr>
                <w:sz w:val="20"/>
                <w:szCs w:val="20"/>
                <w:color w:val="auto"/>
              </w:rPr>
            </w:pPr>
            <w:r>
              <w:rPr>
                <w:rFonts w:ascii="Arial" w:cs="Arial" w:eastAsia="Arial" w:hAnsi="Arial"/>
                <w:sz w:val="18"/>
                <w:szCs w:val="18"/>
                <w:color w:val="auto"/>
              </w:rPr>
              <w:t>105,650</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Pr>
          <w:p>
            <w:pPr>
              <w:spacing w:after="0"/>
              <w:rPr>
                <w:sz w:val="18"/>
                <w:szCs w:val="18"/>
                <w:color w:val="auto"/>
              </w:rPr>
            </w:pPr>
          </w:p>
        </w:tc>
        <w:tc>
          <w:tcPr>
            <w:tcW w:w="9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4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93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2120" w:hanging="454"/>
        <w:spacing w:after="0"/>
        <w:tabs>
          <w:tab w:leader="none" w:pos="2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1"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b w:val="1"/>
          <w:bCs w:val="1"/>
          <w:color w:val="auto"/>
        </w:rPr>
        <w:t>105,650</w:t>
      </w:r>
    </w:p>
    <w:p>
      <w:pPr>
        <w:spacing w:after="0" w:line="40" w:lineRule="exact"/>
        <w:rPr>
          <w:rFonts w:ascii="Arial" w:cs="Arial" w:eastAsia="Arial" w:hAnsi="Arial"/>
          <w:sz w:val="18"/>
          <w:szCs w:val="18"/>
          <w:color w:val="auto"/>
        </w:rPr>
      </w:pPr>
    </w:p>
    <w:p>
      <w:pPr>
        <w:ind w:left="2120" w:hanging="431"/>
        <w:spacing w:after="0"/>
        <w:tabs>
          <w:tab w:leader="none" w:pos="21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000" w:right="5480" w:hanging="553"/>
        <w:spacing w:after="0" w:line="38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105,650</w:t>
      </w:r>
    </w:p>
    <w:p>
      <w:pPr>
        <w:spacing w:after="0" w:line="2" w:lineRule="exact"/>
        <w:rPr>
          <w:sz w:val="20"/>
          <w:szCs w:val="20"/>
          <w:color w:val="auto"/>
        </w:rPr>
      </w:pPr>
    </w:p>
    <w:p>
      <w:pPr>
        <w:ind w:left="1000" w:hanging="598"/>
        <w:spacing w:after="0" w:line="207" w:lineRule="exact"/>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000" w:hanging="595"/>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.7%</w:t>
      </w:r>
    </w:p>
    <w:p>
      <w:pPr>
        <w:spacing w:after="0" w:line="36" w:lineRule="exact"/>
        <w:rPr>
          <w:rFonts w:ascii="Arial" w:cs="Arial" w:eastAsia="Arial" w:hAnsi="Arial"/>
          <w:sz w:val="18"/>
          <w:szCs w:val="18"/>
          <w:color w:val="auto"/>
        </w:rPr>
      </w:pPr>
    </w:p>
    <w:p>
      <w:pPr>
        <w:ind w:left="1000" w:hanging="59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888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88990"/>
                    </a:xfrm>
                    <a:prstGeom prst="rect">
                      <a:avLst/>
                    </a:prstGeom>
                    <a:noFill/>
                  </pic:spPr>
                </pic:pic>
              </a:graphicData>
            </a:graphic>
          </wp:anchor>
        </w:drawing>
      </w:r>
    </w:p>
    <w:p>
      <w:pPr>
        <w:spacing w:after="0" w:line="232" w:lineRule="exact"/>
        <w:rPr>
          <w:sz w:val="20"/>
          <w:szCs w:val="20"/>
          <w:color w:val="auto"/>
        </w:rPr>
      </w:pPr>
    </w:p>
    <w:p>
      <w:pPr>
        <w:ind w:left="1000" w:hanging="55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 Orin Hirschman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0" w:hanging="55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1280" w:hanging="287"/>
        <w:spacing w:after="0" w:line="207" w:lineRule="exact"/>
        <w:tabs>
          <w:tab w:leader="none" w:pos="128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300" w:hanging="307"/>
        <w:spacing w:after="0" w:line="207" w:lineRule="exact"/>
        <w:tabs>
          <w:tab w:leader="none" w:pos="130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1000" w:hanging="55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4" w:lineRule="exact"/>
        <w:rPr>
          <w:rFonts w:ascii="Arial" w:cs="Arial" w:eastAsia="Arial" w:hAnsi="Arial"/>
          <w:sz w:val="18"/>
          <w:szCs w:val="18"/>
          <w:color w:val="auto"/>
        </w:rPr>
      </w:pPr>
    </w:p>
    <w:p>
      <w:pPr>
        <w:ind w:left="1000" w:hanging="55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21"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United States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9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6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28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1"/>
              </w:rPr>
              <w:t>Owned by Each</w:t>
            </w:r>
          </w:p>
        </w:tc>
        <w:tc>
          <w:tcPr>
            <w:tcW w:w="460" w:type="dxa"/>
            <w:vAlign w:val="bottom"/>
          </w:tcPr>
          <w:p>
            <w:pPr>
              <w:spacing w:after="0"/>
              <w:rPr>
                <w:sz w:val="18"/>
                <w:szCs w:val="18"/>
                <w:color w:val="auto"/>
              </w:rPr>
            </w:pPr>
          </w:p>
        </w:tc>
        <w:tc>
          <w:tcPr>
            <w:tcW w:w="92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105,650</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20"/>
                <w:szCs w:val="20"/>
                <w:color w:val="auto"/>
              </w:rPr>
            </w:pPr>
          </w:p>
        </w:tc>
        <w:tc>
          <w:tcPr>
            <w:tcW w:w="9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28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2120" w:hanging="454"/>
        <w:spacing w:after="0"/>
        <w:tabs>
          <w:tab w:leader="none" w:pos="21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1"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b w:val="1"/>
          <w:bCs w:val="1"/>
          <w:color w:val="auto"/>
        </w:rPr>
        <w:t>105,650</w:t>
      </w:r>
    </w:p>
    <w:p>
      <w:pPr>
        <w:spacing w:after="0" w:line="40" w:lineRule="exact"/>
        <w:rPr>
          <w:rFonts w:ascii="Arial" w:cs="Arial" w:eastAsia="Arial" w:hAnsi="Arial"/>
          <w:sz w:val="18"/>
          <w:szCs w:val="18"/>
          <w:color w:val="auto"/>
        </w:rPr>
      </w:pPr>
    </w:p>
    <w:p>
      <w:pPr>
        <w:ind w:left="2120" w:hanging="431"/>
        <w:spacing w:after="0"/>
        <w:tabs>
          <w:tab w:leader="none" w:pos="212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000" w:hanging="55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b w:val="1"/>
          <w:bCs w:val="1"/>
          <w:color w:val="auto"/>
        </w:rPr>
        <w:t>105,650</w:t>
      </w:r>
    </w:p>
    <w:p>
      <w:pPr>
        <w:spacing w:after="0" w:line="27" w:lineRule="exact"/>
        <w:rPr>
          <w:sz w:val="20"/>
          <w:szCs w:val="20"/>
          <w:color w:val="auto"/>
        </w:rPr>
      </w:pPr>
    </w:p>
    <w:p>
      <w:pPr>
        <w:ind w:left="1000" w:hanging="598"/>
        <w:spacing w:after="0" w:line="207" w:lineRule="exact"/>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000" w:hanging="595"/>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18"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.7%</w:t>
      </w:r>
    </w:p>
    <w:p>
      <w:pPr>
        <w:spacing w:after="0" w:line="24" w:lineRule="exact"/>
        <w:rPr>
          <w:sz w:val="20"/>
          <w:szCs w:val="20"/>
          <w:color w:val="auto"/>
        </w:rPr>
      </w:pPr>
    </w:p>
    <w:p>
      <w:pPr>
        <w:ind w:left="1000" w:hanging="59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Name of Issuer:</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Larimar Therapeutics Inc.</w:t>
      </w:r>
    </w:p>
    <w:p>
      <w:pPr>
        <w:spacing w:after="0" w:line="214" w:lineRule="exact"/>
        <w:rPr>
          <w:sz w:val="20"/>
          <w:szCs w:val="20"/>
          <w:color w:val="auto"/>
        </w:rPr>
      </w:pPr>
    </w:p>
    <w:p>
      <w:pPr>
        <w:ind w:left="700"/>
        <w:spacing w:after="0"/>
        <w:tabs>
          <w:tab w:leader="none" w:pos="10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5"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Three Bala Plaza East. Suite 506</w:t>
      </w:r>
    </w:p>
    <w:p>
      <w:pPr>
        <w:spacing w:after="0" w:line="27" w:lineRule="exact"/>
        <w:rPr>
          <w:sz w:val="20"/>
          <w:szCs w:val="20"/>
          <w:color w:val="auto"/>
        </w:rPr>
      </w:pPr>
    </w:p>
    <w:p>
      <w:pPr>
        <w:jc w:val="center"/>
        <w:ind w:left="1280"/>
        <w:spacing w:after="0"/>
        <w:rPr>
          <w:sz w:val="20"/>
          <w:szCs w:val="20"/>
          <w:color w:val="auto"/>
        </w:rPr>
      </w:pPr>
      <w:r>
        <w:rPr>
          <w:rFonts w:ascii="Arial" w:cs="Arial" w:eastAsia="Arial" w:hAnsi="Arial"/>
          <w:sz w:val="18"/>
          <w:szCs w:val="18"/>
          <w:b w:val="1"/>
          <w:bCs w:val="1"/>
          <w:color w:val="auto"/>
        </w:rPr>
        <w:t>Bala Cynwyd, Pennsylvania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Name of Person Filing:</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Schedule 13G is being jointly filed by each of the following persons pursuant to Rule 13d-1 promulgated by the Securities and</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Exchange Commission pursuant to Section 13 of the Securities Exchange Act of 1934, as amended (the “Act”):</w:t>
      </w:r>
    </w:p>
    <w:p>
      <w:pPr>
        <w:spacing w:after="0" w:line="211" w:lineRule="exact"/>
        <w:rPr>
          <w:sz w:val="20"/>
          <w:szCs w:val="20"/>
          <w:color w:val="auto"/>
        </w:rPr>
      </w:pPr>
    </w:p>
    <w:p>
      <w:pPr>
        <w:jc w:val="both"/>
        <w:ind w:left="2820" w:hanging="278"/>
        <w:spacing w:after="0" w:line="263" w:lineRule="auto"/>
        <w:tabs>
          <w:tab w:leader="none" w:pos="2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AIGH Capital Management, LLC, a Maryland limited liability company ("AIGH LP"), as an Advisor or Sub-Advisor with respect to shares of Common Stock (as defined in Item 2(d) below) held by AIGH Investment Partners, L.P. and WVP Emerging Manger Onshore Fund, LLC;</w:t>
      </w:r>
    </w:p>
    <w:p>
      <w:pPr>
        <w:spacing w:after="0" w:line="183" w:lineRule="exact"/>
        <w:rPr>
          <w:rFonts w:ascii="Arial" w:cs="Arial" w:eastAsia="Arial" w:hAnsi="Arial"/>
          <w:sz w:val="18"/>
          <w:szCs w:val="18"/>
          <w:color w:val="auto"/>
        </w:rPr>
      </w:pPr>
    </w:p>
    <w:p>
      <w:pPr>
        <w:ind w:left="2820" w:hanging="328"/>
        <w:spacing w:after="0" w:line="277" w:lineRule="auto"/>
        <w:tabs>
          <w:tab w:leader="none" w:pos="2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AIGH Investment Partners, L.L.C., a Delaware limited liability company ("AIGH LLC"), with respect to shares of Common Stock (as defined in Item 2(d) below) directly held by it;</w:t>
      </w:r>
    </w:p>
    <w:p>
      <w:pPr>
        <w:spacing w:after="0" w:line="197" w:lineRule="exact"/>
        <w:rPr>
          <w:rFonts w:ascii="Arial" w:cs="Arial" w:eastAsia="Arial" w:hAnsi="Arial"/>
          <w:sz w:val="18"/>
          <w:szCs w:val="18"/>
          <w:color w:val="auto"/>
        </w:rPr>
      </w:pPr>
    </w:p>
    <w:p>
      <w:pPr>
        <w:jc w:val="both"/>
        <w:ind w:left="2820" w:hanging="378"/>
        <w:spacing w:after="0" w:line="263" w:lineRule="auto"/>
        <w:tabs>
          <w:tab w:leader="none" w:pos="2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Orin Hirschman ("Mr. Hirschman"), who is the Managing Member of AIGH Capital Management, LLC and president of AIGH LLC, with respect to shares of Common Stock indirectly held by AIGH LP, directly by AIGH LLC and Mr. Hirschman and his family directly.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principal office and business address of AIGH Capital Management, LLC, AIGH Investment Partners LLC, and Mr. Hirschman is: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6006 Berkeley Avenue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Baltimore MD 21209</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 Citizenship: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Item 2(a) above and Item 4 of each cover page.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Title of Class of Securities:</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Common Stock, $0.001 par value</w:t>
      </w:r>
    </w:p>
    <w:p>
      <w:pPr>
        <w:spacing w:after="0" w:line="214" w:lineRule="exact"/>
        <w:rPr>
          <w:sz w:val="20"/>
          <w:szCs w:val="20"/>
          <w:color w:val="auto"/>
        </w:rPr>
      </w:pPr>
    </w:p>
    <w:p>
      <w:pPr>
        <w:ind w:left="1300" w:right="8980" w:hanging="644"/>
        <w:spacing w:after="0" w:line="578" w:lineRule="auto"/>
        <w:tabs>
          <w:tab w:leader="none" w:pos="942"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517125100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21" w:right="359" w:bottom="1440" w:gutter="0" w:footer="0" w:header="0"/>
        </w:sectPr>
      </w:pPr>
    </w:p>
    <w:bookmarkStart w:id="4" w:name="page5"/>
    <w:bookmarkEnd w:id="4"/>
    <w:p>
      <w:pPr>
        <w:ind w:right="200"/>
        <w:spacing w:after="0" w:line="282" w:lineRule="auto"/>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33" w:lineRule="exact"/>
        <w:rPr>
          <w:sz w:val="20"/>
          <w:szCs w:val="20"/>
          <w:color w:val="auto"/>
        </w:rPr>
      </w:pPr>
    </w:p>
    <w:p>
      <w:pPr>
        <w:ind w:left="2040" w:hanging="898"/>
        <w:spacing w:after="0" w:line="207" w:lineRule="exact"/>
        <w:tabs>
          <w:tab w:leader="none" w:pos="2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2040" w:hanging="898"/>
        <w:spacing w:after="0" w:line="207" w:lineRule="exact"/>
        <w:tabs>
          <w:tab w:leader="none" w:pos="2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2040" w:hanging="898"/>
        <w:spacing w:after="0" w:line="207" w:lineRule="exact"/>
        <w:tabs>
          <w:tab w:leader="none" w:pos="2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2040" w:hanging="898"/>
        <w:spacing w:after="0" w:line="207" w:lineRule="exact"/>
        <w:tabs>
          <w:tab w:leader="none" w:pos="2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2040" w:hanging="898"/>
        <w:spacing w:after="0" w:line="207" w:lineRule="exact"/>
        <w:tabs>
          <w:tab w:leader="none" w:pos="2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2040" w:hanging="898"/>
        <w:spacing w:after="0" w:line="207" w:lineRule="exact"/>
        <w:tabs>
          <w:tab w:leader="none" w:pos="2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2040" w:hanging="898"/>
        <w:spacing w:after="0" w:line="207" w:lineRule="exact"/>
        <w:tabs>
          <w:tab w:leader="none" w:pos="2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2040" w:hanging="898"/>
        <w:spacing w:after="0" w:line="207" w:lineRule="exact"/>
        <w:tabs>
          <w:tab w:leader="none" w:pos="2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2600" w:hanging="1458"/>
        <w:spacing w:after="0" w:line="223" w:lineRule="exact"/>
        <w:tabs>
          <w:tab w:leader="none" w:pos="2046"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16" w:lineRule="exact"/>
        <w:rPr>
          <w:rFonts w:ascii="Arial" w:cs="Arial" w:eastAsia="Arial" w:hAnsi="Arial"/>
          <w:sz w:val="18"/>
          <w:szCs w:val="18"/>
          <w:color w:val="auto"/>
        </w:rPr>
      </w:pPr>
    </w:p>
    <w:p>
      <w:pPr>
        <w:ind w:left="2040" w:hanging="898"/>
        <w:spacing w:after="0" w:line="207" w:lineRule="exact"/>
        <w:tabs>
          <w:tab w:leader="none" w:pos="2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§240.13d-1(b)(1)(ii)(J);</w:t>
      </w:r>
    </w:p>
    <w:p>
      <w:pPr>
        <w:spacing w:after="0" w:line="252" w:lineRule="exact"/>
        <w:rPr>
          <w:rFonts w:ascii="Arial" w:cs="Arial" w:eastAsia="Arial" w:hAnsi="Arial"/>
          <w:sz w:val="18"/>
          <w:szCs w:val="18"/>
          <w:color w:val="auto"/>
        </w:rPr>
      </w:pPr>
    </w:p>
    <w:p>
      <w:pPr>
        <w:ind w:left="2040" w:hanging="898"/>
        <w:spacing w:after="0" w:line="207" w:lineRule="exact"/>
        <w:tabs>
          <w:tab w:leader="none" w:pos="2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§240.13d-1(b)(1)(ii)(K).</w:t>
      </w:r>
    </w:p>
    <w:p>
      <w:pPr>
        <w:spacing w:after="0" w:line="271"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If filing as a non-U.S. institution in accordance with §240.13d-1(b)(1)(ii)(J), please specify the type of institution:</w:t>
      </w:r>
    </w:p>
    <w:p>
      <w:pPr>
        <w:spacing w:after="0" w:line="3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___________________________.</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s 5,6,7,8 and 9 of each cover page.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left="660" w:right="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56" w:lineRule="exact"/>
        <w:rPr>
          <w:sz w:val="20"/>
          <w:szCs w:val="20"/>
          <w:color w:val="auto"/>
        </w:rPr>
      </w:pPr>
    </w:p>
    <w:p>
      <w:pPr>
        <w:jc w:val="center"/>
        <w:ind w:right="87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56"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June 5, 2020</w:t>
      </w:r>
      <w:r>
        <w:rPr>
          <w:sz w:val="20"/>
          <w:szCs w:val="20"/>
          <w:color w:val="auto"/>
        </w:rPr>
        <w:tab/>
      </w:r>
      <w:r>
        <w:rPr>
          <w:rFonts w:ascii="Arial" w:cs="Arial" w:eastAsia="Arial" w:hAnsi="Arial"/>
          <w:sz w:val="17"/>
          <w:szCs w:val="17"/>
          <w:color w:val="auto"/>
        </w:rPr>
        <w:t>By: /s/ Orin Hirschman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24257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7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Orin Hirschman,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Individually and as (a) managing member of AIGH</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Capital Management LLC.: and (b) president of</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AIGH Investment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lvl w:ilvl="1">
      <w:lvlJc w:val="left"/>
      <w:lvlText w:val="(%2)"/>
      <w:numFmt w:val="lowerLetter"/>
      <w:start w:val="1"/>
    </w:lvl>
  </w:abstractNum>
  <w:abstractNum w:abstractNumId="3">
    <w:nsid w:val="5BD062C2"/>
    <w:multiLevelType w:val="hybridMultilevel"/>
    <w:lvl w:ilvl="0">
      <w:lvlJc w:val="left"/>
      <w:lvlText w:val="%1"/>
      <w:numFmt w:val="decimal"/>
      <w:start w:val="1"/>
    </w:lvl>
    <w:lvl w:ilvl="1">
      <w:lvlJc w:val="left"/>
      <w:lvlText w:val="%2."/>
      <w:numFmt w:val="decimal"/>
      <w:start w:val="7"/>
    </w:lvl>
    <w:lvl w:ilvl="2">
      <w:lvlJc w:val="left"/>
      <w:lvlText w:val="%3."/>
      <w:numFmt w:val="decimal"/>
      <w:start w:val="8"/>
    </w:lvl>
  </w:abstractNum>
  <w:abstractNum w:abstractNumId="4">
    <w:nsid w:val="12200854"/>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5">
    <w:nsid w:val="4DB127F8"/>
    <w:multiLevelType w:val="hybridMultilevel"/>
    <w:lvl w:ilvl="0">
      <w:lvlJc w:val="left"/>
      <w:lvlText w:val="%1."/>
      <w:numFmt w:val="decimal"/>
      <w:start w:val="10"/>
    </w:lvl>
  </w:abstractNum>
  <w:abstractNum w:abstractNumId="6">
    <w:nsid w:val="216231B"/>
    <w:multiLevelType w:val="hybridMultilevel"/>
    <w:lvl w:ilvl="0">
      <w:lvlJc w:val="left"/>
      <w:lvlText w:val="%1."/>
      <w:numFmt w:val="decimal"/>
      <w:start w:val="1"/>
    </w:lvl>
    <w:lvl w:ilvl="1">
      <w:lvlJc w:val="left"/>
      <w:lvlText w:val="(%2)"/>
      <w:numFmt w:val="lowerLetter"/>
      <w:start w:val="1"/>
    </w:lvl>
  </w:abstractNum>
  <w:abstractNum w:abstractNumId="7">
    <w:nsid w:val="1F16E9E8"/>
    <w:multiLevelType w:val="hybridMultilevel"/>
    <w:lvl w:ilvl="0">
      <w:lvlJc w:val="left"/>
      <w:lvlText w:val="%1"/>
      <w:numFmt w:val="decimal"/>
      <w:start w:val="1"/>
    </w:lvl>
    <w:lvl w:ilvl="1">
      <w:lvlJc w:val="left"/>
      <w:lvlText w:val="%2."/>
      <w:numFmt w:val="decimal"/>
      <w:start w:val="7"/>
    </w:lvl>
    <w:lvl w:ilvl="2">
      <w:lvlJc w:val="left"/>
      <w:lvlText w:val="%3."/>
      <w:numFmt w:val="decimal"/>
      <w:start w:val="8"/>
    </w:lvl>
  </w:abstractNum>
  <w:abstractNum w:abstractNumId="8">
    <w:nsid w:val="1190CDE7"/>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2"/>
    </w:lvl>
  </w:abstractNum>
  <w:abstractNum w:abstractNumId="11">
    <w:nsid w:val="3352255A"/>
    <w:multiLevelType w:val="hybridMultilevel"/>
    <w:lvl w:ilvl="0">
      <w:lvlJc w:val="left"/>
      <w:lvlText w:val="(%1)"/>
      <w:numFmt w:val="lowerRoman"/>
      <w:start w:val="1"/>
    </w:lvl>
  </w:abstractNum>
  <w:abstractNum w:abstractNumId="12">
    <w:nsid w:val="109CF92E"/>
    <w:multiLevelType w:val="hybridMultilevel"/>
    <w:lvl w:ilvl="0">
      <w:lvlJc w:val="left"/>
      <w:lvlText w:val="(%1)"/>
      <w:numFmt w:val="lowerLetter"/>
      <w:start w:val="5"/>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2020-06-05T15:19:52Z</dcterms:created>
  <dcterms:modified xsi:type="dcterms:W3CDTF">2020-06-05T15:19:52Z</dcterms:modified>
</cp:coreProperties>
</file>