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 w:lineRule="exact"/>
        <w:rPr>
          <w:sz w:val="24"/>
          <w:szCs w:val="24"/>
          <w:color w:val="auto"/>
        </w:rPr>
      </w:pPr>
    </w:p>
    <w:p>
      <w:pPr>
        <w:ind w:left="3880" w:right="1560" w:hanging="3864"/>
        <w:spacing w:after="0" w:line="297" w:lineRule="auto"/>
        <w:tabs>
          <w:tab w:leader="none" w:pos="5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340" w:right="1560" w:hanging="4324"/>
        <w:spacing w:after="0" w:line="328" w:lineRule="auto"/>
        <w:tabs>
          <w:tab w:leader="none" w:pos="52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001-36510</w:t>
      </w: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LARIMAR THERAPEUTICS, INC.</w:t>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060" w:type="dxa"/>
            <w:vAlign w:val="bottom"/>
          </w:tcPr>
          <w:p>
            <w:pPr>
              <w:jc w:val="center"/>
              <w:ind w:left="1504"/>
              <w:spacing w:after="0"/>
              <w:rPr>
                <w:sz w:val="20"/>
                <w:szCs w:val="20"/>
                <w:color w:val="auto"/>
              </w:rPr>
            </w:pPr>
            <w:r>
              <w:rPr>
                <w:rFonts w:ascii="Arial" w:cs="Arial" w:eastAsia="Arial" w:hAnsi="Arial"/>
                <w:sz w:val="18"/>
                <w:szCs w:val="18"/>
                <w:b w:val="1"/>
                <w:bCs w:val="1"/>
                <w:color w:val="auto"/>
                <w:w w:val="91"/>
              </w:rPr>
              <w:t>Delaware</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60" w:type="dxa"/>
            <w:vAlign w:val="bottom"/>
          </w:tcPr>
          <w:p>
            <w:pPr>
              <w:jc w:val="right"/>
              <w:ind w:right="2305"/>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60" w:type="dxa"/>
            <w:vAlign w:val="bottom"/>
          </w:tcPr>
          <w:p>
            <w:pPr>
              <w:jc w:val="center"/>
              <w:ind w:left="150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85"/>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left="1504"/>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5"/>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060" w:type="dxa"/>
            <w:vAlign w:val="bottom"/>
          </w:tcPr>
          <w:p>
            <w:pPr>
              <w:jc w:val="center"/>
              <w:ind w:left="1484"/>
              <w:spacing w:after="0"/>
              <w:rPr>
                <w:sz w:val="20"/>
                <w:szCs w:val="20"/>
                <w:color w:val="auto"/>
              </w:rPr>
            </w:pPr>
            <w:r>
              <w:rPr>
                <w:rFonts w:ascii="Arial" w:cs="Arial" w:eastAsia="Arial" w:hAnsi="Arial"/>
                <w:sz w:val="18"/>
                <w:szCs w:val="18"/>
                <w:b w:val="1"/>
                <w:bCs w:val="1"/>
                <w:color w:val="auto"/>
                <w:w w:val="90"/>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5"/>
              <w:spacing w:after="0"/>
              <w:rPr>
                <w:sz w:val="20"/>
                <w:szCs w:val="20"/>
                <w:color w:val="auto"/>
              </w:rPr>
            </w:pPr>
            <w:r>
              <w:rPr>
                <w:rFonts w:ascii="Arial" w:cs="Arial" w:eastAsia="Arial" w:hAnsi="Arial"/>
                <w:sz w:val="18"/>
                <w:szCs w:val="18"/>
                <w:b w:val="1"/>
                <w:bCs w:val="1"/>
                <w:color w:val="auto"/>
              </w:rPr>
              <w:t>19004</w:t>
            </w:r>
          </w:p>
        </w:tc>
      </w:tr>
      <w:tr>
        <w:trPr>
          <w:trHeight w:val="198"/>
        </w:trPr>
        <w:tc>
          <w:tcPr>
            <w:tcW w:w="4060" w:type="dxa"/>
            <w:vAlign w:val="bottom"/>
          </w:tcPr>
          <w:p>
            <w:pPr>
              <w:ind w:left="2120"/>
              <w:spacing w:after="0" w:line="198" w:lineRule="exact"/>
              <w:rPr>
                <w:sz w:val="20"/>
                <w:szCs w:val="20"/>
                <w:color w:val="auto"/>
              </w:rPr>
            </w:pPr>
            <w:r>
              <w:rPr>
                <w:rFonts w:ascii="Arial" w:cs="Arial" w:eastAsia="Arial" w:hAnsi="Arial"/>
                <w:sz w:val="18"/>
                <w:szCs w:val="18"/>
                <w:b w:val="1"/>
                <w:bCs w:val="1"/>
                <w:color w:val="auto"/>
              </w:rPr>
              <w:t>Bala Cynwyd, PA</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60" w:type="dxa"/>
            <w:vAlign w:val="bottom"/>
          </w:tcPr>
          <w:p>
            <w:pPr>
              <w:jc w:val="center"/>
              <w:ind w:right="1785"/>
              <w:spacing w:after="0"/>
              <w:rPr>
                <w:sz w:val="20"/>
                <w:szCs w:val="20"/>
                <w:color w:val="auto"/>
              </w:rPr>
            </w:pPr>
            <w:r>
              <w:rPr>
                <w:rFonts w:ascii="Arial" w:cs="Arial" w:eastAsia="Arial" w:hAnsi="Arial"/>
                <w:sz w:val="14"/>
                <w:szCs w:val="14"/>
                <w:b w:val="1"/>
                <w:bCs w:val="1"/>
                <w:color w:val="auto"/>
                <w:w w:val="88"/>
              </w:rPr>
              <w:t>(zip code)</w:t>
            </w:r>
          </w:p>
        </w:tc>
      </w:tr>
      <w:tr>
        <w:trPr>
          <w:trHeight w:val="186"/>
        </w:trPr>
        <w:tc>
          <w:tcPr>
            <w:tcW w:w="4060" w:type="dxa"/>
            <w:vAlign w:val="bottom"/>
          </w:tcPr>
          <w:p>
            <w:pPr>
              <w:jc w:val="center"/>
              <w:ind w:left="148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381"/>
        </w:trPr>
        <w:tc>
          <w:tcPr>
            <w:tcW w:w="4060" w:type="dxa"/>
            <w:vAlign w:val="bottom"/>
          </w:tcPr>
          <w:p>
            <w:pPr>
              <w:spacing w:after="0"/>
              <w:rPr>
                <w:sz w:val="24"/>
                <w:szCs w:val="24"/>
                <w:color w:val="auto"/>
              </w:rPr>
            </w:pPr>
          </w:p>
        </w:tc>
        <w:tc>
          <w:tcPr>
            <w:tcW w:w="2700" w:type="dxa"/>
            <w:vAlign w:val="bottom"/>
            <w:gridSpan w:val="2"/>
          </w:tcPr>
          <w:p>
            <w:pPr>
              <w:jc w:val="center"/>
              <w:ind w:left="304"/>
              <w:spacing w:after="0"/>
              <w:rPr>
                <w:sz w:val="20"/>
                <w:szCs w:val="20"/>
                <w:color w:val="auto"/>
              </w:rPr>
            </w:pPr>
            <w:r>
              <w:rPr>
                <w:rFonts w:ascii="Arial" w:cs="Arial" w:eastAsia="Arial" w:hAnsi="Arial"/>
                <w:sz w:val="18"/>
                <w:szCs w:val="18"/>
                <w:b w:val="1"/>
                <w:bCs w:val="1"/>
                <w:color w:val="auto"/>
                <w:w w:val="90"/>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86"/>
        </w:trPr>
        <w:tc>
          <w:tcPr>
            <w:tcW w:w="7480" w:type="dxa"/>
            <w:vAlign w:val="bottom"/>
            <w:gridSpan w:val="4"/>
          </w:tcPr>
          <w:p>
            <w:pPr>
              <w:jc w:val="center"/>
              <w:ind w:left="3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347"/>
        </w:trPr>
        <w:tc>
          <w:tcPr>
            <w:tcW w:w="4060" w:type="dxa"/>
            <w:vAlign w:val="bottom"/>
          </w:tcPr>
          <w:p>
            <w:pPr>
              <w:spacing w:after="0"/>
              <w:rPr>
                <w:sz w:val="24"/>
                <w:szCs w:val="24"/>
                <w:color w:val="auto"/>
              </w:rPr>
            </w:pPr>
          </w:p>
        </w:tc>
        <w:tc>
          <w:tcPr>
            <w:tcW w:w="34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3760" w:type="dxa"/>
            <w:vAlign w:val="bottom"/>
          </w:tcPr>
          <w:p>
            <w:pPr>
              <w:spacing w:after="0"/>
              <w:rPr>
                <w:sz w:val="24"/>
                <w:szCs w:val="24"/>
                <w:color w:val="auto"/>
              </w:rPr>
            </w:pPr>
          </w:p>
        </w:tc>
      </w:tr>
      <w:tr>
        <w:trPr>
          <w:trHeight w:val="242"/>
        </w:trPr>
        <w:tc>
          <w:tcPr>
            <w:tcW w:w="4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r>
      <w:tr>
        <w:trPr>
          <w:trHeight w:val="122"/>
        </w:trPr>
        <w:tc>
          <w:tcPr>
            <w:tcW w:w="4060" w:type="dxa"/>
            <w:vAlign w:val="bottom"/>
            <w:tcBorders>
              <w:left w:val="single" w:sz="8" w:color="auto"/>
              <w:bottom w:val="single" w:sz="8" w:color="auto"/>
            </w:tcBorders>
          </w:tcPr>
          <w:p>
            <w:pPr>
              <w:jc w:val="center"/>
              <w:ind w:left="384"/>
              <w:spacing w:after="0" w:line="102" w:lineRule="exact"/>
              <w:rPr>
                <w:sz w:val="20"/>
                <w:szCs w:val="20"/>
                <w:color w:val="auto"/>
              </w:rPr>
            </w:pPr>
            <w:r>
              <w:rPr>
                <w:rFonts w:ascii="Arial" w:cs="Arial" w:eastAsia="Arial" w:hAnsi="Arial"/>
                <w:sz w:val="11"/>
                <w:szCs w:val="11"/>
                <w:color w:val="auto"/>
              </w:rPr>
              <w:t>Title of each class</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Arial" w:cs="Arial" w:eastAsia="Arial" w:hAnsi="Arial"/>
                <w:sz w:val="11"/>
                <w:szCs w:val="11"/>
                <w:color w:val="auto"/>
              </w:rPr>
              <w:t>Trading Symbol(s)</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02" w:lineRule="exact"/>
              <w:rPr>
                <w:sz w:val="20"/>
                <w:szCs w:val="20"/>
                <w:color w:val="auto"/>
              </w:rPr>
            </w:pPr>
            <w:r>
              <w:rPr>
                <w:rFonts w:ascii="Arial" w:cs="Arial" w:eastAsia="Arial" w:hAnsi="Arial"/>
                <w:sz w:val="11"/>
                <w:szCs w:val="11"/>
                <w:color w:val="auto"/>
              </w:rPr>
              <w:t>Name of each exchange on which registered</w:t>
            </w:r>
          </w:p>
        </w:tc>
      </w:tr>
      <w:tr>
        <w:trPr>
          <w:trHeight w:val="125"/>
        </w:trPr>
        <w:tc>
          <w:tcPr>
            <w:tcW w:w="4060" w:type="dxa"/>
            <w:vAlign w:val="bottom"/>
            <w:tcBorders>
              <w:left w:val="single" w:sz="8" w:color="auto"/>
              <w:bottom w:val="single" w:sz="8" w:color="auto"/>
            </w:tcBorders>
          </w:tcPr>
          <w:p>
            <w:pPr>
              <w:jc w:val="center"/>
              <w:ind w:left="364"/>
              <w:spacing w:after="0" w:line="125" w:lineRule="exact"/>
              <w:rPr>
                <w:sz w:val="20"/>
                <w:szCs w:val="20"/>
                <w:color w:val="auto"/>
              </w:rPr>
            </w:pPr>
            <w:r>
              <w:rPr>
                <w:rFonts w:ascii="Arial" w:cs="Arial" w:eastAsia="Arial" w:hAnsi="Arial"/>
                <w:sz w:val="14"/>
                <w:szCs w:val="14"/>
                <w:color w:val="auto"/>
                <w:w w:val="92"/>
              </w:rPr>
              <w:t>Common Stock, par value $0.001 per share</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rPr>
              <w:t>LRMR</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25" w:lineRule="exact"/>
              <w:rPr>
                <w:sz w:val="20"/>
                <w:szCs w:val="20"/>
                <w:color w:val="auto"/>
              </w:rPr>
            </w:pPr>
            <w:r>
              <w:rPr>
                <w:rFonts w:ascii="Arial" w:cs="Arial" w:eastAsia="Arial" w:hAnsi="Arial"/>
                <w:sz w:val="14"/>
                <w:szCs w:val="14"/>
                <w:color w:val="auto"/>
                <w:w w:val="94"/>
              </w:rPr>
              <w:t>The Nasdaq Global Market</w:t>
            </w:r>
          </w:p>
        </w:tc>
      </w:tr>
    </w:tbl>
    <w:p>
      <w:pPr>
        <w:spacing w:after="0" w:line="17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75"/>
        </w:trPr>
        <w:tc>
          <w:tcPr>
            <w:tcW w:w="2180" w:type="dxa"/>
            <w:vAlign w:val="bottom"/>
          </w:tcPr>
          <w:p>
            <w:pPr>
              <w:spacing w:after="0" w:line="175" w:lineRule="exact"/>
              <w:rPr>
                <w:sz w:val="20"/>
                <w:szCs w:val="20"/>
                <w:color w:val="auto"/>
              </w:rPr>
            </w:pPr>
            <w:r>
              <w:rPr>
                <w:rFonts w:ascii="Arial" w:cs="Arial" w:eastAsia="Arial" w:hAnsi="Arial"/>
                <w:sz w:val="16"/>
                <w:szCs w:val="16"/>
                <w:color w:val="auto"/>
              </w:rPr>
              <w:t>Non-accelerated filer</w:t>
            </w:r>
          </w:p>
        </w:tc>
        <w:tc>
          <w:tcPr>
            <w:tcW w:w="31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line="175" w:lineRule="exact"/>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80" w:type="dxa"/>
            <w:vAlign w:val="bottom"/>
          </w:tcPr>
          <w:p>
            <w:pPr>
              <w:spacing w:after="0"/>
              <w:rPr>
                <w:sz w:val="20"/>
                <w:szCs w:val="20"/>
                <w:color w:val="auto"/>
              </w:rPr>
            </w:pPr>
            <w:r>
              <w:rPr>
                <w:rFonts w:ascii="Arial" w:cs="Arial" w:eastAsia="Arial" w:hAnsi="Arial"/>
                <w:sz w:val="16"/>
                <w:szCs w:val="16"/>
                <w:color w:val="auto"/>
              </w:rPr>
              <w:t>Smaller reporting company</w:t>
            </w:r>
          </w:p>
        </w:tc>
        <w:tc>
          <w:tcPr>
            <w:tcW w:w="31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41"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As of August 9, 2022, there were 17,710,450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63" w:lineRule="exact"/>
        <w:rPr>
          <w:sz w:val="20"/>
          <w:szCs w:val="20"/>
          <w:color w:val="auto"/>
        </w:rPr>
      </w:pPr>
    </w:p>
    <w:p>
      <w:pPr>
        <w:ind w:left="1020" w:right="20" w:hanging="503"/>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engage with, and satisfactorily respond to, requests for additional information from the U.S. Food and Drug Administration ("FDA") concerning the clinical hold on our investigational new drug application ("IND") for CTI-1601 and the timing and outcomes of such interactions, including our plans to engage the FDA in order to lift the clinical hold, in full or in part, and allow re-initiation of interventional clinical studies;</w:t>
      </w:r>
    </w:p>
    <w:p>
      <w:pPr>
        <w:spacing w:after="0" w:line="86" w:lineRule="exact"/>
        <w:rPr>
          <w:rFonts w:ascii="Arial" w:cs="Arial" w:eastAsia="Arial" w:hAnsi="Arial"/>
          <w:sz w:val="18"/>
          <w:szCs w:val="18"/>
          <w:color w:val="auto"/>
        </w:rPr>
      </w:pPr>
    </w:p>
    <w:p>
      <w:pPr>
        <w:ind w:left="1020" w:hanging="503"/>
        <w:spacing w:after="0" w:line="29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uncertainties in obtaining successful non-clinical or clinical results that reliably and meaningfully demonstrate safety, tolerability and efficacy profiles that are satisfactory to the FDA, European Medicines Agency ("EMA") and other comparable regulatory authorities for marketing approval for CTI-1601 or any other product candidate that we may develop in the future and unexpected costs that may result therefrom;</w:t>
      </w:r>
    </w:p>
    <w:p>
      <w:pPr>
        <w:spacing w:after="0" w:line="52" w:lineRule="exact"/>
        <w:rPr>
          <w:rFonts w:ascii="Arial" w:cs="Arial" w:eastAsia="Arial" w:hAnsi="Arial"/>
          <w:sz w:val="16"/>
          <w:szCs w:val="16"/>
          <w:color w:val="auto"/>
        </w:rPr>
      </w:pPr>
    </w:p>
    <w:p>
      <w:pPr>
        <w:ind w:left="1020" w:right="160" w:hanging="503"/>
        <w:spacing w:after="0" w:line="263"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further delays or changes in our anticipated clinical timelines, due to our interactions with the FDA related to resolving the current clinical hold on CTI-1601, as well as delays in patient recruitment (including the impact of other clinical trials of competitive products), delays as a result of clinical and non-clinical results and FDA's request for additional toxicology studies, changes in clinical protocols including FDA's acceptance of our proposed four-week dose exploration study, regulatory restrictions, including additional clinical holds, and milestones for CTI-1601, including those associated with COVID-19 and the efforts to mitigate it;</w:t>
      </w:r>
    </w:p>
    <w:p>
      <w:pPr>
        <w:spacing w:after="0" w:line="62" w:lineRule="exact"/>
        <w:rPr>
          <w:rFonts w:ascii="Arial" w:cs="Arial" w:eastAsia="Arial" w:hAnsi="Arial"/>
          <w:sz w:val="17"/>
          <w:szCs w:val="17"/>
          <w:color w:val="auto"/>
        </w:rPr>
      </w:pPr>
    </w:p>
    <w:p>
      <w:pPr>
        <w:ind w:left="1020" w:right="40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52"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103" w:lineRule="exact"/>
        <w:rPr>
          <w:rFonts w:ascii="Arial" w:cs="Arial" w:eastAsia="Arial" w:hAnsi="Arial"/>
          <w:sz w:val="18"/>
          <w:szCs w:val="18"/>
          <w:color w:val="auto"/>
        </w:rPr>
      </w:pPr>
    </w:p>
    <w:p>
      <w:pPr>
        <w:ind w:left="1020" w:right="12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third-party manufacturers we engage, to optimize and scale CTI-1601 or any other product candidate’s manufacturing process and to manufacture sufficient quantities of clinical supplies, if the clinical hold on the CTI-1601 IND is lifted, and, if approved, commercial supplies of CTI-1601;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1020" w:right="280" w:hanging="503"/>
        <w:spacing w:after="0" w:line="25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66"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other countries;</w:t>
      </w:r>
    </w:p>
    <w:p>
      <w:pPr>
        <w:spacing w:after="0" w:line="48" w:lineRule="exact"/>
        <w:rPr>
          <w:rFonts w:ascii="Arial" w:cs="Arial" w:eastAsia="Arial" w:hAnsi="Arial"/>
          <w:sz w:val="18"/>
          <w:szCs w:val="18"/>
          <w:color w:val="auto"/>
        </w:rPr>
      </w:pPr>
    </w:p>
    <w:p>
      <w:pPr>
        <w:ind w:left="1020" w:right="240" w:hanging="503"/>
        <w:spacing w:after="0" w:line="25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66" w:lineRule="exact"/>
        <w:rPr>
          <w:rFonts w:ascii="Arial" w:cs="Arial" w:eastAsia="Arial" w:hAnsi="Arial"/>
          <w:sz w:val="18"/>
          <w:szCs w:val="18"/>
          <w:color w:val="auto"/>
        </w:rPr>
      </w:pPr>
    </w:p>
    <w:p>
      <w:pPr>
        <w:ind w:left="1020" w:right="60" w:hanging="503"/>
        <w:spacing w:after="0" w:line="290"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Competing therapies and products including those that are still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spacing w:after="0" w:line="42"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103"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 parties upon which we depend, including third-party contract research organizations ("CROs") and third-party suppliers, manufacturers, distributors, and logistics providers;</w:t>
      </w:r>
    </w:p>
    <w:p>
      <w:pPr>
        <w:spacing w:after="0" w:line="48"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relationships, and contracts with our key vendors and to identify and contract with alternate or secondary key vendors;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recruit and retain key scientific, technical, commercial, and management personnel and to retain our executive officers;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76" w:lineRule="exact"/>
        <w:rPr>
          <w:rFonts w:ascii="Arial" w:cs="Arial" w:eastAsia="Arial" w:hAnsi="Arial"/>
          <w:sz w:val="18"/>
          <w:szCs w:val="18"/>
          <w:color w:val="auto"/>
        </w:rPr>
      </w:pPr>
    </w:p>
    <w:p>
      <w:pPr>
        <w:ind w:left="1020" w:hanging="503"/>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health epidemics, unforeseen emergencies and other outbreaks of communicable diseases, including the ongoing COVID-19 pandemic and the efforts to mitigate it, geopolitical turmoil, including the ongoing invasion of Ukraine by Russia or increased trade restrictions between the United States, Russia, China, and other countries, social unrest, political instability, terrorism or other acts of war could disrupt our operations, the operations of third parties on which we rely or the operations of regulatory agencies we interact with in the development of CTI-1601.</w:t>
      </w:r>
    </w:p>
    <w:p>
      <w:pPr>
        <w:spacing w:after="0" w:line="7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25, 2022.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60" w:type="dxa"/>
            <w:vAlign w:val="bottom"/>
            <w:gridSpan w:val="11"/>
          </w:tcPr>
          <w:p>
            <w:pPr>
              <w:jc w:val="center"/>
              <w:ind w:right="3540"/>
              <w:spacing w:after="0"/>
              <w:rPr>
                <w:sz w:val="20"/>
                <w:szCs w:val="20"/>
                <w:color w:val="auto"/>
              </w:rPr>
            </w:pPr>
            <w:r>
              <w:rPr>
                <w:rFonts w:ascii="Arial" w:cs="Arial" w:eastAsia="Arial" w:hAnsi="Arial"/>
                <w:sz w:val="18"/>
                <w:szCs w:val="18"/>
                <w:b w:val="1"/>
                <w:bCs w:val="1"/>
                <w:color w:val="0000FF"/>
              </w:rPr>
              <w:t>PART I - FINANCIAL INFORMATION</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740" w:type="dxa"/>
            <w:vAlign w:val="bottom"/>
            <w:gridSpan w:val="9"/>
          </w:tcPr>
          <w:p>
            <w:pPr>
              <w:spacing w:after="0"/>
              <w:rPr>
                <w:sz w:val="20"/>
                <w:szCs w:val="20"/>
                <w:color w:val="auto"/>
              </w:rPr>
            </w:pPr>
            <w:r>
              <w:rPr>
                <w:rFonts w:ascii="Arial" w:cs="Arial" w:eastAsia="Arial" w:hAnsi="Arial"/>
                <w:sz w:val="18"/>
                <w:szCs w:val="18"/>
                <w:color w:val="0000FF"/>
              </w:rPr>
              <w:t>Financial Statements (unaudited)</w:t>
            </w:r>
          </w:p>
        </w:tc>
        <w:tc>
          <w:tcPr>
            <w:tcW w:w="3120" w:type="dxa"/>
            <w:vAlign w:val="bottom"/>
            <w:tcBorders>
              <w:top w:val="single" w:sz="8" w:color="0000FF"/>
            </w:tcBorders>
            <w:gridSpan w:val="5"/>
          </w:tcPr>
          <w:p>
            <w:pPr>
              <w:spacing w:after="0"/>
              <w:rPr>
                <w:sz w:val="22"/>
                <w:szCs w:val="22"/>
                <w:color w:val="auto"/>
              </w:rPr>
            </w:pPr>
          </w:p>
        </w:tc>
        <w:tc>
          <w:tcPr>
            <w:tcW w:w="3540" w:type="dxa"/>
            <w:vAlign w:val="bottom"/>
            <w:gridSpan w:val="6"/>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June 30, 2022 and December 31, 2021</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w w:val="91"/>
              </w:rPr>
              <w:t>Condensed Consolidated Statements of Operations and Comprehensive Loss for the three and six months ended June 30, 2022</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6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and 2021</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w w:val="92"/>
              </w:rPr>
              <w:t>Condensed Consolidated Statements of Changes in Stockholders' Equity for the three and six months ended June 30, 2022 and</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2021</w:t>
            </w:r>
          </w:p>
        </w:tc>
        <w:tc>
          <w:tcPr>
            <w:tcW w:w="20" w:type="dxa"/>
            <w:vAlign w:val="bottom"/>
            <w:tcBorders>
              <w:top w:val="single" w:sz="8" w:color="0000FF"/>
              <w:bottom w:val="single" w:sz="8" w:color="0000EE"/>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2022 and 2021</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0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b w:val="1"/>
                <w:bCs w:val="1"/>
                <w:color w:val="0000FF"/>
              </w:rPr>
              <w:t>PART II - OTHER INFORMATION</w:t>
            </w:r>
          </w:p>
        </w:tc>
        <w:tc>
          <w:tcPr>
            <w:tcW w:w="370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0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Item 2.</w:t>
            </w: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480" w:type="dxa"/>
            <w:vAlign w:val="bottom"/>
            <w:gridSpan w:val="16"/>
            <w:vMerge w:val="restart"/>
          </w:tcPr>
          <w:p>
            <w:pPr>
              <w:ind w:left="60"/>
              <w:spacing w:after="0" w:line="189" w:lineRule="exact"/>
              <w:rPr>
                <w:sz w:val="20"/>
                <w:szCs w:val="20"/>
                <w:color w:val="auto"/>
              </w:rPr>
            </w:pPr>
            <w:r>
              <w:rPr>
                <w:rFonts w:ascii="Arial" w:cs="Arial" w:eastAsia="Arial" w:hAnsi="Arial"/>
                <w:sz w:val="18"/>
                <w:szCs w:val="18"/>
                <w:color w:val="0000FF"/>
              </w:rPr>
              <w:t>Sales of Equity Securities and Use of Proceeds</w:t>
            </w:r>
          </w:p>
        </w:tc>
        <w:tc>
          <w:tcPr>
            <w:tcW w:w="5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20" w:type="dxa"/>
            <w:vAlign w:val="bottom"/>
            <w:gridSpan w:val="4"/>
          </w:tcPr>
          <w:p>
            <w:pPr>
              <w:spacing w:after="0" w:line="169" w:lineRule="exact"/>
              <w:rPr>
                <w:sz w:val="20"/>
                <w:szCs w:val="20"/>
                <w:color w:val="auto"/>
              </w:rPr>
            </w:pPr>
            <w:r>
              <w:rPr>
                <w:rFonts w:ascii="Arial" w:cs="Arial" w:eastAsia="Arial" w:hAnsi="Arial"/>
                <w:sz w:val="18"/>
                <w:szCs w:val="18"/>
                <w:color w:val="0000FF"/>
                <w:w w:val="85"/>
              </w:rPr>
              <w:t>Unregistered</w:t>
            </w:r>
          </w:p>
        </w:tc>
        <w:tc>
          <w:tcPr>
            <w:tcW w:w="8480" w:type="dxa"/>
            <w:vAlign w:val="bottom"/>
            <w:gridSpan w:val="16"/>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Item 3.</w:t>
            </w: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8"/>
            <w:vMerge w:val="restart"/>
          </w:tcPr>
          <w:p>
            <w:pPr>
              <w:spacing w:after="0" w:line="20" w:lineRule="exact"/>
              <w:rPr>
                <w:sz w:val="1"/>
                <w:szCs w:val="1"/>
                <w:color w:val="auto"/>
              </w:rPr>
            </w:pPr>
          </w:p>
        </w:tc>
        <w:tc>
          <w:tcPr>
            <w:tcW w:w="5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4340" w:type="dxa"/>
            <w:vAlign w:val="bottom"/>
            <w:gridSpan w:val="12"/>
          </w:tcPr>
          <w:p>
            <w:pPr>
              <w:spacing w:after="0" w:line="169" w:lineRule="exact"/>
              <w:rPr>
                <w:sz w:val="20"/>
                <w:szCs w:val="20"/>
                <w:color w:val="auto"/>
              </w:rPr>
            </w:pPr>
            <w:r>
              <w:rPr>
                <w:rFonts w:ascii="Arial" w:cs="Arial" w:eastAsia="Arial" w:hAnsi="Arial"/>
                <w:sz w:val="18"/>
                <w:szCs w:val="18"/>
                <w:color w:val="0000FF"/>
              </w:rPr>
              <w:t>Defaults Upon Senior Securities</w:t>
            </w:r>
          </w:p>
        </w:tc>
        <w:tc>
          <w:tcPr>
            <w:tcW w:w="5060" w:type="dxa"/>
            <w:vAlign w:val="bottom"/>
            <w:gridSpan w:val="8"/>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0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0000FF"/>
              </w:rPr>
              <w:t>Signatures</w:t>
            </w:r>
          </w:p>
        </w:tc>
        <w:tc>
          <w:tcPr>
            <w:tcW w:w="3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12"/>
          </w:tcPr>
          <w:p>
            <w:pPr>
              <w:jc w:val="center"/>
              <w:ind w:left="4170"/>
              <w:spacing w:after="0"/>
              <w:rPr>
                <w:sz w:val="20"/>
                <w:szCs w:val="20"/>
                <w:color w:val="auto"/>
              </w:rPr>
            </w:pPr>
            <w:r>
              <w:rPr>
                <w:rFonts w:ascii="Arial" w:cs="Arial" w:eastAsia="Arial" w:hAnsi="Arial"/>
                <w:sz w:val="18"/>
                <w:szCs w:val="18"/>
                <w:color w:val="auto"/>
                <w:w w:val="79"/>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1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data)</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70,097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Marketable debt securities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56,744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72,204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62,852</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12,796</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$0.001 par value per share; 5,000,000 shares authorized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7680" w:type="dxa"/>
            <w:vAlign w:val="bottom"/>
          </w:tcPr>
          <w:p>
            <w:pPr>
              <w:ind w:left="340"/>
              <w:spacing w:after="0" w:line="189" w:lineRule="exact"/>
              <w:rPr>
                <w:sz w:val="20"/>
                <w:szCs w:val="20"/>
                <w:color w:val="auto"/>
              </w:rPr>
            </w:pPr>
            <w:r>
              <w:rPr>
                <w:rFonts w:ascii="Arial" w:cs="Arial" w:eastAsia="Arial" w:hAnsi="Arial"/>
                <w:sz w:val="18"/>
                <w:szCs w:val="18"/>
                <w:color w:val="auto"/>
              </w:rPr>
              <w:t>as of June 30, 2022 and December 31, 2021; no shares issued and</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7680" w:type="dxa"/>
            <w:vAlign w:val="bottom"/>
          </w:tcPr>
          <w:p>
            <w:pPr>
              <w:ind w:left="340"/>
              <w:spacing w:after="0"/>
              <w:rPr>
                <w:sz w:val="20"/>
                <w:szCs w:val="20"/>
                <w:color w:val="auto"/>
              </w:rPr>
            </w:pPr>
            <w:r>
              <w:rPr>
                <w:rFonts w:ascii="Arial" w:cs="Arial" w:eastAsia="Arial" w:hAnsi="Arial"/>
                <w:sz w:val="18"/>
                <w:szCs w:val="18"/>
                <w:color w:val="auto"/>
              </w:rPr>
              <w:t>outstanding as of June 30, 2022 and December 31, 2021</w:t>
            </w:r>
          </w:p>
        </w:tc>
        <w:tc>
          <w:tcPr>
            <w:tcW w:w="32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$0.001 par value per share; 115,000,000 shares</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8"/>
        </w:trPr>
        <w:tc>
          <w:tcPr>
            <w:tcW w:w="7680" w:type="dxa"/>
            <w:vAlign w:val="bottom"/>
            <w:shd w:val="clear" w:color="auto" w:fill="CFF0FC"/>
          </w:tcPr>
          <w:p>
            <w:pPr>
              <w:ind w:left="340"/>
              <w:spacing w:after="0" w:line="189" w:lineRule="exact"/>
              <w:rPr>
                <w:sz w:val="20"/>
                <w:szCs w:val="20"/>
                <w:color w:val="auto"/>
              </w:rPr>
            </w:pPr>
            <w:r>
              <w:rPr>
                <w:rFonts w:ascii="Arial" w:cs="Arial" w:eastAsia="Arial" w:hAnsi="Arial"/>
                <w:sz w:val="18"/>
                <w:szCs w:val="18"/>
                <w:color w:val="auto"/>
              </w:rPr>
              <w:t>authorized as of June 30, 2022 and December 31, 2021;</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80" w:type="dxa"/>
            <w:vAlign w:val="bottom"/>
            <w:shd w:val="clear" w:color="auto" w:fill="CFF0FC"/>
          </w:tcPr>
          <w:p>
            <w:pPr>
              <w:ind w:left="340"/>
              <w:spacing w:after="0" w:line="189" w:lineRule="exact"/>
              <w:rPr>
                <w:sz w:val="20"/>
                <w:szCs w:val="20"/>
                <w:color w:val="auto"/>
              </w:rPr>
            </w:pPr>
            <w:r>
              <w:rPr>
                <w:rFonts w:ascii="Arial" w:cs="Arial" w:eastAsia="Arial" w:hAnsi="Arial"/>
                <w:sz w:val="18"/>
                <w:szCs w:val="18"/>
                <w:color w:val="auto"/>
              </w:rPr>
              <w:t>17,710,450 shares issued and outstanding as of</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June 30, 2022 and December 31, 2021</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183,955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180,645</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(133,860 )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(116,250 )</w:t>
            </w: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(57 )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50,056</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62,852</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78,667</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-3865245</wp:posOffset>
            </wp:positionV>
            <wp:extent cx="7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-3025140</wp:posOffset>
            </wp:positionV>
            <wp:extent cx="7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-3007995</wp:posOffset>
            </wp:positionV>
            <wp:extent cx="7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-1885315</wp:posOffset>
            </wp:positionV>
            <wp:extent cx="768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5,644</w:t>
            </w:r>
          </w:p>
        </w:tc>
        <w:tc>
          <w:tcPr>
            <w:tcW w:w="2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9,102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11,450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18,076</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24,649</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(17,574</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(66 )</w:t>
            </w:r>
          </w:p>
        </w:tc>
        <w:tc>
          <w:tcPr>
            <w:tcW w:w="22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(36 )</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(0.47 )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(0.79 )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(0.96 )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(1.54 )</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18,338,853</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15,996,133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18,338,853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15,996,133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(8,667 )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(12,609 )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(17,610 )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(24,697 )</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marketable debt securities</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(57 )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(57 )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ind w:left="380"/>
              <w:spacing w:after="0"/>
              <w:rPr>
                <w:sz w:val="20"/>
                <w:szCs w:val="20"/>
                <w:color w:val="auto"/>
              </w:rPr>
            </w:pPr>
            <w:r>
              <w:rPr>
                <w:rFonts w:ascii="Arial" w:cs="Arial" w:eastAsia="Arial" w:hAnsi="Arial"/>
                <w:sz w:val="18"/>
                <w:szCs w:val="18"/>
                <w:color w:val="auto"/>
              </w:rPr>
              <w:t>Total other comprehensive loss</w:t>
            </w:r>
          </w:p>
        </w:tc>
        <w:tc>
          <w:tcPr>
            <w:tcW w:w="24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(57 )</w:t>
            </w:r>
          </w:p>
        </w:tc>
        <w:tc>
          <w:tcPr>
            <w:tcW w:w="260" w:type="dxa"/>
            <w:vAlign w:val="bottom"/>
          </w:tcPr>
          <w:p>
            <w:pPr>
              <w:spacing w:after="0"/>
              <w:rPr>
                <w:sz w:val="18"/>
                <w:szCs w:val="18"/>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(57 )</w:t>
            </w:r>
          </w:p>
        </w:tc>
        <w:tc>
          <w:tcPr>
            <w:tcW w:w="24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-1791335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-1791335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-1791335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-1216660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-1199515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-1216660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-1199515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-1216660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-1199515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-890905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-873760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-890905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-873760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-890905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-873760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-316865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-316865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-316865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w:t>
      </w: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9"/>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auto"/>
            </w:tcBorders>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5"/>
                <w:szCs w:val="15"/>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8"/>
        </w:trPr>
        <w:tc>
          <w:tcPr>
            <w:tcW w:w="3940" w:type="dxa"/>
            <w:vAlign w:val="bottom"/>
            <w:gridSpan w:val="2"/>
            <w:shd w:val="clear" w:color="auto" w:fill="CFF0FC"/>
          </w:tcPr>
          <w:p>
            <w:pPr>
              <w:ind w:left="20"/>
              <w:spacing w:after="0" w:line="168" w:lineRule="exact"/>
              <w:rPr>
                <w:sz w:val="20"/>
                <w:szCs w:val="20"/>
                <w:color w:val="auto"/>
              </w:rPr>
            </w:pPr>
            <w:r>
              <w:rPr>
                <w:rFonts w:ascii="Arial" w:cs="Arial" w:eastAsia="Arial" w:hAnsi="Arial"/>
                <w:sz w:val="18"/>
                <w:szCs w:val="18"/>
                <w:b w:val="1"/>
                <w:bCs w:val="1"/>
                <w:color w:val="auto"/>
              </w:rPr>
              <w:t>Balances as of December 31, 2021</w:t>
            </w:r>
          </w:p>
        </w:tc>
        <w:tc>
          <w:tcPr>
            <w:tcW w:w="940" w:type="dxa"/>
            <w:vAlign w:val="bottom"/>
            <w:tcBorders>
              <w:top w:val="single" w:sz="8" w:color="auto"/>
              <w:right w:val="single" w:sz="8" w:color="CFF0FC"/>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17,710,45</w:t>
            </w:r>
          </w:p>
        </w:tc>
        <w:tc>
          <w:tcPr>
            <w:tcW w:w="180" w:type="dxa"/>
            <w:vAlign w:val="bottom"/>
            <w:shd w:val="clear" w:color="auto" w:fill="CFF0FC"/>
          </w:tcPr>
          <w:p>
            <w:pPr>
              <w:spacing w:after="0"/>
              <w:rPr>
                <w:sz w:val="14"/>
                <w:szCs w:val="14"/>
                <w:color w:val="auto"/>
              </w:rPr>
            </w:pPr>
          </w:p>
        </w:tc>
        <w:tc>
          <w:tcPr>
            <w:tcW w:w="180" w:type="dxa"/>
            <w:vAlign w:val="bottom"/>
            <w:tcBorders>
              <w:top w:val="single" w:sz="8" w:color="auto"/>
              <w:left w:val="single" w:sz="8" w:color="CFF0FC"/>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FF0FC"/>
          </w:tcPr>
          <w:p>
            <w:pPr>
              <w:jc w:val="right"/>
              <w:ind w:right="20"/>
              <w:spacing w:after="0" w:line="168" w:lineRule="exact"/>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line="168" w:lineRule="exact"/>
              <w:rPr>
                <w:sz w:val="20"/>
                <w:szCs w:val="20"/>
                <w:color w:val="auto"/>
              </w:rPr>
            </w:pPr>
            <w:r>
              <w:rPr>
                <w:rFonts w:ascii="Arial" w:cs="Arial" w:eastAsia="Arial" w:hAnsi="Arial"/>
                <w:sz w:val="18"/>
                <w:szCs w:val="18"/>
                <w:color w:val="auto"/>
              </w:rPr>
              <w:t>180,645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FF0FC"/>
          </w:tcPr>
          <w:p>
            <w:pPr>
              <w:jc w:val="right"/>
              <w:spacing w:after="0" w:line="168" w:lineRule="exact"/>
              <w:rPr>
                <w:sz w:val="20"/>
                <w:szCs w:val="20"/>
                <w:color w:val="auto"/>
              </w:rPr>
            </w:pPr>
            <w:r>
              <w:rPr>
                <w:rFonts w:ascii="Arial" w:cs="Arial" w:eastAsia="Arial" w:hAnsi="Arial"/>
                <w:sz w:val="18"/>
                <w:szCs w:val="18"/>
                <w:color w:val="auto"/>
              </w:rPr>
              <w:t>(116,250</w:t>
            </w:r>
          </w:p>
        </w:tc>
        <w:tc>
          <w:tcPr>
            <w:tcW w:w="100" w:type="dxa"/>
            <w:vAlign w:val="bottom"/>
            <w:shd w:val="clear" w:color="auto" w:fill="CFF0FC"/>
          </w:tcPr>
          <w:p>
            <w:pPr>
              <w:jc w:val="right"/>
              <w:spacing w:after="0" w:line="168"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FF0FC"/>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64,413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180" w:type="dxa"/>
            <w:vAlign w:val="bottom"/>
            <w:tcBorders>
              <w:left w:val="single" w:sz="8" w:color="CFF0FC"/>
            </w:tcBorders>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(8,943 )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(8,943 )</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40" w:type="dxa"/>
            <w:vAlign w:val="bottom"/>
            <w:gridSpan w:val="2"/>
          </w:tcPr>
          <w:p>
            <w:pPr>
              <w:ind w:left="20"/>
              <w:spacing w:after="0" w:line="168" w:lineRule="exact"/>
              <w:rPr>
                <w:sz w:val="20"/>
                <w:szCs w:val="20"/>
                <w:color w:val="auto"/>
              </w:rPr>
            </w:pPr>
            <w:r>
              <w:rPr>
                <w:rFonts w:ascii="Arial" w:cs="Arial" w:eastAsia="Arial" w:hAnsi="Arial"/>
                <w:sz w:val="18"/>
                <w:szCs w:val="18"/>
                <w:b w:val="1"/>
                <w:bCs w:val="1"/>
                <w:color w:val="auto"/>
              </w:rPr>
              <w:t>Balances as of March 31, 2022</w:t>
            </w:r>
          </w:p>
        </w:tc>
        <w:tc>
          <w:tcPr>
            <w:tcW w:w="940" w:type="dxa"/>
            <w:vAlign w:val="bottom"/>
          </w:tcPr>
          <w:p>
            <w:pPr>
              <w:jc w:val="right"/>
              <w:spacing w:after="0" w:line="168" w:lineRule="exact"/>
              <w:rPr>
                <w:sz w:val="20"/>
                <w:szCs w:val="20"/>
                <w:color w:val="auto"/>
              </w:rPr>
            </w:pPr>
            <w:r>
              <w:rPr>
                <w:rFonts w:ascii="Arial" w:cs="Arial" w:eastAsia="Arial" w:hAnsi="Arial"/>
                <w:sz w:val="18"/>
                <w:szCs w:val="18"/>
                <w:color w:val="auto"/>
              </w:rPr>
              <w:t>17,710,45</w:t>
            </w:r>
          </w:p>
        </w:tc>
        <w:tc>
          <w:tcPr>
            <w:tcW w:w="1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168" w:lineRule="exact"/>
              <w:rPr>
                <w:sz w:val="20"/>
                <w:szCs w:val="20"/>
                <w:color w:val="auto"/>
              </w:rPr>
            </w:pPr>
            <w:r>
              <w:rPr>
                <w:rFonts w:ascii="Arial" w:cs="Arial" w:eastAsia="Arial" w:hAnsi="Arial"/>
                <w:sz w:val="18"/>
                <w:szCs w:val="18"/>
                <w:color w:val="auto"/>
              </w:rPr>
              <w:t>18</w:t>
            </w:r>
          </w:p>
        </w:tc>
        <w:tc>
          <w:tcPr>
            <w:tcW w:w="220" w:type="dxa"/>
            <w:vAlign w:val="bottom"/>
            <w:gridSpan w:val="2"/>
          </w:tcPr>
          <w:p>
            <w:pPr>
              <w:spacing w:after="0"/>
              <w:rPr>
                <w:sz w:val="14"/>
                <w:szCs w:val="14"/>
                <w:color w:val="auto"/>
              </w:rPr>
            </w:pPr>
          </w:p>
        </w:tc>
        <w:tc>
          <w:tcPr>
            <w:tcW w:w="120" w:type="dxa"/>
            <w:vAlign w:val="bottom"/>
          </w:tcPr>
          <w:p>
            <w:pPr>
              <w:ind w:left="20"/>
              <w:spacing w:after="0" w:line="168"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line="168" w:lineRule="exact"/>
              <w:rPr>
                <w:sz w:val="20"/>
                <w:szCs w:val="20"/>
                <w:color w:val="auto"/>
              </w:rPr>
            </w:pPr>
            <w:r>
              <w:rPr>
                <w:rFonts w:ascii="Arial" w:cs="Arial" w:eastAsia="Arial" w:hAnsi="Arial"/>
                <w:sz w:val="18"/>
                <w:szCs w:val="18"/>
                <w:color w:val="auto"/>
              </w:rPr>
              <w:t>182,280</w:t>
            </w:r>
          </w:p>
        </w:tc>
        <w:tc>
          <w:tcPr>
            <w:tcW w:w="220" w:type="dxa"/>
            <w:vAlign w:val="bottom"/>
            <w:gridSpan w:val="2"/>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spacing w:after="0" w:line="168" w:lineRule="exact"/>
              <w:rPr>
                <w:sz w:val="20"/>
                <w:szCs w:val="20"/>
                <w:color w:val="auto"/>
              </w:rPr>
            </w:pPr>
            <w:r>
              <w:rPr>
                <w:rFonts w:ascii="Arial" w:cs="Arial" w:eastAsia="Arial" w:hAnsi="Arial"/>
                <w:sz w:val="18"/>
                <w:szCs w:val="18"/>
                <w:color w:val="auto"/>
              </w:rPr>
              <w:t>(125,193 )</w:t>
            </w:r>
          </w:p>
        </w:tc>
        <w:tc>
          <w:tcPr>
            <w:tcW w:w="120" w:type="dxa"/>
            <w:vAlign w:val="bottom"/>
          </w:tcPr>
          <w:p>
            <w:pPr>
              <w:spacing w:after="0"/>
              <w:rPr>
                <w:sz w:val="14"/>
                <w:szCs w:val="14"/>
                <w:color w:val="auto"/>
              </w:rPr>
            </w:pPr>
          </w:p>
        </w:tc>
        <w:tc>
          <w:tcPr>
            <w:tcW w:w="120" w:type="dxa"/>
            <w:vAlign w:val="bottom"/>
          </w:tcPr>
          <w:p>
            <w:pPr>
              <w:ind w:left="20"/>
              <w:spacing w:after="0" w:line="168"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168"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68"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68" w:lineRule="exact"/>
              <w:rPr>
                <w:sz w:val="20"/>
                <w:szCs w:val="20"/>
                <w:color w:val="auto"/>
              </w:rPr>
            </w:pPr>
            <w:r>
              <w:rPr>
                <w:rFonts w:ascii="Arial" w:cs="Arial" w:eastAsia="Arial" w:hAnsi="Arial"/>
                <w:sz w:val="18"/>
                <w:szCs w:val="18"/>
                <w:color w:val="auto"/>
              </w:rPr>
              <w:t>57,105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Stock-based compensation expense</w:t>
            </w:r>
          </w:p>
        </w:tc>
        <w:tc>
          <w:tcPr>
            <w:tcW w:w="9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1,675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Unrealized loss on marketable debt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(57 )</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(8,667 )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(8,667 )</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40" w:type="dxa"/>
            <w:vAlign w:val="bottom"/>
            <w:gridSpan w:val="2"/>
          </w:tcPr>
          <w:p>
            <w:pPr>
              <w:ind w:left="20"/>
              <w:spacing w:after="0" w:line="168" w:lineRule="exact"/>
              <w:rPr>
                <w:sz w:val="20"/>
                <w:szCs w:val="20"/>
                <w:color w:val="auto"/>
              </w:rPr>
            </w:pPr>
            <w:r>
              <w:rPr>
                <w:rFonts w:ascii="Arial" w:cs="Arial" w:eastAsia="Arial" w:hAnsi="Arial"/>
                <w:sz w:val="18"/>
                <w:szCs w:val="18"/>
                <w:b w:val="1"/>
                <w:bCs w:val="1"/>
                <w:color w:val="auto"/>
              </w:rPr>
              <w:t>Balances as of June 30, 2022</w:t>
            </w:r>
          </w:p>
        </w:tc>
        <w:tc>
          <w:tcPr>
            <w:tcW w:w="940" w:type="dxa"/>
            <w:vAlign w:val="bottom"/>
          </w:tcPr>
          <w:p>
            <w:pPr>
              <w:jc w:val="right"/>
              <w:spacing w:after="0" w:line="168" w:lineRule="exact"/>
              <w:rPr>
                <w:sz w:val="20"/>
                <w:szCs w:val="20"/>
                <w:color w:val="auto"/>
              </w:rPr>
            </w:pPr>
            <w:r>
              <w:rPr>
                <w:rFonts w:ascii="Arial" w:cs="Arial" w:eastAsia="Arial" w:hAnsi="Arial"/>
                <w:sz w:val="18"/>
                <w:szCs w:val="18"/>
                <w:color w:val="auto"/>
              </w:rPr>
              <w:t>17,710,45</w:t>
            </w:r>
          </w:p>
        </w:tc>
        <w:tc>
          <w:tcPr>
            <w:tcW w:w="1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168" w:lineRule="exact"/>
              <w:rPr>
                <w:sz w:val="20"/>
                <w:szCs w:val="20"/>
                <w:color w:val="auto"/>
              </w:rPr>
            </w:pPr>
            <w:r>
              <w:rPr>
                <w:rFonts w:ascii="Arial" w:cs="Arial" w:eastAsia="Arial" w:hAnsi="Arial"/>
                <w:sz w:val="18"/>
                <w:szCs w:val="18"/>
                <w:color w:val="auto"/>
              </w:rPr>
              <w:t>18</w:t>
            </w:r>
          </w:p>
        </w:tc>
        <w:tc>
          <w:tcPr>
            <w:tcW w:w="220" w:type="dxa"/>
            <w:vAlign w:val="bottom"/>
            <w:gridSpan w:val="2"/>
          </w:tcPr>
          <w:p>
            <w:pPr>
              <w:spacing w:after="0"/>
              <w:rPr>
                <w:sz w:val="14"/>
                <w:szCs w:val="14"/>
                <w:color w:val="auto"/>
              </w:rPr>
            </w:pPr>
          </w:p>
        </w:tc>
        <w:tc>
          <w:tcPr>
            <w:tcW w:w="120" w:type="dxa"/>
            <w:vAlign w:val="bottom"/>
          </w:tcPr>
          <w:p>
            <w:pPr>
              <w:ind w:left="20"/>
              <w:spacing w:after="0" w:line="168"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line="168" w:lineRule="exact"/>
              <w:rPr>
                <w:sz w:val="20"/>
                <w:szCs w:val="20"/>
                <w:color w:val="auto"/>
              </w:rPr>
            </w:pPr>
            <w:r>
              <w:rPr>
                <w:rFonts w:ascii="Arial" w:cs="Arial" w:eastAsia="Arial" w:hAnsi="Arial"/>
                <w:sz w:val="18"/>
                <w:szCs w:val="18"/>
                <w:color w:val="auto"/>
              </w:rPr>
              <w:t>183,955</w:t>
            </w:r>
          </w:p>
        </w:tc>
        <w:tc>
          <w:tcPr>
            <w:tcW w:w="220" w:type="dxa"/>
            <w:vAlign w:val="bottom"/>
            <w:gridSpan w:val="2"/>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spacing w:after="0" w:line="168" w:lineRule="exact"/>
              <w:rPr>
                <w:sz w:val="20"/>
                <w:szCs w:val="20"/>
                <w:color w:val="auto"/>
              </w:rPr>
            </w:pPr>
            <w:r>
              <w:rPr>
                <w:rFonts w:ascii="Arial" w:cs="Arial" w:eastAsia="Arial" w:hAnsi="Arial"/>
                <w:sz w:val="18"/>
                <w:szCs w:val="18"/>
                <w:color w:val="auto"/>
              </w:rPr>
              <w:t>(133,860 )</w:t>
            </w:r>
          </w:p>
        </w:tc>
        <w:tc>
          <w:tcPr>
            <w:tcW w:w="120" w:type="dxa"/>
            <w:vAlign w:val="bottom"/>
          </w:tcPr>
          <w:p>
            <w:pPr>
              <w:spacing w:after="0"/>
              <w:rPr>
                <w:sz w:val="14"/>
                <w:szCs w:val="14"/>
                <w:color w:val="auto"/>
              </w:rPr>
            </w:pPr>
          </w:p>
        </w:tc>
        <w:tc>
          <w:tcPr>
            <w:tcW w:w="120" w:type="dxa"/>
            <w:vAlign w:val="bottom"/>
          </w:tcPr>
          <w:p>
            <w:pPr>
              <w:ind w:left="20"/>
              <w:spacing w:after="0" w:line="168"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line="168" w:lineRule="exact"/>
              <w:rPr>
                <w:sz w:val="20"/>
                <w:szCs w:val="20"/>
                <w:color w:val="auto"/>
              </w:rPr>
            </w:pPr>
            <w:r>
              <w:rPr>
                <w:rFonts w:ascii="Arial" w:cs="Arial" w:eastAsia="Arial" w:hAnsi="Arial"/>
                <w:sz w:val="18"/>
                <w:szCs w:val="18"/>
                <w:color w:val="auto"/>
              </w:rPr>
              <w:t>(57 )</w:t>
            </w:r>
          </w:p>
        </w:tc>
        <w:tc>
          <w:tcPr>
            <w:tcW w:w="200" w:type="dxa"/>
            <w:vAlign w:val="bottom"/>
          </w:tcPr>
          <w:p>
            <w:pPr>
              <w:jc w:val="right"/>
              <w:spacing w:after="0" w:line="168"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68" w:lineRule="exact"/>
              <w:rPr>
                <w:sz w:val="20"/>
                <w:szCs w:val="20"/>
                <w:color w:val="auto"/>
              </w:rPr>
            </w:pPr>
            <w:r>
              <w:rPr>
                <w:rFonts w:ascii="Arial" w:cs="Arial" w:eastAsia="Arial" w:hAnsi="Arial"/>
                <w:sz w:val="18"/>
                <w:szCs w:val="18"/>
                <w:color w:val="auto"/>
              </w:rPr>
              <w:t>50,056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15"/>
                <w:szCs w:val="15"/>
                <w:color w:val="auto"/>
              </w:rPr>
            </w:pPr>
          </w:p>
        </w:tc>
        <w:tc>
          <w:tcPr>
            <w:tcW w:w="120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Par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Gain</w:t>
            </w: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15,367,730</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(65,614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(12,088 )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(12,088 )</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Balances as of March 31, 2021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15,367,730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(77,702 )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(12,609 )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(12,609 )</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June 30, 2021</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15,367,730</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157,820</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-2622550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-2622550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-2622550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-2622550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-2622550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-1919605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-1919605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-1919605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-1919605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-1919605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-616585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-616585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-616585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-616585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-616585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-25400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-8255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-25400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0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441"/>
              <w:spacing w:after="0"/>
              <w:rPr>
                <w:sz w:val="20"/>
                <w:szCs w:val="20"/>
                <w:color w:val="auto"/>
              </w:rPr>
            </w:pPr>
            <w:r>
              <w:rPr>
                <w:rFonts w:ascii="Arial" w:cs="Arial" w:eastAsia="Arial" w:hAnsi="Arial"/>
                <w:sz w:val="18"/>
                <w:szCs w:val="18"/>
                <w:color w:val="auto"/>
              </w:rPr>
              <w:t>(17,610 )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(24,697 )</w:t>
            </w:r>
          </w:p>
        </w:tc>
      </w:tr>
      <w:tr>
        <w:trPr>
          <w:trHeight w:val="216"/>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3,310</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fixed asset</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52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premium on marketable securities</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41"/>
              <w:spacing w:after="0"/>
              <w:rPr>
                <w:sz w:val="20"/>
                <w:szCs w:val="20"/>
                <w:color w:val="auto"/>
              </w:rPr>
            </w:pPr>
            <w:r>
              <w:rPr>
                <w:rFonts w:ascii="Arial" w:cs="Arial" w:eastAsia="Arial" w:hAnsi="Arial"/>
                <w:sz w:val="18"/>
                <w:szCs w:val="18"/>
                <w:color w:val="auto"/>
              </w:rPr>
              <w:t>(3 )</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560" w:type="dxa"/>
            <w:vAlign w:val="bottom"/>
            <w:gridSpan w:val="2"/>
          </w:tcPr>
          <w:p>
            <w:pPr>
              <w:jc w:val="right"/>
              <w:ind w:right="441"/>
              <w:spacing w:after="0"/>
              <w:rPr>
                <w:sz w:val="20"/>
                <w:szCs w:val="20"/>
                <w:color w:val="auto"/>
              </w:rPr>
            </w:pPr>
            <w:r>
              <w:rPr>
                <w:rFonts w:ascii="Arial" w:cs="Arial" w:eastAsia="Arial" w:hAnsi="Arial"/>
                <w:sz w:val="18"/>
                <w:szCs w:val="18"/>
                <w:color w:val="auto"/>
              </w:rPr>
              <w:t>(1,235 )</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(1,466 )</w:t>
            </w:r>
          </w:p>
        </w:tc>
      </w:tr>
      <w:tr>
        <w:trPr>
          <w:trHeight w:val="216"/>
        </w:trPr>
        <w:tc>
          <w:tcPr>
            <w:tcW w:w="8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(168 )</w:t>
            </w:r>
          </w:p>
        </w:tc>
      </w:tr>
      <w:tr>
        <w:trPr>
          <w:trHeight w:val="216"/>
        </w:trPr>
        <w:tc>
          <w:tcPr>
            <w:tcW w:w="8020" w:type="dxa"/>
            <w:vAlign w:val="bottom"/>
          </w:tcPr>
          <w:p>
            <w:pPr>
              <w:ind w:left="380"/>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41"/>
              <w:spacing w:after="0"/>
              <w:rPr>
                <w:sz w:val="20"/>
                <w:szCs w:val="20"/>
                <w:color w:val="auto"/>
              </w:rPr>
            </w:pPr>
            <w:r>
              <w:rPr>
                <w:rFonts w:ascii="Arial" w:cs="Arial" w:eastAsia="Arial" w:hAnsi="Arial"/>
                <w:sz w:val="18"/>
                <w:szCs w:val="18"/>
                <w:color w:val="auto"/>
              </w:rPr>
              <w:t>(287 )</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(249 )</w:t>
            </w:r>
          </w:p>
        </w:tc>
      </w:tr>
      <w:tr>
        <w:trPr>
          <w:trHeight w:val="216"/>
        </w:trPr>
        <w:tc>
          <w:tcPr>
            <w:tcW w:w="80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(253 )</w:t>
            </w:r>
          </w:p>
        </w:tc>
      </w:tr>
      <w:tr>
        <w:trPr>
          <w:trHeight w:val="209"/>
        </w:trPr>
        <w:tc>
          <w:tcPr>
            <w:tcW w:w="8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(15,019</w:t>
            </w:r>
          </w:p>
        </w:tc>
        <w:tc>
          <w:tcPr>
            <w:tcW w:w="580" w:type="dxa"/>
            <w:vAlign w:val="bottom"/>
            <w:tcBorders>
              <w:bottom w:val="single" w:sz="8" w:color="CFF0FC"/>
            </w:tcBorders>
            <w:shd w:val="clear" w:color="auto" w:fill="CFF0FC"/>
          </w:tcPr>
          <w:p>
            <w:pPr>
              <w:jc w:val="right"/>
              <w:ind w:right="44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41"/>
              <w:spacing w:after="0"/>
              <w:rPr>
                <w:sz w:val="20"/>
                <w:szCs w:val="20"/>
                <w:color w:val="auto"/>
              </w:rPr>
            </w:pPr>
            <w:r>
              <w:rPr>
                <w:rFonts w:ascii="Arial" w:cs="Arial" w:eastAsia="Arial" w:hAnsi="Arial"/>
                <w:sz w:val="18"/>
                <w:szCs w:val="18"/>
                <w:color w:val="auto"/>
              </w:rPr>
              <w:t>(100 )</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Purchase of marketable debt securities</w:t>
            </w:r>
          </w:p>
        </w:tc>
        <w:tc>
          <w:tcPr>
            <w:tcW w:w="300" w:type="dxa"/>
            <w:vAlign w:val="bottom"/>
          </w:tcPr>
          <w:p>
            <w:pPr>
              <w:spacing w:after="0"/>
              <w:rPr>
                <w:sz w:val="18"/>
                <w:szCs w:val="18"/>
                <w:color w:val="auto"/>
              </w:rPr>
            </w:pPr>
          </w:p>
        </w:tc>
        <w:tc>
          <w:tcPr>
            <w:tcW w:w="1560" w:type="dxa"/>
            <w:vAlign w:val="bottom"/>
            <w:gridSpan w:val="2"/>
          </w:tcPr>
          <w:p>
            <w:pPr>
              <w:jc w:val="right"/>
              <w:ind w:right="441"/>
              <w:spacing w:after="0"/>
              <w:rPr>
                <w:sz w:val="20"/>
                <w:szCs w:val="20"/>
                <w:color w:val="auto"/>
              </w:rPr>
            </w:pPr>
            <w:r>
              <w:rPr>
                <w:rFonts w:ascii="Arial" w:cs="Arial" w:eastAsia="Arial" w:hAnsi="Arial"/>
                <w:sz w:val="18"/>
                <w:szCs w:val="18"/>
                <w:color w:val="auto"/>
              </w:rPr>
              <w:t>(35,242 )</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(1,749 )</w:t>
            </w:r>
          </w:p>
        </w:tc>
      </w:tr>
      <w:tr>
        <w:trPr>
          <w:trHeight w:val="216"/>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Maturities and sales of marketable debt securities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20" w:type="dxa"/>
            <w:vAlign w:val="bottom"/>
          </w:tcPr>
          <w:p>
            <w:pPr>
              <w:ind w:left="1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8"/>
                <w:szCs w:val="18"/>
                <w:color w:val="auto"/>
              </w:rPr>
            </w:pPr>
          </w:p>
        </w:tc>
        <w:tc>
          <w:tcPr>
            <w:tcW w:w="1560" w:type="dxa"/>
            <w:vAlign w:val="bottom"/>
            <w:gridSpan w:val="2"/>
          </w:tcPr>
          <w:p>
            <w:pPr>
              <w:jc w:val="right"/>
              <w:ind w:right="441"/>
              <w:spacing w:after="0"/>
              <w:rPr>
                <w:sz w:val="20"/>
                <w:szCs w:val="20"/>
                <w:color w:val="auto"/>
              </w:rPr>
            </w:pPr>
            <w:r>
              <w:rPr>
                <w:rFonts w:ascii="Arial" w:cs="Arial" w:eastAsia="Arial" w:hAnsi="Arial"/>
                <w:sz w:val="18"/>
                <w:szCs w:val="18"/>
                <w:color w:val="auto"/>
              </w:rPr>
              <w:t>(35,342 )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24,470</w:t>
            </w:r>
          </w:p>
        </w:tc>
        <w:tc>
          <w:tcPr>
            <w:tcW w:w="100" w:type="dxa"/>
            <w:vAlign w:val="bottom"/>
          </w:tcPr>
          <w:p>
            <w:pPr>
              <w:spacing w:after="0"/>
              <w:rPr>
                <w:sz w:val="18"/>
                <w:szCs w:val="18"/>
                <w:color w:val="auto"/>
              </w:rPr>
            </w:pPr>
          </w:p>
        </w:tc>
      </w:tr>
      <w:tr>
        <w:trPr>
          <w:trHeight w:val="209"/>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8020" w:type="dxa"/>
            <w:vAlign w:val="bottom"/>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(50,361</w:t>
            </w:r>
          </w:p>
        </w:tc>
        <w:tc>
          <w:tcPr>
            <w:tcW w:w="580" w:type="dxa"/>
            <w:vAlign w:val="bottom"/>
            <w:shd w:val="clear" w:color="auto" w:fill="CFF0FC"/>
          </w:tcPr>
          <w:p>
            <w:pPr>
              <w:jc w:val="right"/>
              <w:ind w:right="44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71,436</w:t>
            </w:r>
          </w:p>
        </w:tc>
        <w:tc>
          <w:tcPr>
            <w:tcW w:w="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69,487</w:t>
            </w:r>
          </w:p>
        </w:tc>
        <w:tc>
          <w:tcPr>
            <w:tcW w:w="100" w:type="dxa"/>
            <w:vAlign w:val="bottom"/>
          </w:tcPr>
          <w:p>
            <w:pPr>
              <w:spacing w:after="0"/>
              <w:rPr>
                <w:sz w:val="18"/>
                <w:szCs w:val="18"/>
                <w:color w:val="auto"/>
              </w:rPr>
            </w:pPr>
          </w:p>
        </w:tc>
      </w:tr>
      <w:tr>
        <w:trPr>
          <w:trHeight w:val="210"/>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21,075</w:t>
            </w:r>
          </w:p>
        </w:tc>
        <w:tc>
          <w:tcPr>
            <w:tcW w:w="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FF0FC"/>
          </w:tcPr>
          <w:p>
            <w:pPr>
              <w:jc w:val="right"/>
              <w:ind w:right="52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-1705610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-1705610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-869315</wp:posOffset>
            </wp:positionV>
            <wp:extent cx="9398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-869315</wp:posOffset>
            </wp:positionV>
            <wp:extent cx="9398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Larimar Therapeutics, Inc., together with its subsidiary (the “Company” or “Larimar”), is a clinical-stage biotechnology company focused on</w:t>
      </w:r>
    </w:p>
    <w:p>
      <w:pPr>
        <w:jc w:val="center"/>
        <w:ind w:right="20"/>
        <w:spacing w:after="0"/>
        <w:rPr>
          <w:sz w:val="20"/>
          <w:szCs w:val="20"/>
          <w:color w:val="auto"/>
        </w:rPr>
      </w:pPr>
      <w:r>
        <w:rPr>
          <w:rFonts w:ascii="Arial" w:cs="Arial" w:eastAsia="Arial" w:hAnsi="Arial"/>
          <w:sz w:val="16"/>
          <w:szCs w:val="16"/>
          <w:color w:val="auto"/>
        </w:rPr>
        <w:t>developing treatments for patients suffering from complex rare diseases using its novel cell penetrating peptide technology platform. Larimar's lead product</w:t>
      </w:r>
    </w:p>
    <w:p>
      <w:pPr>
        <w:spacing w:after="0" w:line="5" w:lineRule="exact"/>
        <w:rPr>
          <w:sz w:val="20"/>
          <w:szCs w:val="20"/>
          <w:color w:val="auto"/>
        </w:rPr>
      </w:pPr>
    </w:p>
    <w:p>
      <w:pPr>
        <w:ind w:right="100"/>
        <w:spacing w:after="0" w:line="218" w:lineRule="auto"/>
        <w:rPr>
          <w:sz w:val="20"/>
          <w:szCs w:val="20"/>
          <w:color w:val="auto"/>
        </w:rPr>
      </w:pPr>
      <w:r>
        <w:rPr>
          <w:rFonts w:ascii="Arial" w:cs="Arial" w:eastAsia="Arial" w:hAnsi="Arial"/>
          <w:sz w:val="18"/>
          <w:szCs w:val="18"/>
          <w:color w:val="auto"/>
        </w:rPr>
        <w:t>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sufficient FXN due to a genetic abnormality.</w:t>
      </w:r>
    </w:p>
    <w:p>
      <w:pPr>
        <w:spacing w:after="0" w:line="68" w:lineRule="exact"/>
        <w:rPr>
          <w:sz w:val="20"/>
          <w:szCs w:val="20"/>
          <w:color w:val="auto"/>
        </w:rPr>
      </w:pPr>
    </w:p>
    <w:p>
      <w:pPr>
        <w:ind w:right="480" w:firstLine="509"/>
        <w:spacing w:after="0" w:line="235" w:lineRule="auto"/>
        <w:rPr>
          <w:sz w:val="20"/>
          <w:szCs w:val="20"/>
          <w:color w:val="auto"/>
        </w:rPr>
      </w:pPr>
      <w:r>
        <w:rPr>
          <w:rFonts w:ascii="Arial" w:cs="Arial" w:eastAsia="Arial" w:hAnsi="Arial"/>
          <w:sz w:val="18"/>
          <w:szCs w:val="18"/>
          <w:color w:val="auto"/>
        </w:rPr>
        <w:t>In May 2021, Larimar reported positive topline data from its Phase 1 Friedreich’s ataxia, ("FA") program after completing dosing of the single ascending dose, ("SAD"), trial in December 2020 and of the multiple ascending dose, ("MAD"), trial in March 2021.</w:t>
      </w:r>
    </w:p>
    <w:p>
      <w:pPr>
        <w:spacing w:after="0" w:line="5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Also in May 2021, the FDA placed a clinical hold on the Company's CTI-1601 clinical program after the Company notified the agency of</w:t>
      </w:r>
    </w:p>
    <w:p>
      <w:pPr>
        <w:ind w:right="300"/>
        <w:spacing w:after="0" w:line="233" w:lineRule="auto"/>
        <w:rPr>
          <w:sz w:val="20"/>
          <w:szCs w:val="20"/>
          <w:color w:val="auto"/>
        </w:rPr>
      </w:pPr>
      <w:r>
        <w:rPr>
          <w:rFonts w:ascii="Arial" w:cs="Arial" w:eastAsia="Arial" w:hAnsi="Arial"/>
          <w:sz w:val="18"/>
          <w:szCs w:val="18"/>
          <w:color w:val="auto"/>
        </w:rPr>
        <w:t>mortalities at the highest dose levels of the 26-week non-human primate toxicology study that was designed to support extended dosing of patients with CTI-1601. At the time the hold was placed, Larimar had no interventional clinical trials with patients enrolling or enrolled.</w:t>
      </w:r>
    </w:p>
    <w:p>
      <w:pPr>
        <w:spacing w:after="0" w:line="55" w:lineRule="exact"/>
        <w:rPr>
          <w:sz w:val="20"/>
          <w:szCs w:val="20"/>
          <w:color w:val="auto"/>
        </w:rPr>
      </w:pPr>
    </w:p>
    <w:p>
      <w:pPr>
        <w:ind w:right="220" w:firstLine="509"/>
        <w:spacing w:after="0" w:line="307" w:lineRule="auto"/>
        <w:rPr>
          <w:sz w:val="20"/>
          <w:szCs w:val="20"/>
          <w:color w:val="auto"/>
        </w:rPr>
      </w:pPr>
      <w:r>
        <w:rPr>
          <w:rFonts w:ascii="Arial" w:cs="Arial" w:eastAsia="Arial" w:hAnsi="Arial"/>
          <w:sz w:val="16"/>
          <w:szCs w:val="16"/>
          <w:color w:val="auto"/>
        </w:rPr>
        <w:t>In February 2022, in response to the Company's complete response to the clinical hold discussed above, the Agency stated that it was maintaining the clinical hold and that additional data are needed to resolve the clinical hold. Larimar subsequently submitted a request for an FDA Type C meeting.</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third quarter of 2022, the Company and the FDA had a Type-C meeting. The purpose of the Type C Meeting was to obtain FDA feedback on</w:t>
      </w:r>
    </w:p>
    <w:p>
      <w:pPr>
        <w:spacing w:after="0" w:line="21" w:lineRule="exact"/>
        <w:rPr>
          <w:sz w:val="20"/>
          <w:szCs w:val="20"/>
          <w:color w:val="auto"/>
        </w:rPr>
      </w:pPr>
    </w:p>
    <w:p>
      <w:pPr>
        <w:ind w:right="420"/>
        <w:spacing w:after="0" w:line="237" w:lineRule="auto"/>
        <w:rPr>
          <w:sz w:val="20"/>
          <w:szCs w:val="20"/>
          <w:color w:val="auto"/>
        </w:rPr>
      </w:pPr>
      <w:r>
        <w:rPr>
          <w:rFonts w:ascii="Arial" w:cs="Arial" w:eastAsia="Arial" w:hAnsi="Arial"/>
          <w:sz w:val="16"/>
          <w:szCs w:val="16"/>
          <w:color w:val="auto"/>
        </w:rPr>
        <w:t>the information needed to resolve CTI-1601's current clinical hold in full or in part, as well as to discuss a proposed change in CTI-1601’s clinical development plan to introduce a Phase 2 dose exploration study to precede initiation of an open label extension study. The Company plans to submit a</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complete response to the CTI-1601 clinical hold later in the third quarter of 2022. In conjunction with the complete response, Larimar is proposing as CTI-1601’s next clinical trial a Phase 2, four-week dose exploration study in FA patients starting at the lower dose levels tested in the Company’s Phase 1</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multiple-ascending dose clinical trial. This study will provide data on extended dosing of lower doses of CTI-1601, providing insights into safety and tolerability as well as whether lower doses for longer periods of time can increase frataxin levels, while still maintaining acceptable exposures. Throughout the course of the interactions with the FDA, Larimar intends to continue to work with the Agency to enable resolution of the clinical hold and to agree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study design and timing of the next proposed clinical trial. Larimar does not know when, or if the clinical hold will be lifted.</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is subject to risks and uncertainties common to pre-commercial companies in the biotechnology industry, including, but not limited</w:t>
      </w:r>
    </w:p>
    <w:p>
      <w:pPr>
        <w:spacing w:after="0" w:line="21"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capital to fund its operations. Drug candidates currently under development will require extensive non-clinical and clinical testing and regulatory approval prior to commercialization. These efforts require significant amounts of additional capital, adequate personnel, and infrastructure and extensive</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compliance-reporting capabilities. Even if our drug development efforts are successful, it is uncertain when, if ever, we will realize significant revenue from product sales.</w:t>
      </w:r>
    </w:p>
    <w:p>
      <w:pPr>
        <w:spacing w:after="0" w:line="67" w:lineRule="exact"/>
        <w:rPr>
          <w:sz w:val="20"/>
          <w:szCs w:val="20"/>
          <w:color w:val="auto"/>
        </w:rPr>
      </w:pPr>
    </w:p>
    <w:p>
      <w:pPr>
        <w:ind w:right="40" w:firstLine="554"/>
        <w:spacing w:after="0" w:line="248" w:lineRule="auto"/>
        <w:rPr>
          <w:sz w:val="20"/>
          <w:szCs w:val="20"/>
          <w:color w:val="auto"/>
        </w:rPr>
      </w:pPr>
      <w:r>
        <w:rPr>
          <w:rFonts w:ascii="Arial" w:cs="Arial" w:eastAsia="Arial" w:hAnsi="Arial"/>
          <w:sz w:val="16"/>
          <w:szCs w:val="16"/>
          <w:color w:val="auto"/>
        </w:rPr>
        <w:t>In late 2019, an outbreak of a novel strain of the Coronavirus 2019 Disease (COVID-19) was identified and infections have been found in a number of countries around the world, including the United States. The Company’s business, results of operations, financial condition and cash flows could be</w:t>
      </w:r>
    </w:p>
    <w:p>
      <w:pPr>
        <w:spacing w:after="0" w:line="237" w:lineRule="auto"/>
        <w:rPr>
          <w:sz w:val="20"/>
          <w:szCs w:val="20"/>
          <w:color w:val="auto"/>
        </w:rPr>
      </w:pPr>
      <w:r>
        <w:rPr>
          <w:rFonts w:ascii="Arial" w:cs="Arial" w:eastAsia="Arial" w:hAnsi="Arial"/>
          <w:sz w:val="16"/>
          <w:szCs w:val="16"/>
          <w:color w:val="auto"/>
        </w:rPr>
        <w:t>materially and adversely affected. Specifically, the Company could experience additional delays in future clinical trial timelines as a result of additional travel and hospital restrictions related to the COVID-19 pandemic and the efforts to mitigate it which may be imposed or could experience supply shortages</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or manufacturer shutdowns impacting the manufacture of drug substance or drug product, which could also impact clinical trial timelines. The condensed consolidated financial statements do not reflect any adjustments as a result of the pandemic.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80" w:firstLine="509"/>
        <w:spacing w:after="0" w:line="289" w:lineRule="auto"/>
        <w:rPr>
          <w:sz w:val="20"/>
          <w:szCs w:val="20"/>
          <w:color w:val="auto"/>
        </w:rPr>
      </w:pPr>
      <w:r>
        <w:rPr>
          <w:rFonts w:ascii="Arial" w:cs="Arial" w:eastAsia="Arial" w:hAnsi="Arial"/>
          <w:sz w:val="16"/>
          <w:szCs w:val="16"/>
          <w:color w:val="auto"/>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GAAP.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Going Concern Assessment</w:t>
      </w:r>
    </w:p>
    <w:p>
      <w:pPr>
        <w:spacing w:after="0" w:line="117"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Company’s condensed consolidated financial statements have been presented on the basis that it will continue as a going concern, which contemplates the realization of assets and satisfaction of liabilities in the normal course of business.</w:t>
      </w:r>
    </w:p>
    <w:p>
      <w:pPr>
        <w:spacing w:after="0" w:line="63"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Since its inception, the Company has incurred significant recurring operating losses and negative cash flows from operations. The Company has incurred net losses of $17.6 million and $24.7 million for the six months ended June 30, 2022 and 2021, respectively. In addition, as of June 30, 2022, the Company had an accumulated deficit of $133.9 million. The Company expects to continue to generate operating losses for the foreseeable future. As of June 30, 2022, the Company had approximately $54.9 million of cash, cash equivalents and marketable debt securities available for use to fund its operations and capital requirements.</w:t>
      </w:r>
    </w:p>
    <w:p>
      <w:pPr>
        <w:spacing w:after="0" w:line="74"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In August 2020, the Company entered into an Equity Distribution Agreement (the “ATM Agreement”) with an investment bank in connection with the establishment of an “at-the-market” offering program under which the Company could sell up to an aggregate of $50,000,000 of shares of its common stock from time to time through this investment bank as sales agent. In 2021, the Company sold 2,342,720 shares pursuant to the ATM Agreement for gross proceeds of $20.5 million. As of June 30, 2022, $29.2 million of additional shares of common stock remained available for sale by the Company under the ATM Agreement. See Note 7 for a further discussion of the ATM Agreement.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In accordance with Accounting Standards Update (“ASU”) No. 2014-15, </w:t>
      </w:r>
      <w:r>
        <w:rPr>
          <w:rFonts w:ascii="Arial" w:cs="Arial" w:eastAsia="Arial" w:hAnsi="Arial"/>
          <w:sz w:val="17"/>
          <w:szCs w:val="17"/>
          <w:i w:val="1"/>
          <w:iCs w:val="1"/>
          <w:color w:val="auto"/>
        </w:rPr>
        <w:t>Disclosure of Uncertainties about an Entity’s Ability to Continue as a</w:t>
      </w:r>
    </w:p>
    <w:p>
      <w:pPr>
        <w:spacing w:after="0" w:line="35" w:lineRule="exact"/>
        <w:rPr>
          <w:sz w:val="20"/>
          <w:szCs w:val="20"/>
          <w:color w:val="auto"/>
        </w:rPr>
      </w:pPr>
    </w:p>
    <w:p>
      <w:pPr>
        <w:spacing w:after="0" w:line="256" w:lineRule="auto"/>
        <w:rPr>
          <w:sz w:val="20"/>
          <w:szCs w:val="20"/>
          <w:color w:val="auto"/>
        </w:rPr>
      </w:pPr>
      <w:r>
        <w:rPr>
          <w:rFonts w:ascii="Arial" w:cs="Arial" w:eastAsia="Arial" w:hAnsi="Arial"/>
          <w:sz w:val="17"/>
          <w:szCs w:val="17"/>
          <w:i w:val="1"/>
          <w:iCs w:val="1"/>
          <w:color w:val="auto"/>
        </w:rPr>
        <w:t xml:space="preserve">Going Concern, </w:t>
      </w:r>
      <w:r>
        <w:rPr>
          <w:rFonts w:ascii="Arial" w:cs="Arial" w:eastAsia="Arial" w:hAnsi="Arial"/>
          <w:sz w:val="17"/>
          <w:szCs w:val="17"/>
          <w:color w:val="auto"/>
        </w:rPr>
        <w:t>the Company has evaluated whether there are certain conditions and events, considered in the aggregate, that raise substantial doubt about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ability to continue as a going concern within one year after the date that the condensed consolidated financial statements are issued. As of the issuance date of these condensed consolidated financial statements, the Company expects its cash, cash equivalents and marketable debt securities will be sufficient to fund its forecasted operating expenses and capital expenditure requirements, for at least twelve months from the issuance of these financial statements. If the timing of our clinical assumptions were delayed or if there were other forecasted assumption changes that negatively impact our operating plan, the Company could reduce expenditures in order to further extend cash resources.</w:t>
      </w:r>
    </w:p>
    <w:p>
      <w:pPr>
        <w:spacing w:after="0" w:line="8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it will need additional capital to fund its future operating and capital requirements. Until the Company can generate substantial revenue, if ever, management continuously evaluates different strategies to obtain the required funding for future operations. These strategies include seeking additional funding through a combination of public or private equity offerings, debt financings, collaborations and licensing arrangements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our product candidates.</w:t>
      </w:r>
    </w:p>
    <w:p>
      <w:pPr>
        <w:spacing w:after="0" w:line="80"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unrest including the potential impact of the Russian invasion of Ukraine, the possibility that the conflict could expand beyond eastern Europe, the impact of the COVID-19 pandemic and/or other health crises on the global financial markets may reduce the Company's ability to access capital, which could negatively affect its liquidity and ability to continue as a going concern.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jc w:val="both"/>
        <w:ind w:firstLine="509"/>
        <w:spacing w:after="0" w:line="303" w:lineRule="auto"/>
        <w:rPr>
          <w:sz w:val="20"/>
          <w:szCs w:val="20"/>
          <w:color w:val="auto"/>
        </w:rPr>
      </w:pPr>
      <w:r>
        <w:rPr>
          <w:rFonts w:ascii="Arial" w:cs="Arial" w:eastAsia="Arial" w:hAnsi="Arial"/>
          <w:sz w:val="16"/>
          <w:szCs w:val="16"/>
          <w:color w:val="auto"/>
        </w:rPr>
        <w:t>If the Company is unable to obtain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spacing w:after="0" w:line="13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 condensed consolidated balance sheet as of December 31, 2021 was derived from the Company’s audited financial statements but does not include all disclosures required by GAAP. The accompanying unaudited condensed consolidated financial statements as of June 30, 2022 and for the three and six months ended June 30, 2022 and 2021,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2021 included in the Company’s Annual Report on Form 10-K filed with the SEC on March 25, 2022.</w:t>
      </w:r>
    </w:p>
    <w:p>
      <w:pPr>
        <w:spacing w:after="0" w:line="6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In the opinion of management, all adjustments, consisting only of normal recurring adjustments necessary for a fair statement of the Company’s condensed consolidated financial position as of June 30, 2022, condensed consolidated results of operations for the three and six months ended June 30, 2022 and condensed consolidated statement of cash flows for the six months ended June 30, 2022 have been made. The results of operations for the three and six months ended June 30, 2022 are not necessarily indicative of the results of operations that may be expected for the year ending December 31,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condensed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90" w:lineRule="exact"/>
        <w:rPr>
          <w:sz w:val="20"/>
          <w:szCs w:val="20"/>
          <w:color w:val="auto"/>
        </w:rPr>
      </w:pPr>
    </w:p>
    <w:p>
      <w:pPr>
        <w:ind w:right="420" w:firstLine="509"/>
        <w:spacing w:after="0" w:line="256" w:lineRule="auto"/>
        <w:rPr>
          <w:sz w:val="20"/>
          <w:szCs w:val="20"/>
          <w:color w:val="auto"/>
        </w:rPr>
      </w:pPr>
      <w:r>
        <w:rPr>
          <w:rFonts w:ascii="Arial" w:cs="Arial" w:eastAsia="Arial" w:hAnsi="Arial"/>
          <w:sz w:val="16"/>
          <w:szCs w:val="16"/>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w:t>
      </w:r>
    </w:p>
    <w:p>
      <w:pPr>
        <w:spacing w:after="0" w:line="1"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and other costs. The Company recognizes external research and development costs based on an evaluation of the progress to completion of specific tasks using information provided to the Company by its service providers.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Nonrefundable advance payments for goods or services to be received in the future for use in research and development activities are recorded as</w:t>
      </w:r>
    </w:p>
    <w:p>
      <w:pPr>
        <w:spacing w:after="0" w:line="2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prepaid expenses. Such prepaid expenses are recognized as an expense when the goods have been delivered or the related services have been performed, or when it is no longer expected that the goods will be delivered, or the services rendered.</w:t>
      </w:r>
    </w:p>
    <w:p>
      <w:pPr>
        <w:spacing w:after="0" w:line="67"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Upfront payments, milestone payments and annual maintenance fees under license agreements are currently expensed in the period in which they are incurred.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90"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509"/>
        <w:spacing w:after="0" w:line="256" w:lineRule="auto"/>
        <w:rPr>
          <w:sz w:val="20"/>
          <w:szCs w:val="20"/>
          <w:color w:val="auto"/>
        </w:rPr>
      </w:pPr>
      <w:r>
        <w:rPr>
          <w:rFonts w:ascii="Arial" w:cs="Arial" w:eastAsia="Arial" w:hAnsi="Arial"/>
          <w:sz w:val="16"/>
          <w:szCs w:val="16"/>
          <w:color w:val="auto"/>
        </w:rPr>
        <w:t>The Company measures all stock-based awards granted to employees, directors and non-employee consultants based on the fair value on the date of grant using the Black-Scholes option-pricing model. Compensation expense of those awards is recognized over the requisite service period, which is the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vesting period of the respective award. Typically, the Company issues awards with only service-based vesting conditions and records the expense for these awards using the straight-line method. The Company accounts for forfeitures as they occur.</w:t>
      </w:r>
    </w:p>
    <w:p>
      <w:pPr>
        <w:spacing w:after="0" w:line="67" w:lineRule="exact"/>
        <w:rPr>
          <w:sz w:val="20"/>
          <w:szCs w:val="20"/>
          <w:color w:val="auto"/>
        </w:rPr>
      </w:pPr>
    </w:p>
    <w:p>
      <w:pPr>
        <w:ind w:right="260" w:firstLine="509"/>
        <w:spacing w:after="0" w:line="307" w:lineRule="auto"/>
        <w:rPr>
          <w:sz w:val="20"/>
          <w:szCs w:val="20"/>
          <w:color w:val="auto"/>
        </w:rPr>
      </w:pPr>
      <w:r>
        <w:rPr>
          <w:rFonts w:ascii="Arial" w:cs="Arial" w:eastAsia="Arial" w:hAnsi="Arial"/>
          <w:sz w:val="16"/>
          <w:szCs w:val="16"/>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Prior to May 28, 2020, the Company had been a private company and lacked company-specific historical and implied volatility information for its</w:t>
      </w:r>
    </w:p>
    <w:p>
      <w:pPr>
        <w:spacing w:after="0" w:line="21" w:lineRule="exact"/>
        <w:rPr>
          <w:sz w:val="20"/>
          <w:szCs w:val="20"/>
          <w:color w:val="auto"/>
        </w:rPr>
      </w:pPr>
    </w:p>
    <w:p>
      <w:pPr>
        <w:ind w:right="160"/>
        <w:spacing w:after="0" w:line="237" w:lineRule="auto"/>
        <w:rPr>
          <w:sz w:val="20"/>
          <w:szCs w:val="20"/>
          <w:color w:val="auto"/>
        </w:rPr>
      </w:pPr>
      <w:r>
        <w:rPr>
          <w:rFonts w:ascii="Arial" w:cs="Arial" w:eastAsia="Arial" w:hAnsi="Arial"/>
          <w:sz w:val="16"/>
          <w:szCs w:val="16"/>
          <w:color w:val="auto"/>
        </w:rPr>
        <w:t>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expected term of the award. Expected dividend yield considers the fact that the Company has never paid cash dividends on common stock and does not expect to pay any cash dividends in the foreseeable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6"/>
          <w:szCs w:val="16"/>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w:t>
      </w:r>
    </w:p>
    <w:p>
      <w:pPr>
        <w:ind w:right="120"/>
        <w:spacing w:after="0" w:line="243" w:lineRule="auto"/>
        <w:rPr>
          <w:sz w:val="20"/>
          <w:szCs w:val="20"/>
          <w:color w:val="auto"/>
        </w:rPr>
      </w:pPr>
      <w:r>
        <w:rPr>
          <w:rFonts w:ascii="Arial" w:cs="Arial" w:eastAsia="Arial" w:hAnsi="Arial"/>
          <w:sz w:val="17"/>
          <w:szCs w:val="17"/>
          <w:color w:val="auto"/>
        </w:rPr>
        <w:t>the exercise of which requires little or no consideration for the delivery of shares of common stock. Basic and diluted weighted average shares of common stock outstanding for the three and six months ended June 30, 2022 and 2021 includes the weighted average effect of 628,403 prefunded warrants for the purchase of shares of common stock, for which the remaining unfunded exercise price is $0.01 per share.</w:t>
      </w:r>
    </w:p>
    <w:p>
      <w:pPr>
        <w:spacing w:after="0" w:line="52" w:lineRule="exact"/>
        <w:rPr>
          <w:sz w:val="20"/>
          <w:szCs w:val="20"/>
          <w:color w:val="auto"/>
        </w:rPr>
      </w:pPr>
    </w:p>
    <w:p>
      <w:pPr>
        <w:ind w:right="80" w:firstLine="509"/>
        <w:spacing w:after="0" w:line="242" w:lineRule="auto"/>
        <w:rPr>
          <w:sz w:val="20"/>
          <w:szCs w:val="20"/>
          <w:color w:val="auto"/>
        </w:rPr>
      </w:pPr>
      <w:r>
        <w:rPr>
          <w:rFonts w:ascii="Arial" w:cs="Arial" w:eastAsia="Arial" w:hAnsi="Arial"/>
          <w:sz w:val="17"/>
          <w:szCs w:val="17"/>
          <w:color w:val="auto"/>
        </w:rPr>
        <w:t>Diluted net loss per share attributable to common stockholders is computed by dividing the diluted net loss attributable to common stockholders by the weighted average number of common shares, including potentially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54" w:lineRule="exact"/>
        <w:rPr>
          <w:sz w:val="20"/>
          <w:szCs w:val="20"/>
          <w:color w:val="auto"/>
        </w:rPr>
      </w:pPr>
    </w:p>
    <w:p>
      <w:pPr>
        <w:jc w:val="center"/>
        <w:ind w:right="40"/>
        <w:spacing w:after="0" w:line="273" w:lineRule="auto"/>
        <w:rPr>
          <w:sz w:val="20"/>
          <w:szCs w:val="20"/>
          <w:color w:val="auto"/>
        </w:rPr>
      </w:pPr>
      <w:r>
        <w:rPr>
          <w:rFonts w:ascii="Arial" w:cs="Arial" w:eastAsia="Arial" w:hAnsi="Arial"/>
          <w:sz w:val="16"/>
          <w:szCs w:val="16"/>
          <w:color w:val="auto"/>
        </w:rPr>
        <w:t>The Company excluded 3,130,370 and 2,546,962 common stock equivalents outstanding as of June 30, 2022 and 2021, respectively, from the computation of diluted net loss per share for the three and six months ended June 30, 2022 and 2021 because they had an anti-dilutive impact due to the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loss incurred for the periods presented.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From time to time, new accounting guidance is issued by the FASB or other standard setting bodies that is adopted by us as of the effective date or,</w:t>
      </w:r>
    </w:p>
    <w:p>
      <w:pPr>
        <w:spacing w:after="0" w:line="2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2" w:name="page13"/>
    <w:bookmarkEnd w:id="12"/>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June 30, 2022 and December 31, 2021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40"/>
          </w:cols>
          <w:pgMar w:left="320" w:top="432"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 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Inputs to the valuation methodology are quoted prices (unadjusted) for identical assets or liabilities in active markets.</w:t>
      </w:r>
    </w:p>
    <w:p>
      <w:pPr>
        <w:spacing w:after="0" w:line="140" w:lineRule="exact"/>
        <w:rPr>
          <w:sz w:val="20"/>
          <w:szCs w:val="20"/>
          <w:color w:val="auto"/>
        </w:rPr>
      </w:pPr>
    </w:p>
    <w:p>
      <w:pPr>
        <w:sectPr>
          <w:pgSz w:w="11900" w:h="16838" w:orient="portrait"/>
          <w:cols w:equalWidth="0" w:num="2">
            <w:col w:w="700" w:space="640"/>
            <w:col w:w="9900"/>
          </w:cols>
          <w:pgMar w:left="320" w:top="432"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 2</w:t>
      </w:r>
    </w:p>
    <w:p>
      <w:pPr>
        <w:spacing w:after="0" w:line="20" w:lineRule="exact"/>
        <w:rPr>
          <w:sz w:val="20"/>
          <w:szCs w:val="20"/>
          <w:color w:val="auto"/>
        </w:rPr>
      </w:pPr>
      <w:r>
        <w:rPr>
          <w:sz w:val="20"/>
          <w:szCs w:val="20"/>
          <w:color w:val="auto"/>
        </w:rPr>
        <w:br w:type="column"/>
      </w:r>
    </w:p>
    <w:p>
      <w:pPr>
        <w:ind w:right="740"/>
        <w:spacing w:after="0" w:line="289" w:lineRule="auto"/>
        <w:rPr>
          <w:sz w:val="20"/>
          <w:szCs w:val="20"/>
          <w:color w:val="auto"/>
        </w:rPr>
      </w:pPr>
      <w:r>
        <w:rPr>
          <w:rFonts w:ascii="Arial" w:cs="Arial" w:eastAsia="Arial" w:hAnsi="Arial"/>
          <w:sz w:val="16"/>
          <w:szCs w:val="16"/>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70" w:lineRule="exact"/>
        <w:rPr>
          <w:sz w:val="20"/>
          <w:szCs w:val="20"/>
          <w:color w:val="auto"/>
        </w:rPr>
      </w:pPr>
    </w:p>
    <w:p>
      <w:pPr>
        <w:sectPr>
          <w:pgSz w:w="11900" w:h="16838" w:orient="portrait"/>
          <w:cols w:equalWidth="0" w:num="2">
            <w:col w:w="700" w:space="640"/>
            <w:col w:w="9900"/>
          </w:cols>
          <w:pgMar w:left="320" w:top="432"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are unobservable and significant to the fair value measurement.</w:t>
      </w:r>
    </w:p>
    <w:p>
      <w:pPr>
        <w:spacing w:after="0" w:line="140" w:lineRule="exact"/>
        <w:rPr>
          <w:sz w:val="20"/>
          <w:szCs w:val="20"/>
          <w:color w:val="auto"/>
        </w:rPr>
      </w:pPr>
    </w:p>
    <w:p>
      <w:pPr>
        <w:sectPr>
          <w:pgSz w:w="11900" w:h="16838" w:orient="portrait"/>
          <w:cols w:equalWidth="0" w:num="2">
            <w:col w:w="700" w:space="640"/>
            <w:col w:w="9900"/>
          </w:cols>
          <w:pgMar w:left="320" w:top="432" w:right="339" w:bottom="1440" w:gutter="0" w:footer="0" w:header="0"/>
          <w:type w:val="continuous"/>
        </w:sectPr>
      </w:pPr>
    </w:p>
    <w:p>
      <w:pPr>
        <w:ind w:right="340" w:firstLine="509"/>
        <w:spacing w:after="0" w:line="248" w:lineRule="auto"/>
        <w:rPr>
          <w:sz w:val="20"/>
          <w:szCs w:val="20"/>
          <w:color w:val="auto"/>
        </w:rPr>
      </w:pPr>
      <w:r>
        <w:rPr>
          <w:rFonts w:ascii="Arial" w:cs="Arial" w:eastAsia="Arial" w:hAnsi="Arial"/>
          <w:sz w:val="18"/>
          <w:szCs w:val="18"/>
          <w:color w:val="auto"/>
        </w:rPr>
        <w:t>The Company’s financial instruments consist primarily of cash, cash equivalents, marketable debt securities, accounts payable and accrued liabilities. For accounts payable and accrued liabilities, the carrying amounts of these financial instruments as of June 30, 2022 and December 31, 2021 were considered representative of their fair values due to their short term to maturity.</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Company’s cash equivalents and marketable debt securities as of June 30, 2022 and cash equivalents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113030</wp:posOffset>
            </wp:positionV>
            <wp:extent cx="102870" cy="539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53975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113030</wp:posOffset>
            </wp:positionV>
            <wp:extent cx="93980" cy="539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53975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113030</wp:posOffset>
            </wp:positionV>
            <wp:extent cx="93980" cy="539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5397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113030</wp:posOffset>
            </wp:positionV>
            <wp:extent cx="93980" cy="539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53975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center"/>
              <w:ind w:right="117"/>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1320" w:type="dxa"/>
            <w:vAlign w:val="bottom"/>
            <w:gridSpan w:val="3"/>
          </w:tcPr>
          <w:p>
            <w:pPr>
              <w:jc w:val="right"/>
              <w:ind w:right="637"/>
              <w:spacing w:after="0"/>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60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Marketable debt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Government securities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640"/>
              <w:spacing w:after="0"/>
              <w:rPr>
                <w:sz w:val="20"/>
                <w:szCs w:val="20"/>
                <w:color w:val="auto"/>
              </w:rPr>
            </w:pPr>
            <w:r>
              <w:rPr>
                <w:rFonts w:ascii="Arial" w:cs="Arial" w:eastAsia="Arial" w:hAnsi="Arial"/>
                <w:sz w:val="18"/>
                <w:szCs w:val="18"/>
                <w:color w:val="auto"/>
              </w:rPr>
              <w:t>Total marketable debt securities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cash equivalents and marketable debt securities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52,866</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17,678</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equivalents: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6,137</w:t>
            </w:r>
          </w:p>
        </w:tc>
        <w:tc>
          <w:tcPr>
            <w:tcW w:w="4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6,137</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-1872615</wp:posOffset>
            </wp:positionV>
            <wp:extent cx="10287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-1872615</wp:posOffset>
            </wp:positionV>
            <wp:extent cx="9398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-1872615</wp:posOffset>
            </wp:positionV>
            <wp:extent cx="9398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-1872615</wp:posOffset>
            </wp:positionV>
            <wp:extent cx="9398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-1293495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-1293495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-1293495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-1002030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-985520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-1002030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-985520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-1002030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-985520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280" w:firstLine="315"/>
        <w:spacing w:after="0" w:line="261" w:lineRule="auto"/>
        <w:rPr>
          <w:sz w:val="20"/>
          <w:szCs w:val="20"/>
          <w:color w:val="auto"/>
        </w:rPr>
      </w:pPr>
      <w:r>
        <w:rPr>
          <w:rFonts w:ascii="Arial" w:cs="Arial" w:eastAsia="Arial" w:hAnsi="Arial"/>
          <w:sz w:val="18"/>
          <w:szCs w:val="18"/>
          <w:color w:val="auto"/>
        </w:rPr>
        <w:t>The accrued interest receivable related to the Company’s investments was $0.1 million as of June 30, 2022 and is included in prepaid expenses and other current assets on the condensed consolidated balance sheet. There was no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color w:val="auto"/>
        </w:rPr>
        <w:t>accrued interest receivable and December 31, 2021.</w:t>
      </w:r>
    </w:p>
    <w:p>
      <w:pPr>
        <w:spacing w:after="0" w:line="320" w:lineRule="exact"/>
        <w:rPr>
          <w:sz w:val="20"/>
          <w:szCs w:val="20"/>
          <w:color w:val="auto"/>
        </w:rPr>
      </w:pPr>
    </w:p>
    <w:p>
      <w:pPr>
        <w:ind w:right="240" w:firstLine="360"/>
        <w:spacing w:after="0" w:line="261" w:lineRule="auto"/>
        <w:rPr>
          <w:sz w:val="20"/>
          <w:szCs w:val="20"/>
          <w:color w:val="auto"/>
        </w:rPr>
      </w:pPr>
      <w:r>
        <w:rPr>
          <w:rFonts w:ascii="Arial" w:cs="Arial" w:eastAsia="Arial" w:hAnsi="Arial"/>
          <w:sz w:val="18"/>
          <w:szCs w:val="18"/>
          <w:color w:val="auto"/>
        </w:rPr>
        <w:t>The Company classifies its money market funds which are valued based on quoted market prices in active markets with no valuation adjustment, as Level 1 assets within the fair value hierarchy.</w:t>
      </w:r>
    </w:p>
    <w:p>
      <w:pPr>
        <w:spacing w:after="0" w:line="76" w:lineRule="exact"/>
        <w:rPr>
          <w:sz w:val="20"/>
          <w:szCs w:val="20"/>
          <w:color w:val="auto"/>
        </w:rPr>
      </w:pPr>
    </w:p>
    <w:p>
      <w:pPr>
        <w:ind w:right="20" w:firstLine="495"/>
        <w:spacing w:after="0" w:line="283" w:lineRule="auto"/>
        <w:rPr>
          <w:sz w:val="20"/>
          <w:szCs w:val="20"/>
          <w:color w:val="auto"/>
        </w:rPr>
      </w:pPr>
      <w:r>
        <w:rPr>
          <w:rFonts w:ascii="Arial" w:cs="Arial" w:eastAsia="Arial" w:hAnsi="Arial"/>
          <w:sz w:val="16"/>
          <w:szCs w:val="16"/>
          <w:color w:val="auto"/>
        </w:rPr>
        <w:t>The Company classifies its investments in U.S. treasury securities corporate commercial paper, and corporate debt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49"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As of June 30, 2022 and December 31, 2021,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June 30, 2022 and December 31, 2021, no allowances for credit losses for the Company’s investments were recorded. During the three and six months ended June 30, 2022 and 2021, the Company did not recognize any impairment losses related to investments.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11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following table summarizes the Company's marketable debt securities as of June 30, 2022. The Company held no marketable debt securities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104775</wp:posOffset>
            </wp:positionV>
            <wp:extent cx="102870" cy="351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351155"/>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104775</wp:posOffset>
            </wp:positionV>
            <wp:extent cx="93980" cy="3511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35115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104775</wp:posOffset>
            </wp:positionV>
            <wp:extent cx="93980"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3511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104775</wp:posOffset>
            </wp:positionV>
            <wp:extent cx="93980" cy="351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3511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42"/>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380" w:type="dxa"/>
            <w:vAlign w:val="bottom"/>
            <w:tcBorders>
              <w:top w:val="single" w:sz="8" w:color="auto"/>
            </w:tcBorders>
            <w:gridSpan w:val="2"/>
          </w:tcPr>
          <w:p>
            <w:pPr>
              <w:spacing w:after="0"/>
              <w:rPr>
                <w:sz w:val="13"/>
                <w:szCs w:val="13"/>
                <w:color w:val="auto"/>
              </w:rPr>
            </w:pPr>
          </w:p>
        </w:tc>
        <w:tc>
          <w:tcPr>
            <w:tcW w:w="1020" w:type="dxa"/>
            <w:vAlign w:val="bottom"/>
            <w:tcBorders>
              <w:top w:val="single" w:sz="8" w:color="auto"/>
            </w:tcBorders>
          </w:tcPr>
          <w:p>
            <w:pPr>
              <w:jc w:val="center"/>
              <w:ind w:right="181"/>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4"/>
          </w:tcPr>
          <w:p>
            <w:pPr>
              <w:jc w:val="center"/>
              <w:ind w:right="720"/>
              <w:spacing w:after="0" w:line="158" w:lineRule="exact"/>
              <w:rPr>
                <w:sz w:val="20"/>
                <w:szCs w:val="20"/>
                <w:color w:val="auto"/>
              </w:rPr>
            </w:pPr>
            <w:r>
              <w:rPr>
                <w:rFonts w:ascii="Arial" w:cs="Arial" w:eastAsia="Arial" w:hAnsi="Arial"/>
                <w:sz w:val="14"/>
                <w:szCs w:val="14"/>
                <w:b w:val="1"/>
                <w:bCs w:val="1"/>
                <w:color w:val="auto"/>
                <w:w w:val="95"/>
              </w:rPr>
              <w:t>Unrealized</w:t>
            </w:r>
          </w:p>
        </w:tc>
        <w:tc>
          <w:tcPr>
            <w:tcW w:w="11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380" w:type="dxa"/>
            <w:vAlign w:val="bottom"/>
            <w:tcBorders>
              <w:bottom w:val="single" w:sz="8" w:color="auto"/>
            </w:tcBorders>
            <w:gridSpan w:val="2"/>
          </w:tcPr>
          <w:p>
            <w:pPr>
              <w:spacing w:after="0"/>
              <w:rPr>
                <w:sz w:val="16"/>
                <w:szCs w:val="16"/>
                <w:color w:val="auto"/>
              </w:rPr>
            </w:pPr>
          </w:p>
        </w:tc>
        <w:tc>
          <w:tcPr>
            <w:tcW w:w="10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tcPr>
          <w:p>
            <w:pPr>
              <w:ind w:left="74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(57 )</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35,245</w:t>
            </w:r>
          </w:p>
        </w:tc>
        <w:tc>
          <w:tcPr>
            <w:tcW w:w="24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4"/>
          </w:tcPr>
          <w:p>
            <w:pPr>
              <w:ind w:left="94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(57 )</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35"/>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r>
      <w:tr>
        <w:trPr>
          <w:trHeight w:val="185"/>
        </w:trPr>
        <w:tc>
          <w:tcPr>
            <w:tcW w:w="4360" w:type="dxa"/>
            <w:vAlign w:val="bottom"/>
          </w:tcPr>
          <w:p>
            <w:pPr>
              <w:spacing w:after="0"/>
              <w:rPr>
                <w:sz w:val="16"/>
                <w:szCs w:val="16"/>
                <w:color w:val="auto"/>
              </w:rPr>
            </w:pPr>
          </w:p>
        </w:tc>
        <w:tc>
          <w:tcPr>
            <w:tcW w:w="43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71"/>
              </w:rPr>
              <w:t>thousands)</w:t>
            </w: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438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w:t>
            </w:r>
          </w:p>
        </w:tc>
        <w:tc>
          <w:tcPr>
            <w:tcW w:w="64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tax receivable</w:t>
            </w:r>
          </w:p>
        </w:tc>
        <w:tc>
          <w:tcPr>
            <w:tcW w:w="3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Other prepaid expenses and other assets</w:t>
            </w:r>
          </w:p>
        </w:tc>
        <w:tc>
          <w:tcPr>
            <w:tcW w:w="33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r>
      <w:tr>
        <w:trPr>
          <w:trHeight w:val="250"/>
        </w:trPr>
        <w:tc>
          <w:tcPr>
            <w:tcW w:w="4360" w:type="dxa"/>
            <w:vAlign w:val="bottom"/>
            <w:tcBorders>
              <w:bottom w:val="single" w:sz="8" w:color="CFF0FC"/>
            </w:tcBorders>
            <w:shd w:val="clear" w:color="auto" w:fill="CFF0FC"/>
          </w:tcPr>
          <w:p>
            <w:pPr>
              <w:spacing w:after="0"/>
              <w:rPr>
                <w:sz w:val="21"/>
                <w:szCs w:val="21"/>
                <w:color w:val="auto"/>
              </w:rPr>
            </w:pPr>
          </w:p>
        </w:tc>
        <w:tc>
          <w:tcPr>
            <w:tcW w:w="3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1,820</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4360" w:type="dxa"/>
            <w:vAlign w:val="bottom"/>
          </w:tcPr>
          <w:p>
            <w:pPr>
              <w:spacing w:after="0"/>
              <w:rPr>
                <w:sz w:val="24"/>
                <w:szCs w:val="24"/>
                <w:color w:val="auto"/>
              </w:rPr>
            </w:pPr>
          </w:p>
        </w:tc>
        <w:tc>
          <w:tcPr>
            <w:tcW w:w="3300" w:type="dxa"/>
            <w:vAlign w:val="bottom"/>
          </w:tcPr>
          <w:p>
            <w:pPr>
              <w:jc w:val="right"/>
              <w:ind w:right="1856"/>
              <w:spacing w:after="0"/>
              <w:rPr>
                <w:sz w:val="20"/>
                <w:szCs w:val="20"/>
                <w:color w:val="auto"/>
              </w:rPr>
            </w:pPr>
            <w:r>
              <w:rPr>
                <w:rFonts w:ascii="Arial" w:cs="Arial" w:eastAsia="Arial" w:hAnsi="Arial"/>
                <w:sz w:val="18"/>
                <w:szCs w:val="18"/>
                <w:color w:val="auto"/>
              </w:rPr>
              <w:t>12</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-513715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-496570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4640" w:type="dxa"/>
            <w:vAlign w:val="bottom"/>
          </w:tcPr>
          <w:p>
            <w:pPr>
              <w:spacing w:after="0"/>
              <w:rPr>
                <w:sz w:val="16"/>
                <w:szCs w:val="16"/>
                <w:color w:val="auto"/>
              </w:rPr>
            </w:pPr>
          </w:p>
        </w:tc>
        <w:tc>
          <w:tcPr>
            <w:tcW w:w="3520" w:type="dxa"/>
            <w:vAlign w:val="bottom"/>
          </w:tcPr>
          <w:p>
            <w:pPr>
              <w:jc w:val="center"/>
              <w:ind w:left="1734"/>
              <w:spacing w:after="0"/>
              <w:rPr>
                <w:sz w:val="20"/>
                <w:szCs w:val="20"/>
                <w:color w:val="auto"/>
              </w:rPr>
            </w:pPr>
            <w:r>
              <w:rPr>
                <w:rFonts w:ascii="Arial" w:cs="Arial" w:eastAsia="Arial" w:hAnsi="Arial"/>
                <w:sz w:val="14"/>
                <w:szCs w:val="14"/>
                <w:b w:val="1"/>
                <w:bCs w:val="1"/>
                <w:color w:val="auto"/>
                <w:w w:val="92"/>
              </w:rPr>
              <w:t>Useful Life</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5"/>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1560" w:type="dxa"/>
            <w:vAlign w:val="bottom"/>
            <w:gridSpan w:val="3"/>
          </w:tcPr>
          <w:p>
            <w:pPr>
              <w:jc w:val="right"/>
              <w:ind w:right="974"/>
              <w:spacing w:after="0"/>
              <w:rPr>
                <w:sz w:val="20"/>
                <w:szCs w:val="20"/>
                <w:color w:val="auto"/>
              </w:rPr>
            </w:pPr>
            <w:r>
              <w:rPr>
                <w:rFonts w:ascii="Arial" w:cs="Arial" w:eastAsia="Arial" w:hAnsi="Arial"/>
                <w:sz w:val="12"/>
                <w:szCs w:val="12"/>
                <w:b w:val="1"/>
                <w:bCs w:val="1"/>
                <w:color w:val="auto"/>
                <w:w w:val="74"/>
              </w:rPr>
              <w:t>thousands)</w:t>
            </w:r>
          </w:p>
        </w:tc>
        <w:tc>
          <w:tcPr>
            <w:tcW w:w="100" w:type="dxa"/>
            <w:vAlign w:val="bottom"/>
          </w:tcPr>
          <w:p>
            <w:pPr>
              <w:spacing w:after="0"/>
              <w:rPr>
                <w:sz w:val="14"/>
                <w:szCs w:val="14"/>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3520" w:type="dxa"/>
            <w:vAlign w:val="bottom"/>
            <w:shd w:val="clear" w:color="auto" w:fill="CFF0FC"/>
          </w:tcPr>
          <w:p>
            <w:pPr>
              <w:jc w:val="center"/>
              <w:ind w:left="1734"/>
              <w:spacing w:after="0"/>
              <w:rPr>
                <w:sz w:val="20"/>
                <w:szCs w:val="20"/>
                <w:color w:val="auto"/>
              </w:rPr>
            </w:pPr>
            <w:r>
              <w:rPr>
                <w:rFonts w:ascii="Arial" w:cs="Arial" w:eastAsia="Arial" w:hAnsi="Arial"/>
                <w:sz w:val="18"/>
                <w:szCs w:val="18"/>
                <w:color w:val="auto"/>
                <w:w w:val="84"/>
              </w:rPr>
              <w:t>5 years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3520" w:type="dxa"/>
            <w:vAlign w:val="bottom"/>
          </w:tcPr>
          <w:p>
            <w:pPr>
              <w:jc w:val="center"/>
              <w:ind w:left="1734"/>
              <w:spacing w:after="0"/>
              <w:rPr>
                <w:sz w:val="20"/>
                <w:szCs w:val="20"/>
                <w:color w:val="auto"/>
              </w:rPr>
            </w:pPr>
            <w:r>
              <w:rPr>
                <w:rFonts w:ascii="Arial" w:cs="Arial" w:eastAsia="Arial" w:hAnsi="Arial"/>
                <w:sz w:val="18"/>
                <w:szCs w:val="18"/>
                <w:color w:val="auto"/>
                <w:w w:val="84"/>
              </w:rPr>
              <w:t>5 years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520" w:type="dxa"/>
            <w:vAlign w:val="bottom"/>
            <w:shd w:val="clear" w:color="auto" w:fill="CFF0FC"/>
          </w:tcPr>
          <w:p>
            <w:pPr>
              <w:jc w:val="center"/>
              <w:ind w:left="1734"/>
              <w:spacing w:after="0"/>
              <w:rPr>
                <w:sz w:val="20"/>
                <w:szCs w:val="20"/>
                <w:color w:val="auto"/>
              </w:rPr>
            </w:pPr>
            <w:r>
              <w:rPr>
                <w:rFonts w:ascii="Arial" w:cs="Arial" w:eastAsia="Arial" w:hAnsi="Arial"/>
                <w:sz w:val="18"/>
                <w:szCs w:val="18"/>
                <w:color w:val="auto"/>
                <w:w w:val="84"/>
              </w:rPr>
              <w:t>7 years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520" w:type="dxa"/>
            <w:vAlign w:val="bottom"/>
          </w:tcPr>
          <w:p>
            <w:pPr>
              <w:jc w:val="center"/>
              <w:ind w:left="1734"/>
              <w:spacing w:after="0"/>
              <w:rPr>
                <w:sz w:val="20"/>
                <w:szCs w:val="20"/>
                <w:color w:val="auto"/>
              </w:rPr>
            </w:pPr>
            <w:r>
              <w:rPr>
                <w:rFonts w:ascii="Arial" w:cs="Arial" w:eastAsia="Arial" w:hAnsi="Arial"/>
                <w:sz w:val="18"/>
                <w:szCs w:val="18"/>
                <w:color w:val="auto"/>
                <w:w w:val="88"/>
              </w:rPr>
              <w:t>lease term</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0"/>
        </w:trPr>
        <w:tc>
          <w:tcPr>
            <w:tcW w:w="4640" w:type="dxa"/>
            <w:vAlign w:val="bottom"/>
            <w:shd w:val="clear" w:color="auto" w:fill="CFF0FC"/>
          </w:tcPr>
          <w:p>
            <w:pPr>
              <w:spacing w:after="0"/>
              <w:rPr>
                <w:sz w:val="18"/>
                <w:szCs w:val="18"/>
                <w:color w:val="auto"/>
              </w:rPr>
            </w:pPr>
          </w:p>
        </w:tc>
        <w:tc>
          <w:tcPr>
            <w:tcW w:w="3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(759 )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(596 )</w:t>
            </w:r>
          </w:p>
        </w:tc>
      </w:tr>
      <w:tr>
        <w:trPr>
          <w:trHeight w:val="249"/>
        </w:trPr>
        <w:tc>
          <w:tcPr>
            <w:tcW w:w="4640" w:type="dxa"/>
            <w:vAlign w:val="bottom"/>
            <w:tcBorders>
              <w:bottom w:val="single" w:sz="8" w:color="CFF0FC"/>
            </w:tcBorders>
            <w:shd w:val="clear" w:color="auto" w:fill="CFF0FC"/>
          </w:tcPr>
          <w:p>
            <w:pPr>
              <w:spacing w:after="0"/>
              <w:rPr>
                <w:sz w:val="21"/>
                <w:szCs w:val="21"/>
                <w:color w:val="auto"/>
              </w:rPr>
            </w:pPr>
          </w:p>
        </w:tc>
        <w:tc>
          <w:tcPr>
            <w:tcW w:w="35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Depreciation expense during the three and six months ended June 30, 2022 was $0.1 million, respectively. Depreciation expense during the three and six months ended June 30, 2021 was $0.1 million and $0.2 million, respectively.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7240" w:type="dxa"/>
            <w:vAlign w:val="bottom"/>
          </w:tcPr>
          <w:p>
            <w:pPr>
              <w:ind w:left="180"/>
              <w:spacing w:after="0"/>
              <w:rPr>
                <w:sz w:val="20"/>
                <w:szCs w:val="20"/>
                <w:color w:val="auto"/>
              </w:rPr>
            </w:pPr>
            <w:r>
              <w:rPr>
                <w:rFonts w:ascii="Arial" w:cs="Arial" w:eastAsia="Arial" w:hAnsi="Arial"/>
                <w:sz w:val="18"/>
                <w:szCs w:val="18"/>
                <w:b w:val="1"/>
                <w:bCs w:val="1"/>
                <w:color w:val="auto"/>
              </w:rPr>
              <w:t>Accrued Expenses</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5"/>
        </w:trPr>
        <w:tc>
          <w:tcPr>
            <w:tcW w:w="3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336"/>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3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74"/>
              </w:rPr>
              <w:t>thousands)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5,135</w:t>
            </w:r>
          </w:p>
        </w:tc>
        <w:tc>
          <w:tcPr>
            <w:tcW w:w="6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Accrued payroll and related expenses</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r>
      <w:tr>
        <w:trPr>
          <w:trHeight w:val="216"/>
        </w:trPr>
        <w:tc>
          <w:tcPr>
            <w:tcW w:w="75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Accrued other</w:t>
            </w:r>
          </w:p>
        </w:tc>
        <w:tc>
          <w:tcPr>
            <w:tcW w:w="1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6,656</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7640" w:firstLine="8"/>
        <w:spacing w:after="0" w:line="390" w:lineRule="auto"/>
        <w:tabs>
          <w:tab w:leader="none" w:pos="50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and Stock Options </w:t>
      </w:r>
      <w:r>
        <w:rPr>
          <w:rFonts w:ascii="Arial" w:cs="Arial" w:eastAsia="Arial" w:hAnsi="Arial"/>
          <w:sz w:val="16"/>
          <w:szCs w:val="16"/>
          <w:b w:val="1"/>
          <w:bCs w:val="1"/>
          <w:i w:val="1"/>
          <w:iCs w:val="1"/>
          <w:color w:val="auto"/>
        </w:rPr>
        <w:t>Common Stock and Prefunded Warrants</w:t>
      </w:r>
    </w:p>
    <w:p>
      <w:pPr>
        <w:ind w:right="160" w:firstLine="509"/>
        <w:spacing w:after="0" w:line="241" w:lineRule="auto"/>
        <w:rPr>
          <w:sz w:val="20"/>
          <w:szCs w:val="20"/>
          <w:color w:val="auto"/>
        </w:rPr>
      </w:pPr>
      <w:r>
        <w:rPr>
          <w:rFonts w:ascii="Arial" w:cs="Arial" w:eastAsia="Arial" w:hAnsi="Arial"/>
          <w:sz w:val="16"/>
          <w:szCs w:val="16"/>
          <w:color w:val="auto"/>
        </w:rPr>
        <w:t>As of June 30, 2022, the Company’s Certificate of Incorporation, as amended and restated, authorized the Company to issue up to 115,000,000 shares of $0.001 par value common stock, of which 17,710,450 shares were issued and outstanding, and up to 5,000,000 shares of $0.001 par value undesignated preferred stock, of which no shares were issued or outstanding. The voting, dividend, and liquidation rights of the holders of the Company’s</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declared by the board of directors of the Company (the “Board”), if any. No cash dividends have been declared or paid to date.</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May 28, 2020, the Company entered into a securities purchase agreement with certain accredited investors (the “Purchasers”) for the sale by the</w:t>
      </w:r>
    </w:p>
    <w:p>
      <w:pPr>
        <w:spacing w:after="0" w:line="21"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Company in a private placement of 6,105,359 shares of the Company’s common stock and prefunded warrants to purchase an aggregate of 628,403 shares of the Company’s common stock, for a price of $11.88 per share of the common stock and $11.87 per prefunded warrant. The prefunded warrants are</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exercisable at an exercise price of $0.01 and are exercisable indefinitely. The Purchasers may exercise the prefunded warrants on a cashless basis in the event that there is no effective registration statement covering the resale of the shares of common stock underlying the prefunded warrants on the date in</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w:t>
      </w:r>
    </w:p>
    <w:p>
      <w:pPr>
        <w:spacing w:after="0" w:line="1" w:lineRule="exact"/>
        <w:rPr>
          <w:sz w:val="20"/>
          <w:szCs w:val="20"/>
          <w:color w:val="auto"/>
        </w:rPr>
      </w:pPr>
    </w:p>
    <w:p>
      <w:pPr>
        <w:ind w:right="680"/>
        <w:spacing w:after="0" w:line="327" w:lineRule="auto"/>
        <w:rPr>
          <w:sz w:val="20"/>
          <w:szCs w:val="20"/>
          <w:color w:val="auto"/>
        </w:rPr>
      </w:pPr>
      <w:r>
        <w:rPr>
          <w:rFonts w:ascii="Arial" w:cs="Arial" w:eastAsia="Arial" w:hAnsi="Arial"/>
          <w:sz w:val="18"/>
          <w:szCs w:val="18"/>
          <w:color w:val="auto"/>
        </w:rPr>
        <w:t xml:space="preserve">with the private placement. As partial compensation for these services, the Company issued MTS Health Partners 35,260 shares of common stock. </w:t>
      </w:r>
      <w:r>
        <w:rPr>
          <w:rFonts w:ascii="Arial" w:cs="Arial" w:eastAsia="Arial" w:hAnsi="Arial"/>
          <w:sz w:val="18"/>
          <w:szCs w:val="18"/>
          <w:b w:val="1"/>
          <w:bCs w:val="1"/>
          <w:i w:val="1"/>
          <w:iCs w:val="1"/>
          <w:color w:val="auto"/>
        </w:rPr>
        <w:t>Equity Distribution Agreement</w:t>
      </w:r>
    </w:p>
    <w:p>
      <w:pPr>
        <w:ind w:right="40" w:firstLine="509"/>
        <w:spacing w:after="0" w:line="224" w:lineRule="auto"/>
        <w:rPr>
          <w:sz w:val="20"/>
          <w:szCs w:val="20"/>
          <w:color w:val="auto"/>
        </w:rPr>
      </w:pPr>
      <w:r>
        <w:rPr>
          <w:rFonts w:ascii="Arial" w:cs="Arial" w:eastAsia="Arial" w:hAnsi="Arial"/>
          <w:sz w:val="18"/>
          <w:szCs w:val="18"/>
          <w:color w:val="auto"/>
        </w:rPr>
        <w:t>On August 14, 2020, the Company entered into the ATM Agreement with an investment bank in connection with the establishment of an “at-the-market” offering program under which the Company may sell up to an aggregate of $50,000,000 of shares of common stock (the “ATM Shares”) from time to time (the “Offering”).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6"/>
          <w:szCs w:val="16"/>
          <w:color w:val="auto"/>
        </w:rPr>
        <w:t>Under the ATM Agreement, the Company sets the parameters for the sale of ATM Shares, including the number of ATM Shares to be issued, the</w:t>
      </w:r>
    </w:p>
    <w:p>
      <w:pPr>
        <w:spacing w:after="0" w:line="21" w:lineRule="exact"/>
        <w:rPr>
          <w:sz w:val="20"/>
          <w:szCs w:val="20"/>
          <w:color w:val="auto"/>
        </w:rPr>
      </w:pPr>
    </w:p>
    <w:p>
      <w:pPr>
        <w:ind w:right="400"/>
        <w:spacing w:after="0" w:line="237" w:lineRule="auto"/>
        <w:rPr>
          <w:sz w:val="20"/>
          <w:szCs w:val="20"/>
          <w:color w:val="auto"/>
        </w:rPr>
      </w:pPr>
      <w:r>
        <w:rPr>
          <w:rFonts w:ascii="Arial" w:cs="Arial" w:eastAsia="Arial" w:hAnsi="Arial"/>
          <w:sz w:val="16"/>
          <w:szCs w:val="16"/>
          <w:color w:val="auto"/>
        </w:rPr>
        <w:t>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w:t>
      </w:r>
    </w:p>
    <w:p>
      <w:pPr>
        <w:spacing w:after="0" w:line="230" w:lineRule="auto"/>
        <w:rPr>
          <w:sz w:val="20"/>
          <w:szCs w:val="20"/>
          <w:color w:val="auto"/>
        </w:rPr>
      </w:pPr>
      <w:r>
        <w:rPr>
          <w:rFonts w:ascii="Arial" w:cs="Arial" w:eastAsia="Arial" w:hAnsi="Arial"/>
          <w:sz w:val="16"/>
          <w:szCs w:val="16"/>
          <w:color w:val="auto"/>
        </w:rPr>
        <w:t>deemed to be “at-the-market offerings” as defined in Rule 415 under the Securities Act. The Company pays its investment bank a commission equal to</w:t>
      </w:r>
    </w:p>
    <w:p>
      <w:pPr>
        <w:spacing w:after="0"/>
        <w:rPr>
          <w:sz w:val="20"/>
          <w:szCs w:val="20"/>
          <w:color w:val="auto"/>
        </w:rPr>
      </w:pPr>
      <w:r>
        <w:rPr>
          <w:rFonts w:ascii="Arial" w:cs="Arial" w:eastAsia="Arial" w:hAnsi="Arial"/>
          <w:sz w:val="16"/>
          <w:szCs w:val="16"/>
          <w:color w:val="auto"/>
        </w:rPr>
        <w:t>3.0% of the gross proceeds of any ATM Shares sold through its investment bank under the ATM Agreement and reimburses the investment bank for certain</w:t>
      </w:r>
    </w:p>
    <w:p>
      <w:pPr>
        <w:spacing w:after="0" w:line="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w:t>
      </w:r>
    </w:p>
    <w:p>
      <w:pPr>
        <w:spacing w:after="0"/>
        <w:rPr>
          <w:sz w:val="20"/>
          <w:szCs w:val="20"/>
          <w:color w:val="auto"/>
        </w:rPr>
      </w:pPr>
      <w:r>
        <w:rPr>
          <w:rFonts w:ascii="Arial" w:cs="Arial" w:eastAsia="Arial" w:hAnsi="Arial"/>
          <w:sz w:val="18"/>
          <w:szCs w:val="18"/>
          <w:color w:val="auto"/>
        </w:rPr>
        <w:t>the ATM Shares and may at any time suspend offers under the ATM Agreement.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2021, the Company sold 2,342,720 shares under the ATM Agreement for net proceeds of $19.9 million.</w:t>
      </w:r>
    </w:p>
    <w:p>
      <w:pPr>
        <w:spacing w:after="0" w:line="77" w:lineRule="exact"/>
        <w:rPr>
          <w:sz w:val="20"/>
          <w:szCs w:val="20"/>
          <w:color w:val="auto"/>
        </w:rPr>
      </w:pPr>
    </w:p>
    <w:p>
      <w:pPr>
        <w:ind w:right="240" w:firstLine="509"/>
        <w:spacing w:after="0" w:line="307" w:lineRule="auto"/>
        <w:rPr>
          <w:sz w:val="20"/>
          <w:szCs w:val="20"/>
          <w:color w:val="auto"/>
        </w:rPr>
      </w:pPr>
      <w:r>
        <w:rPr>
          <w:rFonts w:ascii="Arial" w:cs="Arial" w:eastAsia="Arial" w:hAnsi="Arial"/>
          <w:sz w:val="16"/>
          <w:szCs w:val="16"/>
          <w:color w:val="auto"/>
        </w:rPr>
        <w:t>As of June 30, 2022, 2,354,244 shares of Common Stock have been sold under the ATM Agreement for net proceeds of $20.1 million. As of June 30, 2022, approximately $29.2 million shares of common stock still remained available for sale by the Company under the ATM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The Board adopted the 2020 Equity Incentive Plan (the "2020 Plan") on July 16, 2020 and the stockholders of the Company approved the 2020 Plan on September 29, 2020. The 2020 Plan replaces the predecessor plans (the "Prior Plans") that the Company assumed following its merger with Zafgen, Inc.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65"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56"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 During the six months ended June 30, 2022 and twelve months ended December 31, 2021, respectively, options to purchase 130,308 and 56,966 shares issued under the Prior Plans were cancelled and became available for grant under the 2020 Plan.</w:t>
      </w:r>
    </w:p>
    <w:p>
      <w:pPr>
        <w:spacing w:after="0" w:line="66"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As permitted by the 2020 Plan, the Company added 614,709 and 708,418 shares available for grant to the 2020 Plan on January 1, 2021 and January 1, 2022, respectively. As of June 30, 2022, 998,301 shares of common stock were available for grant under the 2020 Plan.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Valuation</w:t>
      </w:r>
    </w:p>
    <w:p>
      <w:pPr>
        <w:spacing w:after="0" w:line="10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80" w:type="dxa"/>
            <w:vAlign w:val="bottom"/>
          </w:tcPr>
          <w:p>
            <w:pPr>
              <w:ind w:left="6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660" w:type="dxa"/>
            <w:vAlign w:val="bottom"/>
          </w:tcPr>
          <w:p>
            <w:pPr>
              <w:spacing w:after="0"/>
              <w:rPr>
                <w:sz w:val="16"/>
                <w:szCs w:val="16"/>
                <w:color w:val="auto"/>
              </w:rPr>
            </w:pPr>
          </w:p>
        </w:tc>
        <w:tc>
          <w:tcPr>
            <w:tcW w:w="5740" w:type="dxa"/>
            <w:vAlign w:val="bottom"/>
            <w:gridSpan w:val="2"/>
          </w:tcPr>
          <w:p>
            <w:pPr>
              <w:jc w:val="center"/>
              <w:ind w:left="3994"/>
              <w:spacing w:after="0"/>
              <w:rPr>
                <w:sz w:val="20"/>
                <w:szCs w:val="20"/>
                <w:color w:val="auto"/>
              </w:rPr>
            </w:pPr>
            <w:r>
              <w:rPr>
                <w:rFonts w:ascii="Arial" w:cs="Arial" w:eastAsia="Arial" w:hAnsi="Arial"/>
                <w:sz w:val="14"/>
                <w:szCs w:val="14"/>
                <w:b w:val="1"/>
                <w:bCs w:val="1"/>
                <w:color w:val="auto"/>
                <w:w w:val="96"/>
              </w:rPr>
              <w:t>2022</w:t>
            </w:r>
          </w:p>
        </w:tc>
        <w:tc>
          <w:tcPr>
            <w:tcW w:w="184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96"/>
              </w:rPr>
              <w:t>2021</w:t>
            </w:r>
          </w:p>
        </w:tc>
      </w:tr>
      <w:tr>
        <w:trPr>
          <w:trHeight w:val="210"/>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406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2.11%</w:t>
            </w:r>
          </w:p>
        </w:tc>
        <w:tc>
          <w:tcPr>
            <w:tcW w:w="18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0.89%</w:t>
            </w: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5740" w:type="dxa"/>
            <w:vAlign w:val="bottom"/>
            <w:gridSpan w:val="2"/>
          </w:tcPr>
          <w:p>
            <w:pPr>
              <w:jc w:val="center"/>
              <w:ind w:left="3974"/>
              <w:spacing w:after="0"/>
              <w:rPr>
                <w:sz w:val="20"/>
                <w:szCs w:val="20"/>
                <w:color w:val="auto"/>
              </w:rPr>
            </w:pPr>
            <w:r>
              <w:rPr>
                <w:rFonts w:ascii="Arial" w:cs="Arial" w:eastAsia="Arial" w:hAnsi="Arial"/>
                <w:sz w:val="18"/>
                <w:szCs w:val="18"/>
                <w:color w:val="auto"/>
                <w:w w:val="91"/>
              </w:rPr>
              <w:t>6.21</w:t>
            </w:r>
          </w:p>
        </w:tc>
        <w:tc>
          <w:tcPr>
            <w:tcW w:w="1840" w:type="dxa"/>
            <w:vAlign w:val="bottom"/>
            <w:gridSpan w:val="2"/>
          </w:tcPr>
          <w:p>
            <w:pPr>
              <w:jc w:val="center"/>
              <w:ind w:left="95"/>
              <w:spacing w:after="0"/>
              <w:rPr>
                <w:sz w:val="20"/>
                <w:szCs w:val="20"/>
                <w:color w:val="auto"/>
              </w:rPr>
            </w:pPr>
            <w:r>
              <w:rPr>
                <w:rFonts w:ascii="Arial" w:cs="Arial" w:eastAsia="Arial" w:hAnsi="Arial"/>
                <w:sz w:val="18"/>
                <w:szCs w:val="18"/>
                <w:color w:val="auto"/>
                <w:w w:val="85"/>
              </w:rPr>
              <w:t>6.19</w:t>
            </w:r>
          </w:p>
        </w:tc>
      </w:tr>
      <w:tr>
        <w:trPr>
          <w:trHeight w:val="21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5740" w:type="dxa"/>
            <w:vAlign w:val="bottom"/>
            <w:gridSpan w:val="2"/>
            <w:shd w:val="clear" w:color="auto" w:fill="CFF0FC"/>
          </w:tcPr>
          <w:p>
            <w:pPr>
              <w:jc w:val="center"/>
              <w:ind w:left="3994"/>
              <w:spacing w:after="0"/>
              <w:rPr>
                <w:sz w:val="20"/>
                <w:szCs w:val="20"/>
                <w:color w:val="auto"/>
              </w:rPr>
            </w:pPr>
            <w:r>
              <w:rPr>
                <w:rFonts w:ascii="Arial" w:cs="Arial" w:eastAsia="Arial" w:hAnsi="Arial"/>
                <w:sz w:val="18"/>
                <w:szCs w:val="18"/>
                <w:color w:val="auto"/>
                <w:w w:val="94"/>
              </w:rPr>
              <w:t>89%</w:t>
            </w:r>
          </w:p>
        </w:tc>
        <w:tc>
          <w:tcPr>
            <w:tcW w:w="1840" w:type="dxa"/>
            <w:vAlign w:val="bottom"/>
            <w:gridSpan w:val="2"/>
            <w:shd w:val="clear" w:color="auto" w:fill="CFF0FC"/>
          </w:tcPr>
          <w:p>
            <w:pPr>
              <w:jc w:val="center"/>
              <w:ind w:left="95"/>
              <w:spacing w:after="0"/>
              <w:rPr>
                <w:sz w:val="20"/>
                <w:szCs w:val="20"/>
                <w:color w:val="auto"/>
              </w:rPr>
            </w:pPr>
            <w:r>
              <w:rPr>
                <w:rFonts w:ascii="Arial" w:cs="Arial" w:eastAsia="Arial" w:hAnsi="Arial"/>
                <w:sz w:val="18"/>
                <w:szCs w:val="18"/>
                <w:color w:val="auto"/>
                <w:w w:val="94"/>
              </w:rPr>
              <w:t>91%</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5740" w:type="dxa"/>
            <w:vAlign w:val="bottom"/>
            <w:gridSpan w:val="2"/>
          </w:tcPr>
          <w:p>
            <w:pPr>
              <w:jc w:val="center"/>
              <w:ind w:left="3994"/>
              <w:spacing w:after="0"/>
              <w:rPr>
                <w:sz w:val="20"/>
                <w:szCs w:val="20"/>
                <w:color w:val="auto"/>
              </w:rPr>
            </w:pPr>
            <w:r>
              <w:rPr>
                <w:rFonts w:ascii="Arial" w:cs="Arial" w:eastAsia="Arial" w:hAnsi="Arial"/>
                <w:sz w:val="18"/>
                <w:szCs w:val="18"/>
                <w:color w:val="auto"/>
                <w:w w:val="90"/>
              </w:rPr>
              <w:t>0.00%</w:t>
            </w:r>
          </w:p>
        </w:tc>
        <w:tc>
          <w:tcPr>
            <w:tcW w:w="1840" w:type="dxa"/>
            <w:vAlign w:val="bottom"/>
            <w:gridSpan w:val="2"/>
          </w:tcPr>
          <w:p>
            <w:pPr>
              <w:jc w:val="center"/>
              <w:ind w:left="95"/>
              <w:spacing w:after="0"/>
              <w:rPr>
                <w:sz w:val="20"/>
                <w:szCs w:val="20"/>
                <w:color w:val="auto"/>
              </w:rPr>
            </w:pPr>
            <w:r>
              <w:rPr>
                <w:rFonts w:ascii="Arial" w:cs="Arial" w:eastAsia="Arial" w:hAnsi="Arial"/>
                <w:sz w:val="18"/>
                <w:szCs w:val="18"/>
                <w:color w:val="auto"/>
                <w:w w:val="90"/>
              </w:rPr>
              <w:t>0.00%</w:t>
            </w:r>
          </w:p>
        </w:tc>
      </w:tr>
      <w:tr>
        <w:trPr>
          <w:trHeight w:val="634"/>
        </w:trPr>
        <w:tc>
          <w:tcPr>
            <w:tcW w:w="3660" w:type="dxa"/>
            <w:vAlign w:val="bottom"/>
          </w:tcPr>
          <w:p>
            <w:pPr>
              <w:spacing w:after="0"/>
              <w:rPr>
                <w:sz w:val="24"/>
                <w:szCs w:val="24"/>
                <w:color w:val="auto"/>
              </w:rPr>
            </w:pPr>
          </w:p>
        </w:tc>
        <w:tc>
          <w:tcPr>
            <w:tcW w:w="4060" w:type="dxa"/>
            <w:vAlign w:val="bottom"/>
          </w:tcPr>
          <w:p>
            <w:pPr>
              <w:jc w:val="right"/>
              <w:ind w:right="1914"/>
              <w:spacing w:after="0"/>
              <w:rPr>
                <w:sz w:val="20"/>
                <w:szCs w:val="20"/>
                <w:color w:val="auto"/>
              </w:rPr>
            </w:pPr>
            <w:r>
              <w:rPr>
                <w:rFonts w:ascii="Arial" w:cs="Arial" w:eastAsia="Arial" w:hAnsi="Arial"/>
                <w:sz w:val="18"/>
                <w:szCs w:val="18"/>
                <w:color w:val="auto"/>
              </w:rPr>
              <w:t>14</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02"/>
        </w:trPr>
        <w:tc>
          <w:tcPr>
            <w:tcW w:w="366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following table summarizes the Company’s stock option activity for the six months ended June 30, 2022 (amounts in millions, except for share and per share data):</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6"/>
        </w:trPr>
        <w:tc>
          <w:tcPr>
            <w:tcW w:w="5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75"/>
        </w:trPr>
        <w:tc>
          <w:tcPr>
            <w:tcW w:w="548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Value (a)</w:t>
            </w:r>
          </w:p>
        </w:tc>
        <w:tc>
          <w:tcPr>
            <w:tcW w:w="100" w:type="dxa"/>
            <w:vAlign w:val="bottom"/>
          </w:tcPr>
          <w:p>
            <w:pPr>
              <w:spacing w:after="0"/>
              <w:rPr>
                <w:sz w:val="15"/>
                <w:szCs w:val="15"/>
                <w:color w:val="auto"/>
              </w:rPr>
            </w:pPr>
          </w:p>
        </w:tc>
      </w:tr>
      <w:tr>
        <w:trPr>
          <w:trHeight w:val="185"/>
        </w:trPr>
        <w:tc>
          <w:tcPr>
            <w:tcW w:w="548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2,523,305</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852,450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Forfeited/Expired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(245,385 )</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22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196"/>
        </w:trPr>
        <w:tc>
          <w:tcPr>
            <w:tcW w:w="54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Outstanding as of June 30, 2022</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3,130,370</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12.32</w:t>
            </w:r>
          </w:p>
        </w:tc>
        <w:tc>
          <w:tcPr>
            <w:tcW w:w="1500" w:type="dxa"/>
            <w:vAlign w:val="bottom"/>
            <w:tcBorders>
              <w:top w:val="single" w:sz="8" w:color="CFF0FC"/>
            </w:tcBorders>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440" w:type="dxa"/>
            <w:vAlign w:val="bottom"/>
            <w:tcBorders>
              <w:top w:val="single" w:sz="8" w:color="CFF0FC"/>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tcPr>
          <w:p>
            <w:pPr>
              <w:ind w:left="9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Exercisable as of June 30, 2022</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1,201,628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14.98</w:t>
            </w:r>
          </w:p>
        </w:tc>
        <w:tc>
          <w:tcPr>
            <w:tcW w:w="15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7.4</w:t>
            </w:r>
          </w:p>
        </w:tc>
        <w:tc>
          <w:tcPr>
            <w:tcW w:w="44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ind w:left="9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4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Vested and expected to vest as of June 30, 2022</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3,130,370</w:t>
            </w:r>
          </w:p>
        </w:tc>
        <w:tc>
          <w:tcPr>
            <w:tcW w:w="2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12.32</w:t>
            </w: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ind w:left="9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-513715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-496570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-187960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4" w:lineRule="exact"/>
        <w:rPr>
          <w:sz w:val="20"/>
          <w:szCs w:val="20"/>
          <w:color w:val="auto"/>
        </w:rPr>
      </w:pPr>
    </w:p>
    <w:p>
      <w:pPr>
        <w:ind w:left="1260" w:right="40" w:hanging="503"/>
        <w:spacing w:after="0" w:line="248"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June 30, 2022. At June 30, 2022, none of the Company's stock options were "in the money."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Option Grants</w:t>
      </w:r>
    </w:p>
    <w:p>
      <w:pPr>
        <w:spacing w:after="0" w:line="104"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auto"/>
        </w:rPr>
        <w:t>During the six months ended June 30, 2022, the Company granted options to purchase 852,450 shares of common stock to employees and directors of the Company under the 2020 Plan. The options have an exercise price equal to the closing stock price as of the grant date. Of the 852,450 options granted in 2022, 810,950 were granted to employees and vest over four years with 25% vesting on the first anniversary of the grant and the remainder vesting in equal monthly installments thereafter. The remaining 41,500 options were annual grants to the Company's directors and vest one year from the grant date. The weighted-average grant date fair value of options granted during the six months ended June 30, 2022 was $5.31.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classified in the condensed consolidated statements of operations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60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r>
      <w:tr>
        <w:trPr>
          <w:trHeight w:val="185"/>
        </w:trPr>
        <w:tc>
          <w:tcPr>
            <w:tcW w:w="57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1,675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As of June 30, 2022, total unrecognized compensation expense related to unvested stock options was $15.7 million, which is expected to be recognized over a weighted average period of 2.47 years.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0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 Company is party to an exclusive License Agreement (the “WFUHS License”), dated November 30, 2016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73"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commencing on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 the 2020 calendar year for the term of the agreement.</w:t>
      </w:r>
    </w:p>
    <w:p>
      <w:pPr>
        <w:spacing w:after="0" w:line="7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7"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During the three and six months ended June 30, 2022, no milestones were achieved and no milestone expense was recognized. Both agreements continue from their effective date through the last to expire of the licensed patents unless earlier terminated by either party in accordance with their terms.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32" w:lineRule="exact"/>
        <w:rPr>
          <w:sz w:val="20"/>
          <w:szCs w:val="20"/>
          <w:color w:val="auto"/>
        </w:rPr>
      </w:pPr>
    </w:p>
    <w:p>
      <w:pPr>
        <w:ind w:right="180" w:firstLine="509"/>
        <w:spacing w:after="0" w:line="299" w:lineRule="auto"/>
        <w:rPr>
          <w:sz w:val="20"/>
          <w:szCs w:val="20"/>
          <w:color w:val="auto"/>
        </w:rPr>
      </w:pPr>
      <w:r>
        <w:rPr>
          <w:rFonts w:ascii="Arial" w:cs="Arial" w:eastAsia="Arial" w:hAnsi="Arial"/>
          <w:sz w:val="16"/>
          <w:szCs w:val="16"/>
          <w:color w:val="auto"/>
        </w:rPr>
        <w:t>On May 28, 2020, the Company acquired a non-cancellable operating lease for approximately 17,705 square feet of office space (the “Premises”). The lease expires on October 30, 2029. As part of the agreement, the Company is required to maintain a letter of credit, which upon signing was $1.3</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75"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and determined there was no impairment.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8" w:name="page19"/>
    <w:bookmarkEnd w:id="18"/>
    <w:p>
      <w:pPr>
        <w:ind w:right="100" w:firstLine="509"/>
        <w:spacing w:after="0" w:line="283" w:lineRule="auto"/>
        <w:rPr>
          <w:sz w:val="20"/>
          <w:szCs w:val="20"/>
          <w:color w:val="auto"/>
        </w:rPr>
      </w:pPr>
      <w:r>
        <w:rPr>
          <w:rFonts w:ascii="Arial" w:cs="Arial" w:eastAsia="Arial" w:hAnsi="Arial"/>
          <w:sz w:val="16"/>
          <w:szCs w:val="16"/>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48"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The Company has determined this lease extension qualifies as a short-term lease and have applied the accounting policy election to not record the related right-of-use asset and lease liabilities.</w:t>
      </w:r>
    </w:p>
    <w:p>
      <w:pPr>
        <w:spacing w:after="0" w:line="103"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Expense arising from operating leases was $0.1 million and $0.2 million during the three and six months ended June 30, 2022 and $0.1 million during the three and six months ended June 30, 2021, respectively. For operating leases, the weighted-average remaining lease term for leases at June 30, 2022 and December 31, 2021 was 7.2 and 7.6 years, respectively. For operating leases, the weighted average discount rate for leases at June 30, 2022 and December 31, 2021 was 11.0%. The Company has not entered into any financing leases.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due under these lease agreements as of June 30, 2022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9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Leases</w:t>
            </w: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Six months ending December 31, 2022</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Year ended December 31, 2023</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2024</w:t>
            </w: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Year ended December 31, 2025</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2026</w:t>
            </w: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8"/>
                <w:szCs w:val="18"/>
                <w:color w:val="auto"/>
              </w:rPr>
            </w:pPr>
          </w:p>
        </w:tc>
      </w:tr>
      <w:tr>
        <w:trPr>
          <w:trHeight w:val="209"/>
        </w:trPr>
        <w:tc>
          <w:tcPr>
            <w:tcW w:w="9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(2,493 )</w:t>
            </w:r>
          </w:p>
        </w:tc>
      </w:tr>
      <w:tr>
        <w:trPr>
          <w:trHeight w:val="250"/>
        </w:trPr>
        <w:tc>
          <w:tcPr>
            <w:tcW w:w="9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Present value of lease liabilities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420" w:firstLine="135"/>
        <w:spacing w:after="0" w:line="277" w:lineRule="auto"/>
        <w:rPr>
          <w:sz w:val="20"/>
          <w:szCs w:val="20"/>
          <w:color w:val="auto"/>
        </w:rPr>
      </w:pPr>
      <w:r>
        <w:rPr>
          <w:rFonts w:ascii="Arial" w:cs="Arial" w:eastAsia="Arial" w:hAnsi="Arial"/>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 by IU under the IU License. Pursuant to the terms of his consulting agreement the Company agreed to pay Dr. Payne $0.1 million per year over the term of the agreement and granted Dr. Payne 123,853 restricted Common Units in Chondrial Holdings, LLC, the sole investor in Chondrial Therapeutics which merged into the Company in May of 2020 ("Holdings"). On November 30, 2016, 30% immediately vested and was associated with Chondrial Therapeutics IP, LLC (“IP LLC”) becoming a subsidiary of Holdings, which was subsequently contributed to the Company on December 31, 2018. The remaining 70% vested ratably over 48 months beginning on December 1, 2016 and were fully vested as of December 31, 2020. The consulting agreement has a four-year term, subject to earlier termination. On November 30, 2020, The Company entered into a 1-month extension of the Consulting Engagement, expiring on December 31, 2020 and on January 1, 2021, the Company entered into a new consulting agreement with Dr. Payne which extended the term of the Consulting Engagement for a four-year term beginning on January 1, 2021. During the three and six months ended June 30, 2022 and 2021 the Company recognized less than $0.1 million and $0.1 million, respectively, related to this consulting agreement, recorded as research and development expense in the Condensed Consolidated Statements of Operations.</w:t>
      </w:r>
    </w:p>
    <w:p>
      <w:pPr>
        <w:spacing w:after="0" w:line="6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During 2021, the Company purchased a piece of laboratory equipment and lab supplies for a cumulative $0.1 million from a supplier of which one of the Company's directors is also a current director.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2021 included in our Annual Report on Form 10-K filed with the Securities and Exchange Commission (“SEC”) on March 25, 2022 ("2021 Annual Report").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2021 Annual Report and our subsequently filed Quarterly Report on Form 10-Q for the period ended March 31, 2022, in addition to the "Risk Factors" and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enough FXN due to a genetic abnormality. There is currently no effective therapy for FA.</w:t>
      </w:r>
    </w:p>
    <w:p>
      <w:pPr>
        <w:spacing w:after="0" w:line="42" w:lineRule="exact"/>
        <w:rPr>
          <w:sz w:val="20"/>
          <w:szCs w:val="20"/>
          <w:color w:val="auto"/>
        </w:rPr>
      </w:pPr>
    </w:p>
    <w:p>
      <w:pPr>
        <w:ind w:firstLine="509"/>
        <w:spacing w:after="0" w:line="211" w:lineRule="exact"/>
        <w:rPr>
          <w:sz w:val="20"/>
          <w:szCs w:val="20"/>
          <w:color w:val="auto"/>
        </w:rPr>
      </w:pPr>
      <w:r>
        <w:rPr>
          <w:rFonts w:ascii="Arial" w:cs="Arial" w:eastAsia="Arial" w:hAnsi="Arial"/>
          <w:sz w:val="17"/>
          <w:szCs w:val="17"/>
          <w:color w:val="auto"/>
        </w:rPr>
        <w:t>We have completed two Phase 1 clinical trials in patients with FA. We have received an orphan drug designation, fast track designation and rare pediatric disease designation, from the U.S. Food and Drug Administration (the "FDA") for CTI</w:t>
      </w:r>
      <w:r>
        <w:rPr>
          <w:rFonts w:ascii="MS PGothic" w:cs="MS PGothic" w:eastAsia="MS PGothic" w:hAnsi="MS PGothic"/>
          <w:sz w:val="17"/>
          <w:szCs w:val="17"/>
          <w:color w:val="auto"/>
        </w:rPr>
        <w:t>‑</w:t>
      </w:r>
      <w:r>
        <w:rPr>
          <w:rFonts w:ascii="Arial" w:cs="Arial" w:eastAsia="Arial" w:hAnsi="Arial"/>
          <w:sz w:val="17"/>
          <w:szCs w:val="17"/>
          <w:color w:val="auto"/>
        </w:rPr>
        <w:t>1601. In addition, we received orphan drug designation for CTI-1601 from the European Commission and a Priority Medicines ("PRIME") designation from the European Medicines Agency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97"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74"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CTI-1601 Program Update</w:t>
      </w:r>
    </w:p>
    <w:p>
      <w:pPr>
        <w:spacing w:after="0" w:line="108" w:lineRule="exact"/>
        <w:rPr>
          <w:sz w:val="20"/>
          <w:szCs w:val="20"/>
          <w:color w:val="auto"/>
        </w:rPr>
      </w:pPr>
    </w:p>
    <w:p>
      <w:pPr>
        <w:jc w:val="both"/>
        <w:ind w:right="40" w:firstLine="509"/>
        <w:spacing w:after="0" w:line="249" w:lineRule="auto"/>
        <w:rPr>
          <w:sz w:val="20"/>
          <w:szCs w:val="20"/>
          <w:color w:val="auto"/>
        </w:rPr>
      </w:pPr>
      <w:r>
        <w:rPr>
          <w:rFonts w:ascii="Arial" w:cs="Arial" w:eastAsia="Arial" w:hAnsi="Arial"/>
          <w:sz w:val="18"/>
          <w:szCs w:val="18"/>
          <w:color w:val="auto"/>
        </w:rPr>
        <w:t>On May 20, 2021 we announced that we had received an EMA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pre-clinical data as well as tolerability data from the CTI-1601 Phase 1 program in patients with FA.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ind w:right="120" w:firstLine="509"/>
        <w:spacing w:after="0" w:line="263" w:lineRule="auto"/>
        <w:rPr>
          <w:sz w:val="20"/>
          <w:szCs w:val="20"/>
          <w:color w:val="auto"/>
        </w:rPr>
      </w:pPr>
      <w:r>
        <w:rPr>
          <w:rFonts w:ascii="Arial" w:cs="Arial" w:eastAsia="Arial" w:hAnsi="Arial"/>
          <w:sz w:val="17"/>
          <w:szCs w:val="17"/>
          <w:color w:val="auto"/>
        </w:rPr>
        <w:t>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("SAEs") associated with either the MAD or SAD trials.</w:t>
      </w:r>
    </w:p>
    <w:p>
      <w:pPr>
        <w:spacing w:after="0" w:line="65" w:lineRule="exact"/>
        <w:rPr>
          <w:sz w:val="20"/>
          <w:szCs w:val="20"/>
          <w:color w:val="auto"/>
        </w:rPr>
      </w:pPr>
    </w:p>
    <w:p>
      <w:pPr>
        <w:jc w:val="both"/>
        <w:ind w:right="160" w:firstLine="509"/>
        <w:spacing w:after="0" w:line="256" w:lineRule="auto"/>
        <w:rPr>
          <w:sz w:val="20"/>
          <w:szCs w:val="20"/>
          <w:color w:val="auto"/>
        </w:rPr>
      </w:pPr>
      <w:r>
        <w:rPr>
          <w:rFonts w:ascii="Arial" w:cs="Arial" w:eastAsia="Arial" w:hAnsi="Arial"/>
          <w:sz w:val="18"/>
          <w:szCs w:val="18"/>
          <w:color w:val="auto"/>
        </w:rPr>
        <w:t>Also in May 2021, the FDA placed a clinical hold on our CTI-1601 clinical program after we notified the agency of mortalities at the highest dose levels of the 26-week non-human primate toxicology study that was designed to support extended dosing of patients with CTI-1601. At the time the hold was placed, we had no interventional clinical trials with patients enrolling or enrolled.</w:t>
      </w:r>
    </w:p>
    <w:p>
      <w:pPr>
        <w:spacing w:after="0" w:line="67"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In February 2022, in response to the complete response we submitted to the FDA, the Agency stated that it was maintaining the clinical hold and that additional data are needed to resolve the clinical hold. We subsequently submitted a request to the FDA for a Type C meeting.</w:t>
      </w:r>
    </w:p>
    <w:p>
      <w:pPr>
        <w:spacing w:after="0" w:line="52"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In the third quarter of 2022, we had a Type-C meeting with the FDA. The purpose of the Type C Meeting was to obtain FDA feedback on the information needed to resolve CTI-1601's current clinical hold in full or in part, as well as to discuss a proposed change in CTI-1601’s clinical development plan to introduce a Phase 2 dose exploration study to precede initiation of an open label extension study. We plan to submit a complete response to the CTI-1601 clinical hold later in the third quarter of 2022. In conjunction with the complete response, we are proposing as CTI-1601’s next clinical trial, a Phase 2, four-week dose exploration study in FA patients starting at the lower dose levels tested in the Company’s Phase 1 multiple-ascending dose clinical trial.</w:t>
      </w:r>
    </w:p>
    <w:p>
      <w:pPr>
        <w:spacing w:after="0" w:line="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This study will provide data on extended dosing of lower doses of CTI-1601, providing insights into safety and tolerability as well as whether lower doses for longer periods of time can increase frataxin levels, while still maintaining acceptable exposures. Throughout the course of the interactions with the FDA, we intend to continue to work with the Agency to enable resolution of the clinical hold and to agree on the study design and timing of the next proposed clinical trial. We do not know when, or if the clinical hold will be lifted.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08"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We have funded our operating and capital requirements to date primarily with proceeds from sales of common stock and prefunded warrants for the purchase of common stock and, prior to our May 2020 merger with Zafgen, with capital contributions from Chondrial Holdings, LLC ("Holdings").</w:t>
      </w:r>
    </w:p>
    <w:p>
      <w:pPr>
        <w:spacing w:after="0" w:line="30"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In August 2020, we entered into an Equity Distribution Agreement ("the ATM Agreement") with an investment bank in connection with the establishment of an “at-the-market” offering program under which we could sell up to an aggregate of $50,000,000 of shares of our common stock from time to time through this investment bank as sales agent.</w:t>
      </w:r>
    </w:p>
    <w:p>
      <w:pPr>
        <w:spacing w:after="0" w:line="7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 July 2021, we sold 2,342,720 shares pursuant to the ATM Agreement for net proceeds of $19.9 million, after issuance costs. As of June 30, 2022, $29.2 million of additional shares of common stock remained available for sale by us under the ATM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08" w:lineRule="exact"/>
        <w:rPr>
          <w:sz w:val="20"/>
          <w:szCs w:val="20"/>
          <w:color w:val="auto"/>
        </w:rPr>
      </w:pPr>
    </w:p>
    <w:p>
      <w:pPr>
        <w:ind w:right="20" w:firstLine="554"/>
        <w:spacing w:after="0" w:line="268" w:lineRule="auto"/>
        <w:rPr>
          <w:sz w:val="20"/>
          <w:szCs w:val="20"/>
          <w:color w:val="auto"/>
        </w:rPr>
      </w:pPr>
      <w:r>
        <w:rPr>
          <w:rFonts w:ascii="Arial" w:cs="Arial" w:eastAsia="Arial" w:hAnsi="Arial"/>
          <w:sz w:val="17"/>
          <w:szCs w:val="17"/>
          <w:color w:val="auto"/>
        </w:rPr>
        <w:t>In late 2019, an outbreak of a novel strain of the Coronavirus 2019 Disease (COVID-19) was identified and infections have been found in a number of countries around the world, including the United States. Our business, results of operations, financial condition and cash flows could be materially and adversely affected. Specifically, we could experience additional delays in future clinical trial timelines as a result of additional travel and hospital restrictions related to the COVID-19 pandemic and the efforts to mitigate it which may be imposed or could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2" w:name="page23"/>
    <w:bookmarkEnd w:id="22"/>
    <w:p>
      <w:pPr>
        <w:ind w:right="300"/>
        <w:spacing w:after="0" w:line="277" w:lineRule="auto"/>
        <w:rPr>
          <w:sz w:val="20"/>
          <w:szCs w:val="20"/>
          <w:color w:val="auto"/>
        </w:rPr>
      </w:pPr>
      <w:r>
        <w:rPr>
          <w:rFonts w:ascii="Arial" w:cs="Arial" w:eastAsia="Arial" w:hAnsi="Arial"/>
          <w:sz w:val="18"/>
          <w:szCs w:val="18"/>
          <w:color w:val="auto"/>
        </w:rPr>
        <w:t>experience supply shortages or manufacturer shutdowns impacting the manufacture of drug substance or drug product, which could also impact clinical trial timelines.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520" w:firstLine="509"/>
        <w:spacing w:after="0"/>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majority of our operating expenses since inception have consisted primarily of research and development and general and administrative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89"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03"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expenses for employees engaged in scientific research and development functions;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external costs of outside consultants and vendors;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9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spacing w:after="0" w:line="81"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clinical and commercial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73" w:lineRule="exact"/>
        <w:rPr>
          <w:sz w:val="20"/>
          <w:szCs w:val="20"/>
          <w:color w:val="auto"/>
        </w:rPr>
      </w:pPr>
    </w:p>
    <w:p>
      <w:pPr>
        <w:ind w:left="1020" w:right="48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 including the ongoing impact of COVID-19 on these activities;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influence of the FDA’s or other regulatory authority’s on our clinical trial design and timing;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3" w:name="page24"/>
    <w:bookmarkEnd w:id="23"/>
    <w:p>
      <w:pPr>
        <w:ind w:left="1020" w:right="520" w:hanging="503"/>
        <w:spacing w:after="0" w:line="25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the on-going COVID-19 pandemic including the variants of the original virus that may prove more contagious and deadly;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patent and trade secret protection and regulatory exclusivity for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and retain key research and development personnel.</w:t>
      </w:r>
    </w:p>
    <w:p>
      <w:pPr>
        <w:spacing w:after="0" w:line="10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340" w:firstLine="509"/>
        <w:spacing w:after="0" w:line="263" w:lineRule="auto"/>
        <w:rPr>
          <w:sz w:val="20"/>
          <w:szCs w:val="20"/>
          <w:color w:val="auto"/>
        </w:rPr>
      </w:pPr>
      <w:r>
        <w:rPr>
          <w:rFonts w:ascii="Arial" w:cs="Arial" w:eastAsia="Arial" w:hAnsi="Arial"/>
          <w:sz w:val="17"/>
          <w:szCs w:val="17"/>
          <w:color w:val="auto"/>
        </w:rPr>
        <w:t>General and administrative expenses consist primarily of personnel costs, composed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jc w:val="both"/>
        <w:ind w:right="200" w:firstLine="509"/>
        <w:spacing w:after="0" w:line="274" w:lineRule="auto"/>
        <w:rPr>
          <w:sz w:val="20"/>
          <w:szCs w:val="20"/>
          <w:color w:val="auto"/>
        </w:rPr>
      </w:pPr>
      <w:r>
        <w:rPr>
          <w:rFonts w:ascii="Arial" w:cs="Arial" w:eastAsia="Arial" w:hAnsi="Arial"/>
          <w:sz w:val="15"/>
          <w:szCs w:val="15"/>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w:t>
      </w:r>
    </w:p>
    <w:p>
      <w:pPr>
        <w:ind w:right="60"/>
        <w:spacing w:after="0" w:line="237" w:lineRule="auto"/>
        <w:rPr>
          <w:sz w:val="20"/>
          <w:szCs w:val="20"/>
          <w:color w:val="auto"/>
        </w:rPr>
      </w:pPr>
      <w:r>
        <w:rPr>
          <w:rFonts w:ascii="Arial" w:cs="Arial" w:eastAsia="Arial" w:hAnsi="Arial"/>
          <w:sz w:val="16"/>
          <w:szCs w:val="16"/>
          <w:color w:val="auto"/>
        </w:rPr>
        <w:t>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assumptions on an ongoing basis. Our actual results may differ from these estimates under different assumptions and conditions.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40" w:firstLine="509"/>
        <w:spacing w:after="0" w:line="248" w:lineRule="auto"/>
        <w:rPr>
          <w:sz w:val="20"/>
          <w:szCs w:val="20"/>
          <w:color w:val="auto"/>
        </w:rPr>
      </w:pPr>
      <w:r>
        <w:rPr>
          <w:rFonts w:ascii="Arial" w:cs="Arial" w:eastAsia="Arial" w:hAnsi="Arial"/>
          <w:sz w:val="16"/>
          <w:szCs w:val="16"/>
          <w:color w:val="auto"/>
        </w:rPr>
        <w:t>As part of the process of preparing our condensed consolidated financial statements, we are required to estimate our accrued research and development expenses and evaluate payments made to vendors in advance of actual work activities being performed. This process involves reviewing open</w:t>
      </w:r>
    </w:p>
    <w:p>
      <w:pPr>
        <w:ind w:right="60"/>
        <w:spacing w:after="0" w:line="246" w:lineRule="auto"/>
        <w:rPr>
          <w:sz w:val="20"/>
          <w:szCs w:val="20"/>
          <w:color w:val="auto"/>
        </w:rPr>
      </w:pPr>
      <w:r>
        <w:rPr>
          <w:rFonts w:ascii="Arial" w:cs="Arial" w:eastAsia="Arial" w:hAnsi="Arial"/>
          <w:sz w:val="16"/>
          <w:szCs w:val="16"/>
          <w:color w:val="auto"/>
        </w:rPr>
        <w:t>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milestones are met. We make estimates of our accrued expenses as of each balance sheet date in our condensed consolidated financial statements based on facts and circumstances known to us at that time. Examples of estimated accrued research and development expenses include fees paid to:</w:t>
      </w:r>
    </w:p>
    <w:p>
      <w:pPr>
        <w:spacing w:after="0" w:line="59"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manufacturing organizations in connection with the production of non-clinical and clinical trial materials;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jc w:val="both"/>
        <w:ind w:right="340" w:firstLine="509"/>
        <w:spacing w:after="0" w:line="253" w:lineRule="auto"/>
        <w:rPr>
          <w:sz w:val="20"/>
          <w:szCs w:val="20"/>
          <w:color w:val="auto"/>
        </w:rPr>
      </w:pPr>
      <w:r>
        <w:rPr>
          <w:rFonts w:ascii="Arial" w:cs="Arial" w:eastAsia="Arial" w:hAnsi="Arial"/>
          <w:sz w:val="16"/>
          <w:szCs w:val="16"/>
          <w:color w:val="auto"/>
        </w:rPr>
        <w:t>We base our expenses related to clinical trials on our estimates of the services received and efforts expended pursuant to contracts with multiple CROs or CMOs that conduct and manage clinical trials or manufacture clinical trial material on our behalf. The financial terms of these agreements are subject to negotiation, vary from contract to contract and may result in uneven payment flows. There may be instances in which payments made to our</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we estimate the time</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period over which services will be performed, enrollment of patients, number of sites activated and the level of effort to be expended in each period. In accruing CMO costs, we estimate the time period that manufacturing will be completed, the achievement of milestones and the percentage of completion of each specific CMO agreement. If the actual timing of the performance of services or the level of effort varies from our estimate, we adjust the accrual or</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periods as additional information becomes available.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We measure all stock-based awards granted to employees, directors and non-employee consultants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73" w:lineRule="exact"/>
        <w:rPr>
          <w:sz w:val="20"/>
          <w:szCs w:val="20"/>
          <w:color w:val="auto"/>
        </w:rPr>
      </w:pPr>
    </w:p>
    <w:p>
      <w:pPr>
        <w:ind w:right="100" w:firstLine="509"/>
        <w:spacing w:after="0" w:line="308" w:lineRule="auto"/>
        <w:rPr>
          <w:sz w:val="20"/>
          <w:szCs w:val="20"/>
          <w:color w:val="auto"/>
        </w:rPr>
      </w:pPr>
      <w:r>
        <w:rPr>
          <w:rFonts w:ascii="Arial" w:cs="Arial" w:eastAsia="Arial" w:hAnsi="Arial"/>
          <w:sz w:val="17"/>
          <w:szCs w:val="17"/>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2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have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w w:val="94"/>
              </w:rPr>
              <w:t>Three Months Ended 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75"/>
              <w:spacing w:after="0" w:line="160"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3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40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(3,458 )</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5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2"/>
          </w:tcPr>
          <w:p>
            <w:pPr>
              <w:jc w:val="right"/>
              <w:ind w:right="128"/>
              <w:spacing w:after="0"/>
              <w:rPr>
                <w:sz w:val="20"/>
                <w:szCs w:val="20"/>
                <w:color w:val="auto"/>
              </w:rPr>
            </w:pPr>
            <w:r>
              <w:rPr>
                <w:rFonts w:ascii="Arial" w:cs="Arial" w:eastAsia="Arial" w:hAnsi="Arial"/>
                <w:sz w:val="18"/>
                <w:szCs w:val="18"/>
                <w:color w:val="auto"/>
                <w:w w:val="86"/>
              </w:rPr>
              <w:t>(8,687 )</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(12,543 )</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2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(66 )</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560" w:type="dxa"/>
            <w:vAlign w:val="bottom"/>
          </w:tcPr>
          <w:p>
            <w:pPr>
              <w:spacing w:after="0"/>
              <w:rPr>
                <w:sz w:val="18"/>
                <w:szCs w:val="18"/>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8"/>
              <w:spacing w:after="0"/>
              <w:rPr>
                <w:sz w:val="20"/>
                <w:szCs w:val="20"/>
                <w:color w:val="auto"/>
              </w:rPr>
            </w:pPr>
            <w:r>
              <w:rPr>
                <w:rFonts w:ascii="Arial" w:cs="Arial" w:eastAsia="Arial" w:hAnsi="Arial"/>
                <w:sz w:val="18"/>
                <w:szCs w:val="18"/>
                <w:color w:val="auto"/>
                <w:w w:val="86"/>
              </w:rPr>
              <w:t>(8,667 )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(12,609 )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560" w:type="dxa"/>
            <w:vAlign w:val="bottom"/>
            <w:vMerge w:val="restart"/>
          </w:tcPr>
          <w:p>
            <w:pPr>
              <w:jc w:val="right"/>
              <w:ind w:right="716"/>
              <w:spacing w:after="0"/>
              <w:rPr>
                <w:sz w:val="20"/>
                <w:szCs w:val="20"/>
                <w:color w:val="auto"/>
              </w:rPr>
            </w:pPr>
            <w:r>
              <w:rPr>
                <w:rFonts w:ascii="Arial" w:cs="Arial" w:eastAsia="Arial" w:hAnsi="Arial"/>
                <w:sz w:val="18"/>
                <w:szCs w:val="18"/>
                <w:color w:val="auto"/>
              </w:rPr>
              <w:t>23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6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-934085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-934085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-650875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-650875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Research and development expenses for the three months ended June 30, 2022 decreased $3.5 million compared to the three months ended June 30, 2021. The decrease in research and development expenses was primarily driven by a decrease in nonclinical costs of $2.5 million and a decrease of $1.1 million in clinical trial costs, partially offset by an increase of $0.2 million in stock-based compensation expense associated with stock option grants made in 2021 and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jc w:val="both"/>
        <w:ind w:right="40" w:firstLine="509"/>
        <w:spacing w:after="0" w:line="278" w:lineRule="auto"/>
        <w:rPr>
          <w:sz w:val="20"/>
          <w:szCs w:val="20"/>
          <w:color w:val="auto"/>
        </w:rPr>
      </w:pPr>
      <w:r>
        <w:rPr>
          <w:rFonts w:ascii="Arial" w:cs="Arial" w:eastAsia="Arial" w:hAnsi="Arial"/>
          <w:sz w:val="17"/>
          <w:szCs w:val="17"/>
          <w:color w:val="auto"/>
        </w:rPr>
        <w:t>General and administrative expenses for the three months ended June 30, 2022 decreased $0.4 million compared to the three months ended June 30, 2021. The decrease was primarily driven by a decrease in professional fees associated with legal and accounting services of $0.5 million, partially offset by an increase of $0.1 million in stock-based compensation expense associated with stock option grants made in 2021 and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2022 and 2021:</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2"/>
              </w:rPr>
              <w:t>Six Months Ended 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95"/>
              <w:spacing w:after="0" w:line="160"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r>
      <w:tr>
        <w:trPr>
          <w:trHeight w:val="185"/>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(Decrease)</w:t>
            </w:r>
          </w:p>
        </w:tc>
      </w:tr>
      <w:tr>
        <w:trPr>
          <w:trHeight w:val="169"/>
        </w:trPr>
        <w:tc>
          <w:tcPr>
            <w:tcW w:w="59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(6,626 )</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(449 )</w:t>
            </w:r>
          </w:p>
        </w:tc>
      </w:tr>
      <w:tr>
        <w:trPr>
          <w:trHeight w:val="209"/>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(17,574 )</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(24,649 )</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(36 )</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(48 )</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(17,610 )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(24,697 )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-453390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-453390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Research and development expenses for the six months ended June 30, 2022 decreased $6.6 million compared to the six months ended June 30, 2021. The decrease in research and development expenses compared to the prior year period was primarily driven by a decrease of $3.0 million in clinical trial costs, a decrease in clinical supply manufacturing costs of $2.3 million, a decrease in nonclinical costs of $2.3 million, partially offset by an increase of $0.4 million in personnel related costs due to annual compensation increases and an increase of $0.4 million in stock-based compensation expense associated with stock option grants made in 2021 and 2022.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80" w:firstLine="509"/>
        <w:spacing w:after="0" w:line="249" w:lineRule="auto"/>
        <w:rPr>
          <w:sz w:val="20"/>
          <w:szCs w:val="20"/>
          <w:color w:val="auto"/>
        </w:rPr>
      </w:pPr>
      <w:r>
        <w:rPr>
          <w:rFonts w:ascii="Arial" w:cs="Arial" w:eastAsia="Arial" w:hAnsi="Arial"/>
          <w:sz w:val="18"/>
          <w:szCs w:val="18"/>
          <w:color w:val="auto"/>
        </w:rPr>
        <w:t>General and administrative expenses for the six months ended June 30, 2022 decreased $0.4 million compared to the six months ended June 30, 2021. The decrease in general and administrative expenses was primarily driven by a decrease in professional fees associated with legal and accounting services of $0.6 million, a decrease in operational expenses of $0.3 million, partially offset by an increase of $0.4 million in stock-based compensation expense associated with stock option grants made in 2021 and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31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69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w w:val="74"/>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w w:val="85"/>
              </w:rPr>
              <w:t>(15,019 )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(21,988 )</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Pr>
          <w:p>
            <w:pPr>
              <w:spacing w:after="0"/>
              <w:rPr>
                <w:sz w:val="18"/>
                <w:szCs w:val="18"/>
                <w:color w:val="auto"/>
              </w:rPr>
            </w:pPr>
          </w:p>
        </w:tc>
        <w:tc>
          <w:tcPr>
            <w:tcW w:w="800" w:type="dxa"/>
            <w:vAlign w:val="bottom"/>
            <w:gridSpan w:val="2"/>
          </w:tcPr>
          <w:p>
            <w:pPr>
              <w:jc w:val="right"/>
              <w:ind w:right="93"/>
              <w:spacing w:after="0"/>
              <w:rPr>
                <w:sz w:val="20"/>
                <w:szCs w:val="20"/>
                <w:color w:val="auto"/>
              </w:rPr>
            </w:pPr>
            <w:r>
              <w:rPr>
                <w:rFonts w:ascii="Arial" w:cs="Arial" w:eastAsia="Arial" w:hAnsi="Arial"/>
                <w:sz w:val="18"/>
                <w:szCs w:val="18"/>
                <w:color w:val="auto"/>
                <w:w w:val="85"/>
              </w:rPr>
              <w:t>(35,342 )</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24,470</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93"/>
              <w:spacing w:after="0"/>
              <w:rPr>
                <w:sz w:val="20"/>
                <w:szCs w:val="20"/>
                <w:color w:val="auto"/>
              </w:rPr>
            </w:pPr>
            <w:r>
              <w:rPr>
                <w:rFonts w:ascii="Arial" w:cs="Arial" w:eastAsia="Arial" w:hAnsi="Arial"/>
                <w:sz w:val="18"/>
                <w:szCs w:val="18"/>
                <w:color w:val="auto"/>
                <w:w w:val="85"/>
              </w:rPr>
              <w:t>(50,361 )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509"/>
        <w:spacing w:after="0" w:line="314" w:lineRule="auto"/>
        <w:rPr>
          <w:sz w:val="20"/>
          <w:szCs w:val="20"/>
          <w:color w:val="auto"/>
        </w:rPr>
      </w:pPr>
      <w:r>
        <w:rPr>
          <w:rFonts w:ascii="Arial" w:cs="Arial" w:eastAsia="Arial" w:hAnsi="Arial"/>
          <w:sz w:val="15"/>
          <w:szCs w:val="15"/>
          <w:color w:val="auto"/>
        </w:rPr>
        <w:t>During the six months ended June 30, 2022, operating activities used $15.0 million of cash, resulting from our net loss of $17.6 million, adjusted for noncash expenses of $3.5 million and changes in our operating assets and liabilities of $0.9 million. Our net loss was primarily attributed to research and development activities related to our CTI-1601 program and our general and administrative expenses as described above. Noncash expenses are primarily stock-based compensation expense. The change in operating assets and liabilities was primarily due to decreases in prepaid expenses and accounts payable.</w:t>
      </w:r>
    </w:p>
    <w:p>
      <w:pPr>
        <w:spacing w:after="0" w:line="2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During the six months ended June 30, 2021, operating activities used $22.0 million of cash, resulting from our net loss of $24.7 million, adjusted for noncash expenses of $2.7 million. Our net loss was primarily attributable to research and development activities related to our CTI-1601 program and our general and administrative expenses as described above. Noncash expenses primarily include stock-based compensation expense. The change in operating assets and liabilities was primarily due to decreases in prepaid expenses and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During the six months ended June 30, 2022, investing activities used $35.3 million of cash, including $35.2 million in purchases of new marketable debt securities and $0.1 million in purchases of property and equipment.</w:t>
      </w:r>
    </w:p>
    <w:p>
      <w:pPr>
        <w:spacing w:after="0" w:line="63"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During the six months ended June 30, 2021, investing activities provided $24.5 million of cash, resulting from a $26.3 million increase from maturities of marketable debt securities, partially offset by $1.7 million in purchases of new marketable debt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2022 and 2021 there were no financing activities.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yet commercialized any products and do not expect to generate revenue from the commercial sale of any products for several years, if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 all.</w:t>
      </w:r>
    </w:p>
    <w:p>
      <w:pPr>
        <w:spacing w:after="0" w:line="88" w:lineRule="exact"/>
        <w:rPr>
          <w:sz w:val="20"/>
          <w:szCs w:val="20"/>
          <w:color w:val="auto"/>
        </w:rPr>
      </w:pPr>
    </w:p>
    <w:p>
      <w:pPr>
        <w:ind w:right="380" w:firstLine="509"/>
        <w:spacing w:after="0" w:line="256" w:lineRule="auto"/>
        <w:rPr>
          <w:sz w:val="20"/>
          <w:szCs w:val="20"/>
          <w:color w:val="auto"/>
        </w:rPr>
      </w:pPr>
      <w:r>
        <w:rPr>
          <w:rFonts w:ascii="Arial" w:cs="Arial" w:eastAsia="Arial" w:hAnsi="Arial"/>
          <w:sz w:val="18"/>
          <w:szCs w:val="18"/>
          <w:color w:val="auto"/>
        </w:rPr>
        <w:t>We have to date incurred net losses. We incurred net losses of approximately $17.6 million and $24.7 million for the six months ended June 30, 2022 and 2021, respectively. As of June 30, 2022, we had an accumulated deficit of $133.9 million and cash, cash equivalents and marketable debt securities of $54.9 million, excluding restricted cash of $1.3 million.</w:t>
      </w:r>
    </w:p>
    <w:p>
      <w:pPr>
        <w:spacing w:after="0" w:line="67" w:lineRule="exact"/>
        <w:rPr>
          <w:sz w:val="20"/>
          <w:szCs w:val="20"/>
          <w:color w:val="auto"/>
        </w:rPr>
      </w:pPr>
    </w:p>
    <w:p>
      <w:pPr>
        <w:ind w:right="40" w:firstLine="509"/>
        <w:spacing w:after="0" w:line="278" w:lineRule="auto"/>
        <w:rPr>
          <w:sz w:val="20"/>
          <w:szCs w:val="20"/>
          <w:color w:val="auto"/>
        </w:rPr>
      </w:pPr>
      <w:r>
        <w:rPr>
          <w:rFonts w:ascii="Arial" w:cs="Arial" w:eastAsia="Arial" w:hAnsi="Arial"/>
          <w:sz w:val="17"/>
          <w:szCs w:val="17"/>
          <w:color w:val="auto"/>
        </w:rPr>
        <w:t>Losses have resulted principally from costs incurred in connection with research and development activities, and general and administrative costs associated with the development of CTI-1601 and our operations. We expect to incur significant expenses and operating losses for the foreseeable future as we expect to continue to incur expenses in connection with our ongoing activities, if and as we:</w:t>
      </w:r>
    </w:p>
    <w:p>
      <w:pPr>
        <w:spacing w:after="0" w:line="50"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03"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identify additional indications for our product candidates;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103"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7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believe that based on our current operating plan our cash, cash equivalents and marketable debt securities will be able fund operating expenses and capital expenditure requirements for at least the next twelve months from the filing of these financial statements with the SEC.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9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unrest including the potential impact of the Russian invasion of Ukraine and the possibility that the conflict could expand beyond eastern Europe, the impact of the COVID-19 pandemic and/or other health crises on the global financial markets may reduce our ability to access capital, which could negatively affect our liquidity and ability to continue as a going concern.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8" w:name="page29"/>
    <w:bookmarkEnd w:id="28"/>
    <w:p>
      <w:pPr>
        <w:ind w:firstLine="509"/>
        <w:spacing w:after="0" w:line="263" w:lineRule="auto"/>
        <w:rPr>
          <w:sz w:val="20"/>
          <w:szCs w:val="20"/>
          <w:color w:val="auto"/>
        </w:rPr>
      </w:pPr>
      <w:r>
        <w:rPr>
          <w:rFonts w:ascii="Arial" w:cs="Arial" w:eastAsia="Arial" w:hAnsi="Arial"/>
          <w:sz w:val="17"/>
          <w:szCs w:val="17"/>
          <w:color w:val="auto"/>
        </w:rPr>
        <w:t>If we are unable to obtain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Please read Note 2 to our condensed consolidated financial statements included in Part I of Item 1 of this Quarterly Report on Form 10-Q for a description of recent accounting pronouncements applicable to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(the "Exchange Act") and are not required to provide the information under this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300" w:firstLine="509"/>
        <w:spacing w:after="0" w:line="290"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4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63"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color w:val="auto"/>
        </w:rPr>
        <w:t>With respect to the quarter ended June 30, 2022,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67"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June 30, 2022 which have materially affected, or are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From time to time, we are subject to claims in legal proceedings arising in the normal course of business. To our knowledge, during the three months ended June 30, 2022,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You should carefully consider the risk factors described in our 2021 Annual Report under the caption “Item 1A. Risk Factors.” The risks described in our 2021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7"/>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7"/>
          </w:tcPr>
          <w:p>
            <w:pPr>
              <w:ind w:left="112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0000FF"/>
                <w:w w:val="91"/>
              </w:rPr>
              <w:t>Second Amendment to License Agreement, by and between the Company and The Trustees of Indiana University, effective as of May</w:t>
            </w: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5"/>
              </w:rPr>
              <w:t>28, 2020.</w:t>
            </w:r>
          </w:p>
        </w:tc>
        <w:tc>
          <w:tcPr>
            <w:tcW w:w="20" w:type="dxa"/>
            <w:vAlign w:val="bottom"/>
            <w:tcBorders>
              <w:top w:val="single" w:sz="8" w:color="0000FF"/>
              <w:bottom w:val="single" w:sz="8" w:color="0000EE"/>
            </w:tcBorders>
          </w:tcPr>
          <w:p>
            <w:pPr>
              <w:spacing w:after="0"/>
              <w:rPr>
                <w:sz w:val="14"/>
                <w:szCs w:val="14"/>
                <w:color w:val="auto"/>
              </w:rPr>
            </w:pPr>
          </w:p>
        </w:tc>
        <w:tc>
          <w:tcPr>
            <w:tcW w:w="27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46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0000FF"/>
                <w:w w:val="91"/>
              </w:rPr>
              <w:t>Third Amendment to License Agreement, by and between the Company and The Trustees of Indiana University, effective as of June 9,</w:t>
            </w: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79"/>
              </w:rPr>
              <w:t>2022.</w:t>
            </w: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7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46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0000FF"/>
                <w:w w:val="93"/>
              </w:rPr>
              <w:t>Certification of Principal Executive Officer pursuant to Rule 13a-14(a) or Rule 15d-14(a) of the Securities Exchange Act of 1934, as</w:t>
            </w: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58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adopted pursuant to Section 302 of the Sarbanes-Oxley Act of 2002.</w:t>
            </w:r>
          </w:p>
        </w:tc>
        <w:tc>
          <w:tcPr>
            <w:tcW w:w="1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0000FF"/>
                <w:w w:val="94"/>
              </w:rPr>
              <w:t>Certification of Principal Financial Officer pursuant to Rule 13a-14(a) or Rule 15d-14(a) of the Securities Exchange Act of 1934, as</w:t>
            </w: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5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adopted pursuant to Section 302 of the Sarbanes-Oxley Act of 2002.</w:t>
            </w:r>
          </w:p>
        </w:tc>
        <w:tc>
          <w:tcPr>
            <w:tcW w:w="20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 to</w:t>
            </w: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89"/>
              </w:rPr>
              <w:t>Section 906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6260" w:type="dxa"/>
            <w:vAlign w:val="bottom"/>
            <w:tcBorders>
              <w:top w:val="single" w:sz="8" w:color="0000FF"/>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76"/>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w w:val="98"/>
              </w:rPr>
              <w:t>Inline XBRL Instance Document- the instance document does not appear in the Interactive Data File because its XBRL tag re</w:t>
            </w:r>
          </w:p>
        </w:tc>
      </w:tr>
      <w:tr>
        <w:trPr>
          <w:trHeight w:val="230"/>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72"/>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3"/>
                <w:szCs w:val="23"/>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 Document.</w:t>
            </w:r>
          </w:p>
        </w:tc>
      </w:tr>
    </w:tbl>
    <w:p>
      <w:pPr>
        <w:ind w:left="1380" w:hanging="1298"/>
        <w:spacing w:after="0"/>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8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LARIMAR THERAPEUTICS, INC.</w:t>
      </w:r>
    </w:p>
    <w:p>
      <w:pPr>
        <w:spacing w:after="0" w:line="171" w:lineRule="exact"/>
        <w:rPr>
          <w:sz w:val="20"/>
          <w:szCs w:val="20"/>
          <w:color w:val="auto"/>
        </w:rPr>
      </w:pPr>
    </w:p>
    <w:p>
      <w:pPr>
        <w:ind w:left="20"/>
        <w:spacing w:after="0"/>
        <w:tabs>
          <w:tab w:leader="none" w:pos="5400" w:val="left"/>
          <w:tab w:leader="none" w:pos="594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line="232" w:lineRule="auto"/>
        <w:rPr>
          <w:sz w:val="20"/>
          <w:szCs w:val="20"/>
          <w:color w:val="auto"/>
        </w:rPr>
      </w:pPr>
      <w:r>
        <w:rPr>
          <w:rFonts w:ascii="Arial" w:cs="Arial" w:eastAsia="Arial" w:hAnsi="Arial"/>
          <w:sz w:val="18"/>
          <w:szCs w:val="18"/>
          <w:color w:val="auto"/>
        </w:rPr>
        <w:t>Carole S. Ben-Maimon, M.D.</w:t>
      </w:r>
    </w:p>
    <w:p>
      <w:pPr>
        <w:ind w:left="596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344" w:lineRule="exact"/>
        <w:rPr>
          <w:sz w:val="20"/>
          <w:szCs w:val="20"/>
          <w:color w:val="auto"/>
        </w:rPr>
      </w:pPr>
    </w:p>
    <w:p>
      <w:pPr>
        <w:ind w:left="5420" w:right="3920" w:hanging="5952"/>
        <w:spacing w:after="0" w:line="236" w:lineRule="auto"/>
        <w:tabs>
          <w:tab w:leader="none" w:pos="540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 /s/ Michael Celano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-120015</wp:posOffset>
            </wp:positionV>
            <wp:extent cx="33515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line="21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color w:val="auto"/>
        </w:rPr>
        <w:t>IU Agreement No. 2022-0002</w:t>
      </w: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SECOND AMENDMENT</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TO</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LICENSE AGREEMENT</w:t>
      </w:r>
    </w:p>
    <w:p>
      <w:pPr>
        <w:spacing w:after="0" w:line="188" w:lineRule="exact"/>
        <w:rPr>
          <w:sz w:val="20"/>
          <w:szCs w:val="20"/>
          <w:color w:val="auto"/>
        </w:rPr>
      </w:pPr>
    </w:p>
    <w:p>
      <w:pPr>
        <w:ind w:left="20" w:right="120"/>
        <w:spacing w:after="0" w:line="263" w:lineRule="auto"/>
        <w:rPr>
          <w:sz w:val="20"/>
          <w:szCs w:val="20"/>
          <w:color w:val="auto"/>
        </w:rPr>
      </w:pPr>
      <w:r>
        <w:rPr>
          <w:rFonts w:ascii="Arial" w:cs="Arial" w:eastAsia="Arial" w:hAnsi="Arial"/>
          <w:sz w:val="22"/>
          <w:szCs w:val="22"/>
          <w:color w:val="auto"/>
        </w:rPr>
        <w:t>This Second Amendment (the “Second Amendment”) is made and entered into as of May 28, 2020 (the “Second Amendment Effective Date”) by and between:</w:t>
      </w:r>
    </w:p>
    <w:p>
      <w:pPr>
        <w:spacing w:after="0" w:line="161" w:lineRule="exact"/>
        <w:rPr>
          <w:sz w:val="20"/>
          <w:szCs w:val="20"/>
          <w:color w:val="auto"/>
        </w:rPr>
      </w:pPr>
    </w:p>
    <w:p>
      <w:pPr>
        <w:ind w:left="380" w:right="120"/>
        <w:spacing w:after="0" w:line="263" w:lineRule="auto"/>
        <w:rPr>
          <w:sz w:val="20"/>
          <w:szCs w:val="20"/>
          <w:color w:val="auto"/>
        </w:rPr>
      </w:pPr>
      <w:r>
        <w:rPr>
          <w:rFonts w:ascii="Arial" w:cs="Arial" w:eastAsia="Arial" w:hAnsi="Arial"/>
          <w:sz w:val="22"/>
          <w:szCs w:val="22"/>
          <w:color w:val="auto"/>
        </w:rPr>
        <w:t>The Trustees of Indiana University (“IU”), a body politic and corporate of the State of Indiana, having its principal offices at 107 S. Indiana Ave., Bloomington, IN 47405; and</w:t>
      </w:r>
    </w:p>
    <w:p>
      <w:pPr>
        <w:spacing w:after="0" w:line="161" w:lineRule="exact"/>
        <w:rPr>
          <w:sz w:val="20"/>
          <w:szCs w:val="20"/>
          <w:color w:val="auto"/>
        </w:rPr>
      </w:pPr>
    </w:p>
    <w:p>
      <w:pPr>
        <w:ind w:left="380" w:right="120"/>
        <w:spacing w:after="0" w:line="250" w:lineRule="auto"/>
        <w:rPr>
          <w:sz w:val="20"/>
          <w:szCs w:val="20"/>
          <w:color w:val="auto"/>
        </w:rPr>
      </w:pPr>
      <w:r>
        <w:rPr>
          <w:rFonts w:ascii="Arial" w:cs="Arial" w:eastAsia="Arial" w:hAnsi="Arial"/>
          <w:sz w:val="22"/>
          <w:szCs w:val="22"/>
          <w:color w:val="auto"/>
        </w:rPr>
        <w:t>Larimar Therapeutics, Inc. (“Larimar”), a corporation organized under the laws of Delaware, having its principal offices at Three Bala Plaza East, Suite 506, Bala Cynwyd, PA 19004</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(each referred to individually as a “Party” and collectively as the “Parties”).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Parties hereby agree:</w:t>
      </w:r>
    </w:p>
    <w:p>
      <w:pPr>
        <w:spacing w:after="0" w:line="200" w:lineRule="exact"/>
        <w:rPr>
          <w:sz w:val="20"/>
          <w:szCs w:val="20"/>
          <w:color w:val="auto"/>
        </w:rPr>
      </w:pPr>
    </w:p>
    <w:p>
      <w:pPr>
        <w:jc w:val="both"/>
        <w:ind w:left="380" w:right="120" w:hanging="368"/>
        <w:spacing w:after="0" w:line="282" w:lineRule="auto"/>
        <w:tabs>
          <w:tab w:leader="none" w:pos="380"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Background: </w:t>
      </w:r>
      <w:r>
        <w:rPr>
          <w:rFonts w:ascii="Arial" w:cs="Arial" w:eastAsia="Arial" w:hAnsi="Arial"/>
          <w:sz w:val="19"/>
          <w:szCs w:val="19"/>
          <w:color w:val="auto"/>
        </w:rPr>
        <w:t>IU and Chondrial Therapeutics IP, LLC (“Chondrial”) entered into the License Agreement dated November</w:t>
      </w:r>
      <w:r>
        <w:rPr>
          <w:rFonts w:ascii="Arial" w:cs="Arial" w:eastAsia="Arial" w:hAnsi="Arial"/>
          <w:sz w:val="19"/>
          <w:szCs w:val="19"/>
          <w:b w:val="1"/>
          <w:bCs w:val="1"/>
          <w:color w:val="auto"/>
        </w:rPr>
        <w:t xml:space="preserve"> </w:t>
      </w:r>
      <w:r>
        <w:rPr>
          <w:rFonts w:ascii="Arial" w:cs="Arial" w:eastAsia="Arial" w:hAnsi="Arial"/>
          <w:sz w:val="19"/>
          <w:szCs w:val="19"/>
          <w:color w:val="auto"/>
        </w:rPr>
        <w:t>30, 2016 with IU Agreement No. 2017-0063 as amended by the first amendment dated August 16, 2019 with IU Agreement No. 2019-0070 (collectively, the “Agreement”). Chondrial subsequently entered into an Agreement and Plan of Merger with Larimar pursuant to which Chondrial merged with and into Larimar with Larimar being the survivor as of May 28, 2020 (the “Merger”). In connection with the Merger and pursuant to Article 14 of the Agreement, Larimar provided IU with written notice dated June 29, 2021 of Chondrial’s intent to assign the Agreement to Larimar and Larimar’s agreement to assume all obligations and liabilities of Chondrial under the Agreement. The Parties desire to enter into this Second Amendment to amend the Agreement in consideration of the foregoing premises and the mutual promises, covenants, and agreements hereinafter set forth.</w:t>
      </w:r>
    </w:p>
    <w:p>
      <w:pPr>
        <w:spacing w:after="0" w:line="147"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Amendments:</w:t>
      </w:r>
    </w:p>
    <w:p>
      <w:pPr>
        <w:spacing w:after="0" w:line="212" w:lineRule="exact"/>
        <w:rPr>
          <w:rFonts w:ascii="Arial" w:cs="Arial" w:eastAsia="Arial" w:hAnsi="Arial"/>
          <w:sz w:val="22"/>
          <w:szCs w:val="22"/>
          <w:color w:val="auto"/>
        </w:rPr>
      </w:pPr>
    </w:p>
    <w:p>
      <w:pPr>
        <w:ind w:left="1060" w:right="120" w:hanging="666"/>
        <w:spacing w:after="0" w:line="263" w:lineRule="auto"/>
        <w:rPr>
          <w:rFonts w:ascii="Arial" w:cs="Arial" w:eastAsia="Arial" w:hAnsi="Arial"/>
          <w:sz w:val="22"/>
          <w:szCs w:val="22"/>
          <w:color w:val="auto"/>
        </w:rPr>
      </w:pPr>
      <w:r>
        <w:rPr>
          <w:rFonts w:ascii="Arial" w:cs="Arial" w:eastAsia="Arial" w:hAnsi="Arial"/>
          <w:sz w:val="22"/>
          <w:szCs w:val="22"/>
          <w:color w:val="auto"/>
        </w:rPr>
        <w:t>2.1Larimar represents and warrants that Larimar has read the Agreement and agrees to abide by all its terms and conditions.</w:t>
      </w:r>
    </w:p>
    <w:p>
      <w:pPr>
        <w:spacing w:after="0" w:line="161" w:lineRule="exact"/>
        <w:rPr>
          <w:rFonts w:ascii="Arial" w:cs="Arial" w:eastAsia="Arial" w:hAnsi="Arial"/>
          <w:sz w:val="22"/>
          <w:szCs w:val="22"/>
          <w:color w:val="auto"/>
        </w:rPr>
      </w:pPr>
    </w:p>
    <w:p>
      <w:pPr>
        <w:ind w:left="1060" w:right="120" w:hanging="666"/>
        <w:spacing w:after="0" w:line="343" w:lineRule="auto"/>
        <w:rPr>
          <w:rFonts w:ascii="Arial" w:cs="Arial" w:eastAsia="Arial" w:hAnsi="Arial"/>
          <w:sz w:val="22"/>
          <w:szCs w:val="22"/>
          <w:color w:val="auto"/>
        </w:rPr>
      </w:pPr>
      <w:r>
        <w:rPr>
          <w:rFonts w:ascii="Arial" w:cs="Arial" w:eastAsia="Arial" w:hAnsi="Arial"/>
          <w:sz w:val="22"/>
          <w:szCs w:val="22"/>
          <w:color w:val="auto"/>
        </w:rPr>
        <w:t>2.2</w:t>
      </w:r>
      <w:r>
        <w:rPr>
          <w:rFonts w:ascii="Arial" w:cs="Arial" w:eastAsia="Arial" w:hAnsi="Arial"/>
          <w:sz w:val="19"/>
          <w:szCs w:val="19"/>
          <w:color w:val="auto"/>
        </w:rPr>
        <w:t>Larimar is substituted for Chondrial and assumes all liability and obligation under the Agreement and is bound by all its terms in all respects as if Larimar were the original licensee of the Agreement in place of Chondrial.</w:t>
      </w:r>
    </w:p>
    <w:p>
      <w:pPr>
        <w:spacing w:after="0" w:line="90"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2"/>
          <w:szCs w:val="22"/>
          <w:color w:val="auto"/>
        </w:rPr>
        <w:t>2.3</w:t>
      </w:r>
      <w:r>
        <w:rPr>
          <w:rFonts w:ascii="Arial" w:cs="Arial" w:eastAsia="Arial" w:hAnsi="Arial"/>
          <w:sz w:val="19"/>
          <w:szCs w:val="19"/>
          <w:color w:val="auto"/>
        </w:rPr>
        <w:t>Replace Chondrial’s notice address in Paragraph 18.2 with the following:</w:t>
      </w:r>
    </w:p>
    <w:p>
      <w:pPr>
        <w:spacing w:after="0" w:line="206" w:lineRule="exact"/>
        <w:rPr>
          <w:sz w:val="20"/>
          <w:szCs w:val="20"/>
          <w:color w:val="auto"/>
        </w:rPr>
      </w:pPr>
    </w:p>
    <w:p>
      <w:pPr>
        <w:ind w:left="1060"/>
        <w:spacing w:after="0"/>
        <w:rPr>
          <w:sz w:val="20"/>
          <w:szCs w:val="20"/>
          <w:color w:val="auto"/>
        </w:rPr>
      </w:pPr>
      <w:r>
        <w:rPr>
          <w:rFonts w:ascii="Arial" w:cs="Arial" w:eastAsia="Arial" w:hAnsi="Arial"/>
          <w:sz w:val="22"/>
          <w:szCs w:val="22"/>
          <w:u w:val="single" w:color="auto"/>
          <w:color w:val="auto"/>
        </w:rPr>
        <w:t>If to Larimar</w:t>
      </w:r>
      <w:r>
        <w:rPr>
          <w:rFonts w:ascii="Arial" w:cs="Arial" w:eastAsia="Arial" w:hAnsi="Arial"/>
          <w:sz w:val="22"/>
          <w:szCs w:val="22"/>
          <w:color w:val="auto"/>
        </w:rPr>
        <w:t>:</w:t>
      </w:r>
    </w:p>
    <w:p>
      <w:pPr>
        <w:spacing w:after="0" w:line="12"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Larimar Therapeutics, Inc.</w:t>
      </w:r>
    </w:p>
    <w:p>
      <w:pPr>
        <w:ind w:left="1060"/>
        <w:spacing w:after="0"/>
        <w:rPr>
          <w:sz w:val="20"/>
          <w:szCs w:val="20"/>
          <w:color w:val="auto"/>
        </w:rPr>
      </w:pPr>
      <w:r>
        <w:rPr>
          <w:rFonts w:ascii="Arial" w:cs="Arial" w:eastAsia="Arial" w:hAnsi="Arial"/>
          <w:sz w:val="22"/>
          <w:szCs w:val="22"/>
          <w:color w:val="auto"/>
        </w:rPr>
        <w:t>Three Bala Plaza East, Suite 506</w:t>
      </w:r>
    </w:p>
    <w:p>
      <w:pPr>
        <w:ind w:left="1060"/>
        <w:spacing w:after="0" w:line="233" w:lineRule="auto"/>
        <w:rPr>
          <w:sz w:val="20"/>
          <w:szCs w:val="20"/>
          <w:color w:val="auto"/>
        </w:rPr>
      </w:pPr>
      <w:r>
        <w:rPr>
          <w:rFonts w:ascii="Arial" w:cs="Arial" w:eastAsia="Arial" w:hAnsi="Arial"/>
          <w:sz w:val="22"/>
          <w:szCs w:val="22"/>
          <w:color w:val="auto"/>
        </w:rPr>
        <w:t>Bala Cynwyd, PA 19004</w:t>
      </w:r>
    </w:p>
    <w:p>
      <w:pPr>
        <w:ind w:left="1060"/>
        <w:spacing w:after="0" w:line="231" w:lineRule="auto"/>
        <w:rPr>
          <w:sz w:val="20"/>
          <w:szCs w:val="20"/>
          <w:color w:val="auto"/>
        </w:rPr>
      </w:pPr>
      <w:r>
        <w:rPr>
          <w:rFonts w:ascii="Arial" w:cs="Arial" w:eastAsia="Arial" w:hAnsi="Arial"/>
          <w:sz w:val="22"/>
          <w:szCs w:val="22"/>
          <w:color w:val="auto"/>
        </w:rPr>
        <w:t>Attn: Legal</w:t>
      </w:r>
    </w:p>
    <w:p>
      <w:pPr>
        <w:ind w:left="10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color w:val="0561C1"/>
        </w:rPr>
        <w:t>info@larimartx.com</w:t>
      </w:r>
    </w:p>
    <w:p>
      <w:pPr>
        <w:spacing w:after="0" w:line="19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color w:val="auto"/>
        </w:rPr>
        <w:t>IU Agreement No. 2022-0002</w:t>
      </w:r>
    </w:p>
    <w:p>
      <w:pPr>
        <w:spacing w:after="0" w:line="301" w:lineRule="exact"/>
        <w:rPr>
          <w:sz w:val="20"/>
          <w:szCs w:val="20"/>
          <w:color w:val="auto"/>
        </w:rPr>
      </w:pPr>
    </w:p>
    <w:p>
      <w:pPr>
        <w:ind w:left="380" w:right="120" w:hanging="367"/>
        <w:spacing w:after="0" w:line="250" w:lineRule="auto"/>
        <w:tabs>
          <w:tab w:leader="none" w:pos="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Except as provided in this Second Amendment, all other terms and conditions of the Agreement remain unmodified and in full force and effect.</w:t>
      </w:r>
    </w:p>
    <w:p>
      <w:pPr>
        <w:spacing w:after="0" w:line="175" w:lineRule="exact"/>
        <w:rPr>
          <w:sz w:val="20"/>
          <w:szCs w:val="20"/>
          <w:color w:val="auto"/>
        </w:rPr>
      </w:pPr>
    </w:p>
    <w:p>
      <w:pPr>
        <w:jc w:val="both"/>
        <w:ind w:left="380" w:right="120" w:hanging="371"/>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This Second Amendment may be executed in counterparts, each of which will be deemed an original and all of which when taken together will be deemed one instrument. Facsimile, Portable Document Format (PDF) or photocopied signatures of the Parties will have the same legal validity as original signatures.</w:t>
      </w:r>
    </w:p>
    <w:p>
      <w:pPr>
        <w:spacing w:after="0" w:line="180" w:lineRule="exact"/>
        <w:rPr>
          <w:sz w:val="20"/>
          <w:szCs w:val="20"/>
          <w:color w:val="auto"/>
        </w:rPr>
      </w:pPr>
    </w:p>
    <w:p>
      <w:pPr>
        <w:ind w:left="20" w:right="440"/>
        <w:spacing w:after="0" w:line="269" w:lineRule="auto"/>
        <w:rPr>
          <w:sz w:val="20"/>
          <w:szCs w:val="20"/>
          <w:color w:val="auto"/>
        </w:rPr>
      </w:pPr>
      <w:r>
        <w:rPr>
          <w:rFonts w:ascii="Arial" w:cs="Arial" w:eastAsia="Arial" w:hAnsi="Arial"/>
          <w:sz w:val="22"/>
          <w:szCs w:val="22"/>
          <w:b w:val="1"/>
          <w:bCs w:val="1"/>
          <w:color w:val="auto"/>
        </w:rPr>
        <w:t xml:space="preserve">Witness: </w:t>
      </w:r>
      <w:r>
        <w:rPr>
          <w:rFonts w:ascii="Arial" w:cs="Arial" w:eastAsia="Arial" w:hAnsi="Arial"/>
          <w:sz w:val="22"/>
          <w:szCs w:val="22"/>
          <w:color w:val="auto"/>
        </w:rPr>
        <w:t>The Parties have caused this Second Amendment to be executed by their duly authorized representatives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102870</wp:posOffset>
            </wp:positionV>
            <wp:extent cx="5349240" cy="1937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492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IU Agreement No. 2022-0109</w:t>
      </w:r>
    </w:p>
    <w:p>
      <w:pPr>
        <w:spacing w:after="0" w:line="66"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THIRD AMENDMENT</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TO</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LICENSE AGREEMENT</w:t>
      </w:r>
    </w:p>
    <w:p>
      <w:pPr>
        <w:spacing w:after="0" w:line="188" w:lineRule="exact"/>
        <w:rPr>
          <w:sz w:val="20"/>
          <w:szCs w:val="20"/>
          <w:color w:val="auto"/>
        </w:rPr>
      </w:pPr>
    </w:p>
    <w:p>
      <w:pPr>
        <w:ind w:right="640"/>
        <w:spacing w:after="0" w:line="250" w:lineRule="auto"/>
        <w:rPr>
          <w:sz w:val="20"/>
          <w:szCs w:val="20"/>
          <w:color w:val="auto"/>
        </w:rPr>
      </w:pPr>
      <w:r>
        <w:rPr>
          <w:rFonts w:ascii="Arial" w:cs="Arial" w:eastAsia="Arial" w:hAnsi="Arial"/>
          <w:sz w:val="22"/>
          <w:szCs w:val="22"/>
          <w:color w:val="auto"/>
        </w:rPr>
        <w:t>This Third Amendment (the “Third Amendment”) is made and entered into as of June 9, 2022 (the “Third Amendment Effective Date”) by and between:</w:t>
      </w:r>
    </w:p>
    <w:p>
      <w:pPr>
        <w:spacing w:after="0" w:line="175" w:lineRule="exact"/>
        <w:rPr>
          <w:sz w:val="20"/>
          <w:szCs w:val="20"/>
          <w:color w:val="auto"/>
        </w:rPr>
      </w:pPr>
    </w:p>
    <w:p>
      <w:pPr>
        <w:ind w:left="380" w:right="640"/>
        <w:spacing w:after="0" w:line="250" w:lineRule="auto"/>
        <w:rPr>
          <w:sz w:val="20"/>
          <w:szCs w:val="20"/>
          <w:color w:val="auto"/>
        </w:rPr>
      </w:pPr>
      <w:r>
        <w:rPr>
          <w:rFonts w:ascii="Arial" w:cs="Arial" w:eastAsia="Arial" w:hAnsi="Arial"/>
          <w:sz w:val="22"/>
          <w:szCs w:val="22"/>
          <w:color w:val="auto"/>
        </w:rPr>
        <w:t>The Trustees of Indiana University (“IU”), a body politic and corporate of the State of Indiana, having its principal offices at 107 S. Indiana Ave., Bloomington, IN 47405; and</w:t>
      </w:r>
    </w:p>
    <w:p>
      <w:pPr>
        <w:spacing w:after="0" w:line="175" w:lineRule="exact"/>
        <w:rPr>
          <w:sz w:val="20"/>
          <w:szCs w:val="20"/>
          <w:color w:val="auto"/>
        </w:rPr>
      </w:pPr>
    </w:p>
    <w:p>
      <w:pPr>
        <w:ind w:left="380" w:right="800"/>
        <w:spacing w:after="0" w:line="250" w:lineRule="auto"/>
        <w:rPr>
          <w:sz w:val="20"/>
          <w:szCs w:val="20"/>
          <w:color w:val="auto"/>
        </w:rPr>
      </w:pPr>
      <w:r>
        <w:rPr>
          <w:rFonts w:ascii="Arial" w:cs="Arial" w:eastAsia="Arial" w:hAnsi="Arial"/>
          <w:sz w:val="22"/>
          <w:szCs w:val="22"/>
          <w:color w:val="auto"/>
        </w:rPr>
        <w:t>Larimar Therapeutics, Inc. (“Larimar”), a corporation organized under the laws of Delaware, having its principal offices at Three Bala Plaza East, Suite 506, Bala Cynwyd, PA 19004</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(each referred to individually as a “Party” and collectively as the “Parties”).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Parties hereby agree:</w:t>
      </w:r>
    </w:p>
    <w:p>
      <w:pPr>
        <w:spacing w:after="0" w:line="200" w:lineRule="exact"/>
        <w:rPr>
          <w:sz w:val="20"/>
          <w:szCs w:val="20"/>
          <w:color w:val="auto"/>
        </w:rPr>
      </w:pPr>
    </w:p>
    <w:p>
      <w:pPr>
        <w:jc w:val="both"/>
        <w:ind w:left="380" w:right="120" w:hanging="378"/>
        <w:spacing w:after="0" w:line="286" w:lineRule="auto"/>
        <w:tabs>
          <w:tab w:leader="none" w:pos="438"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 xml:space="preserve">Background: </w:t>
      </w:r>
      <w:r>
        <w:rPr>
          <w:rFonts w:ascii="Arial" w:cs="Arial" w:eastAsia="Arial" w:hAnsi="Arial"/>
          <w:sz w:val="19"/>
          <w:szCs w:val="19"/>
          <w:color w:val="auto"/>
        </w:rPr>
        <w:t>IU and Chondrial Therapeutics IP, LLC (“Chondrial”) entered into the License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November 30, 2016 with IU Agreement No. 2017-0063 as amended by the first amendment dated August 16, 2019 with IU Agreement No. 2019-0070; and further amended by the second amendment with IU Agreement No. 2020-0002 between IU and Larimar Therapeutics, Inc. (formerly Chondrial) dated May 28, 2020 (collectively, the “Agreement”). The Parties desire to enter into this Third Amendment to amend the Agreement in consideration of the foregoing premises and the mutual promises, covenants, and agreements hereinafter set forth.</w:t>
      </w:r>
    </w:p>
    <w:p>
      <w:pPr>
        <w:spacing w:after="0" w:line="125" w:lineRule="exact"/>
        <w:rPr>
          <w:sz w:val="20"/>
          <w:szCs w:val="20"/>
          <w:color w:val="auto"/>
        </w:rPr>
      </w:pPr>
    </w:p>
    <w:p>
      <w:pPr>
        <w:ind w:left="280" w:hanging="278"/>
        <w:spacing w:after="0"/>
        <w:tabs>
          <w:tab w:leader="none" w:pos="28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Amendments: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 Delete Section 5.2 and its subsections in their entirety and replace with the following:</w:t>
      </w:r>
    </w:p>
    <w:p>
      <w:pPr>
        <w:spacing w:after="0" w:line="206"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5.2 Without limiting the generality of the diligence provisions of Section 5.1 above, Larimar will achieve (either itself or through its affiliates and/or its Sublicensees) the following milestones by the following dates (“Milestones”):</w:t>
      </w:r>
    </w:p>
    <w:p>
      <w:pPr>
        <w:spacing w:after="0" w:line="91" w:lineRule="exact"/>
        <w:rPr>
          <w:sz w:val="20"/>
          <w:szCs w:val="20"/>
          <w:color w:val="auto"/>
        </w:rPr>
      </w:pPr>
    </w:p>
    <w:p>
      <w:pPr>
        <w:jc w:val="both"/>
        <w:ind w:left="1740" w:right="120" w:hanging="555"/>
        <w:spacing w:after="0" w:line="247" w:lineRule="auto"/>
        <w:tabs>
          <w:tab w:leader="none" w:pos="1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Larimar will have at least two full-time equivalent personnel working on the development, manufacturing and marketing of the License Products within the twelve (12) month period from the Effective Date and each subsequent year thereafter;</w:t>
      </w:r>
    </w:p>
    <w:p>
      <w:pPr>
        <w:spacing w:after="0" w:line="69" w:lineRule="exact"/>
        <w:rPr>
          <w:rFonts w:ascii="Arial" w:cs="Arial" w:eastAsia="Arial" w:hAnsi="Arial"/>
          <w:sz w:val="22"/>
          <w:szCs w:val="22"/>
          <w:color w:val="auto"/>
        </w:rPr>
      </w:pPr>
    </w:p>
    <w:p>
      <w:pPr>
        <w:ind w:left="1740" w:right="120" w:hanging="555"/>
        <w:spacing w:after="0" w:line="263" w:lineRule="auto"/>
        <w:tabs>
          <w:tab w:leader="none" w:pos="1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Enrollment of the first patient in the first Phase I (or its non-U.S. equivalent) clinical trial of a Licensed Product by June 30, 2020;</w:t>
      </w:r>
    </w:p>
    <w:p>
      <w:pPr>
        <w:spacing w:after="0" w:line="53" w:lineRule="exact"/>
        <w:rPr>
          <w:rFonts w:ascii="Arial" w:cs="Arial" w:eastAsia="Arial" w:hAnsi="Arial"/>
          <w:sz w:val="22"/>
          <w:szCs w:val="22"/>
          <w:color w:val="auto"/>
        </w:rPr>
      </w:pPr>
    </w:p>
    <w:p>
      <w:pPr>
        <w:ind w:left="1740" w:right="120" w:hanging="555"/>
        <w:spacing w:after="0" w:line="250" w:lineRule="auto"/>
        <w:tabs>
          <w:tab w:leader="none" w:pos="1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Enrollment of the first patient in the first Phase II (or its non-U.S. equivalent) clinical trial of a Licensed Product by December 31, 2023.</w:t>
      </w:r>
    </w:p>
    <w:p>
      <w:pPr>
        <w:spacing w:after="0" w:line="188"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5.2.1 Larimar will provide to IU (at the time of the next due report under Section 8) written notice of the achievement of each Milestone in this Section 5.2 (and continued confirmation of Larimar’s sustained achievement of Section 5.2. (a)).</w:t>
      </w:r>
    </w:p>
    <w:p>
      <w:pPr>
        <w:spacing w:after="0" w:line="177"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5.2.1 Notwithstanding the foregoing, IU shall not unreasonably withhold its assent to any revisions of such Milestones if requested in writing by Larimar and supported by evidence of continued diligence and/or difficulties or delays that Larimar could not have reasonably avoided.</w:t>
      </w:r>
    </w:p>
    <w:p>
      <w:pPr>
        <w:spacing w:after="0" w:line="17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71755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4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IU Agreement No. 2022-0109</w:t>
      </w:r>
    </w:p>
    <w:p>
      <w:pPr>
        <w:spacing w:after="0" w:line="9" w:lineRule="exact"/>
        <w:rPr>
          <w:sz w:val="20"/>
          <w:szCs w:val="20"/>
          <w:color w:val="auto"/>
        </w:rPr>
      </w:pPr>
    </w:p>
    <w:p>
      <w:pPr>
        <w:ind w:left="223"/>
        <w:spacing w:after="0"/>
        <w:rPr>
          <w:sz w:val="20"/>
          <w:szCs w:val="20"/>
          <w:color w:val="auto"/>
        </w:rPr>
      </w:pPr>
      <w:r>
        <w:rPr>
          <w:rFonts w:ascii="Arial" w:cs="Arial" w:eastAsia="Arial" w:hAnsi="Arial"/>
          <w:sz w:val="22"/>
          <w:szCs w:val="22"/>
          <w:color w:val="auto"/>
        </w:rPr>
        <w:t>2.2 Replace IU’s notice address in Paragraph 18.2 with the following: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03"/>
        <w:spacing w:after="0"/>
        <w:rPr>
          <w:sz w:val="20"/>
          <w:szCs w:val="20"/>
          <w:color w:val="auto"/>
        </w:rPr>
      </w:pPr>
      <w:r>
        <w:rPr>
          <w:rFonts w:ascii="Arial" w:cs="Arial" w:eastAsia="Arial" w:hAnsi="Arial"/>
          <w:sz w:val="22"/>
          <w:szCs w:val="22"/>
          <w:color w:val="auto"/>
        </w:rPr>
        <w:t>The Trustees of Indiana University</w:t>
      </w:r>
    </w:p>
    <w:p>
      <w:pPr>
        <w:ind w:left="1503"/>
        <w:spacing w:after="0" w:line="238" w:lineRule="auto"/>
        <w:rPr>
          <w:sz w:val="20"/>
          <w:szCs w:val="20"/>
          <w:color w:val="auto"/>
        </w:rPr>
      </w:pPr>
      <w:r>
        <w:rPr>
          <w:rFonts w:ascii="Arial" w:cs="Arial" w:eastAsia="Arial" w:hAnsi="Arial"/>
          <w:sz w:val="22"/>
          <w:szCs w:val="22"/>
          <w:color w:val="auto"/>
        </w:rPr>
        <w:t>Attn: Innovation and Commercialization Office IU Agreement No.</w:t>
      </w:r>
    </w:p>
    <w:p>
      <w:pPr>
        <w:ind w:left="1503"/>
        <w:spacing w:after="0"/>
        <w:rPr>
          <w:sz w:val="20"/>
          <w:szCs w:val="20"/>
          <w:color w:val="auto"/>
        </w:rPr>
      </w:pPr>
      <w:r>
        <w:rPr>
          <w:rFonts w:ascii="Arial" w:cs="Arial" w:eastAsia="Arial" w:hAnsi="Arial"/>
          <w:sz w:val="22"/>
          <w:szCs w:val="22"/>
          <w:color w:val="auto"/>
        </w:rPr>
        <w:t>number</w:t>
      </w:r>
    </w:p>
    <w:p>
      <w:pPr>
        <w:ind w:left="1503"/>
        <w:spacing w:after="0" w:line="233" w:lineRule="auto"/>
        <w:rPr>
          <w:sz w:val="20"/>
          <w:szCs w:val="20"/>
          <w:color w:val="auto"/>
        </w:rPr>
      </w:pPr>
      <w:r>
        <w:rPr>
          <w:rFonts w:ascii="Arial" w:cs="Arial" w:eastAsia="Arial" w:hAnsi="Arial"/>
          <w:sz w:val="22"/>
          <w:szCs w:val="22"/>
          <w:color w:val="auto"/>
        </w:rPr>
        <w:t>107 S. Indiana Ave., Bryan Hall 211 Bloomington, IN</w:t>
      </w:r>
    </w:p>
    <w:p>
      <w:pPr>
        <w:spacing w:after="0" w:line="1" w:lineRule="exact"/>
        <w:rPr>
          <w:sz w:val="20"/>
          <w:szCs w:val="20"/>
          <w:color w:val="auto"/>
        </w:rPr>
      </w:pPr>
    </w:p>
    <w:p>
      <w:pPr>
        <w:ind w:left="1503"/>
        <w:spacing w:after="0"/>
        <w:rPr>
          <w:sz w:val="20"/>
          <w:szCs w:val="20"/>
          <w:color w:val="auto"/>
        </w:rPr>
      </w:pPr>
      <w:r>
        <w:rPr>
          <w:rFonts w:ascii="Arial" w:cs="Arial" w:eastAsia="Arial" w:hAnsi="Arial"/>
          <w:sz w:val="22"/>
          <w:szCs w:val="22"/>
          <w:color w:val="auto"/>
        </w:rPr>
        <w:t>47405</w:t>
      </w:r>
    </w:p>
    <w:p>
      <w:pPr>
        <w:spacing w:after="0" w:line="188" w:lineRule="exact"/>
        <w:rPr>
          <w:sz w:val="20"/>
          <w:szCs w:val="20"/>
          <w:color w:val="auto"/>
        </w:rPr>
      </w:pPr>
    </w:p>
    <w:p>
      <w:pPr>
        <w:ind w:left="1503"/>
        <w:spacing w:after="0"/>
        <w:rPr>
          <w:sz w:val="20"/>
          <w:szCs w:val="20"/>
          <w:color w:val="auto"/>
        </w:rPr>
      </w:pPr>
      <w:r>
        <w:rPr>
          <w:rFonts w:ascii="Arial" w:cs="Arial" w:eastAsia="Arial" w:hAnsi="Arial"/>
          <w:sz w:val="22"/>
          <w:szCs w:val="22"/>
          <w:color w:val="auto"/>
        </w:rPr>
        <w:t>With copy to:</w:t>
      </w:r>
    </w:p>
    <w:p>
      <w:pPr>
        <w:spacing w:after="0" w:line="8" w:lineRule="exact"/>
        <w:rPr>
          <w:sz w:val="20"/>
          <w:szCs w:val="20"/>
          <w:color w:val="auto"/>
        </w:rPr>
      </w:pPr>
    </w:p>
    <w:p>
      <w:pPr>
        <w:ind w:left="1503"/>
        <w:spacing w:after="0"/>
        <w:rPr>
          <w:sz w:val="20"/>
          <w:szCs w:val="20"/>
          <w:color w:val="auto"/>
        </w:rPr>
      </w:pPr>
      <w:r>
        <w:rPr>
          <w:rFonts w:ascii="Arial" w:cs="Arial" w:eastAsia="Arial" w:hAnsi="Arial"/>
          <w:sz w:val="22"/>
          <w:szCs w:val="22"/>
          <w:color w:val="auto"/>
        </w:rPr>
        <w:t>The Trustees of Indiana University</w:t>
      </w:r>
    </w:p>
    <w:p>
      <w:pPr>
        <w:ind w:left="1503"/>
        <w:spacing w:after="0" w:line="233" w:lineRule="auto"/>
        <w:rPr>
          <w:sz w:val="20"/>
          <w:szCs w:val="20"/>
          <w:color w:val="auto"/>
        </w:rPr>
      </w:pPr>
      <w:r>
        <w:rPr>
          <w:rFonts w:ascii="Arial" w:cs="Arial" w:eastAsia="Arial" w:hAnsi="Arial"/>
          <w:sz w:val="22"/>
          <w:szCs w:val="22"/>
          <w:color w:val="auto"/>
        </w:rPr>
        <w:t>Attn: Innovation and Commercialization Office IU Agreement No.</w:t>
      </w:r>
    </w:p>
    <w:p>
      <w:pPr>
        <w:ind w:left="1503"/>
        <w:spacing w:after="0" w:line="231" w:lineRule="auto"/>
        <w:rPr>
          <w:sz w:val="20"/>
          <w:szCs w:val="20"/>
          <w:color w:val="auto"/>
        </w:rPr>
      </w:pPr>
      <w:r>
        <w:rPr>
          <w:rFonts w:ascii="Arial" w:cs="Arial" w:eastAsia="Arial" w:hAnsi="Arial"/>
          <w:sz w:val="22"/>
          <w:szCs w:val="22"/>
          <w:color w:val="auto"/>
        </w:rPr>
        <w:t>number</w:t>
      </w:r>
    </w:p>
    <w:p>
      <w:pPr>
        <w:ind w:left="1503"/>
        <w:spacing w:after="0"/>
        <w:rPr>
          <w:sz w:val="20"/>
          <w:szCs w:val="20"/>
          <w:color w:val="auto"/>
        </w:rPr>
      </w:pPr>
      <w:r>
        <w:rPr>
          <w:rFonts w:ascii="Arial" w:cs="Arial" w:eastAsia="Arial" w:hAnsi="Arial"/>
          <w:sz w:val="22"/>
          <w:szCs w:val="22"/>
          <w:color w:val="auto"/>
        </w:rPr>
        <w:t>1220 Waterway Blvd.</w:t>
      </w:r>
    </w:p>
    <w:p>
      <w:pPr>
        <w:spacing w:after="0" w:line="3" w:lineRule="exact"/>
        <w:rPr>
          <w:sz w:val="20"/>
          <w:szCs w:val="20"/>
          <w:color w:val="auto"/>
        </w:rPr>
      </w:pPr>
    </w:p>
    <w:p>
      <w:pPr>
        <w:ind w:left="1503"/>
        <w:spacing w:after="0"/>
        <w:rPr>
          <w:sz w:val="20"/>
          <w:szCs w:val="20"/>
          <w:color w:val="auto"/>
        </w:rPr>
      </w:pPr>
      <w:r>
        <w:rPr>
          <w:rFonts w:ascii="Arial" w:cs="Arial" w:eastAsia="Arial" w:hAnsi="Arial"/>
          <w:sz w:val="22"/>
          <w:szCs w:val="22"/>
          <w:color w:val="auto"/>
        </w:rPr>
        <w:t>Indianapolis, IN 46202</w:t>
      </w:r>
    </w:p>
    <w:p>
      <w:pPr>
        <w:spacing w:after="0" w:line="391" w:lineRule="exact"/>
        <w:rPr>
          <w:sz w:val="20"/>
          <w:szCs w:val="20"/>
          <w:color w:val="auto"/>
        </w:rPr>
      </w:pPr>
    </w:p>
    <w:p>
      <w:pPr>
        <w:ind w:left="363" w:right="120" w:hanging="363"/>
        <w:spacing w:after="0" w:line="250" w:lineRule="auto"/>
        <w:tabs>
          <w:tab w:leader="none" w:pos="363" w:val="left"/>
        </w:tabs>
        <w:numPr>
          <w:ilvl w:val="0"/>
          <w:numId w:val="28"/>
        </w:numPr>
        <w:rPr>
          <w:rFonts w:ascii="Arial" w:cs="Arial" w:eastAsia="Arial" w:hAnsi="Arial"/>
          <w:sz w:val="22"/>
          <w:szCs w:val="22"/>
          <w:color w:val="auto"/>
        </w:rPr>
      </w:pPr>
      <w:r>
        <w:rPr>
          <w:rFonts w:ascii="Arial" w:cs="Arial" w:eastAsia="Arial" w:hAnsi="Arial"/>
          <w:sz w:val="22"/>
          <w:szCs w:val="22"/>
          <w:color w:val="auto"/>
        </w:rPr>
        <w:t>Except as provided in this Third Amendment, all other terms and conditions of the Agreement remain unmodified and in full force and effect.</w:t>
      </w:r>
    </w:p>
    <w:p>
      <w:pPr>
        <w:spacing w:after="0" w:line="175" w:lineRule="exact"/>
        <w:rPr>
          <w:sz w:val="20"/>
          <w:szCs w:val="20"/>
          <w:color w:val="auto"/>
        </w:rPr>
      </w:pPr>
    </w:p>
    <w:p>
      <w:pPr>
        <w:jc w:val="both"/>
        <w:ind w:left="363" w:right="140" w:hanging="363"/>
        <w:spacing w:after="0" w:line="247" w:lineRule="auto"/>
        <w:tabs>
          <w:tab w:leader="none" w:pos="36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This Third Amendment may be executed in counterparts, each of which will be deemed an original and all of which when taken together will be deemed one instrument. Facsimile, Portable Document Format (PDF) or photocopied signatures of the Parties will have the same legal validity as original signatures.</w:t>
      </w:r>
    </w:p>
    <w:p>
      <w:pPr>
        <w:spacing w:after="0" w:line="158" w:lineRule="exact"/>
        <w:rPr>
          <w:sz w:val="20"/>
          <w:szCs w:val="20"/>
          <w:color w:val="auto"/>
        </w:rPr>
      </w:pPr>
    </w:p>
    <w:p>
      <w:pPr>
        <w:ind w:left="3" w:right="400"/>
        <w:spacing w:after="0" w:line="269" w:lineRule="auto"/>
        <w:rPr>
          <w:sz w:val="20"/>
          <w:szCs w:val="20"/>
          <w:color w:val="auto"/>
        </w:rPr>
      </w:pPr>
      <w:r>
        <w:rPr>
          <w:rFonts w:ascii="Arial" w:cs="Arial" w:eastAsia="Arial" w:hAnsi="Arial"/>
          <w:sz w:val="22"/>
          <w:szCs w:val="22"/>
          <w:b w:val="1"/>
          <w:bCs w:val="1"/>
          <w:color w:val="auto"/>
        </w:rPr>
        <w:t xml:space="preserve">Witness: </w:t>
      </w:r>
      <w:r>
        <w:rPr>
          <w:rFonts w:ascii="Arial" w:cs="Arial" w:eastAsia="Arial" w:hAnsi="Arial"/>
          <w:sz w:val="22"/>
          <w:szCs w:val="22"/>
          <w:color w:val="auto"/>
        </w:rPr>
        <w:t>The Parties have caused this Third Amendment to be executed by their duly authorized representatives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111760</wp:posOffset>
            </wp:positionV>
            <wp:extent cx="5477510" cy="15087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7751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97"/>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71755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3"/>
          </w:cols>
          <w:pgMar w:left="637"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Carole S. Ben-Maimon, M.D., certify that:</w:t>
      </w:r>
    </w:p>
    <w:p>
      <w:pPr>
        <w:spacing w:after="0" w:line="104"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61"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339"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8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Arial" w:cs="Arial" w:eastAsia="Arial" w:hAnsi="Arial"/>
          <w:sz w:val="18"/>
          <w:szCs w:val="18"/>
          <w:color w:val="auto"/>
        </w:rPr>
      </w:pPr>
    </w:p>
    <w:p>
      <w:pPr>
        <w:ind w:left="1140" w:right="80" w:hanging="383"/>
        <w:spacing w:after="0" w:line="287"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ind w:left="1140" w:right="220" w:hanging="383"/>
        <w:spacing w:after="0" w:line="287"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8"/>
          <w:szCs w:val="18"/>
          <w:color w:val="auto"/>
        </w:rPr>
      </w:pPr>
    </w:p>
    <w:p>
      <w:pPr>
        <w:jc w:val="both"/>
        <w:ind w:left="1140" w:right="380" w:hanging="383"/>
        <w:spacing w:after="0" w:line="361" w:lineRule="auto"/>
        <w:tabs>
          <w:tab w:leader="none" w:pos="11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40" w:right="80" w:hanging="383"/>
        <w:spacing w:after="0" w:line="287"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8"/>
          <w:szCs w:val="18"/>
          <w:color w:val="auto"/>
        </w:rPr>
      </w:pPr>
    </w:p>
    <w:p>
      <w:pPr>
        <w:ind w:right="480" w:firstLine="8"/>
        <w:spacing w:after="0" w:line="339"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140" w:right="620" w:hanging="383"/>
        <w:spacing w:after="0" w:line="352" w:lineRule="auto"/>
        <w:tabs>
          <w:tab w:leader="none" w:pos="11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320" w:hanging="383"/>
        <w:spacing w:after="0" w:line="308"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1375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Carole S. Ben-Maimon, M.D.</w:t>
      </w:r>
    </w:p>
    <w:p>
      <w:pPr>
        <w:ind w:left="20"/>
        <w:spacing w:after="0" w:line="219" w:lineRule="auto"/>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Celano, certify that:</w:t>
      </w:r>
    </w:p>
    <w:p>
      <w:pPr>
        <w:spacing w:after="0" w:line="104"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61"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339"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8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Arial" w:cs="Arial" w:eastAsia="Arial" w:hAnsi="Arial"/>
          <w:sz w:val="18"/>
          <w:szCs w:val="18"/>
          <w:color w:val="auto"/>
        </w:rPr>
      </w:pPr>
    </w:p>
    <w:p>
      <w:pPr>
        <w:ind w:left="1140" w:right="80" w:hanging="383"/>
        <w:spacing w:after="0" w:line="287"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ind w:left="1140" w:right="220" w:hanging="383"/>
        <w:spacing w:after="0" w:line="287"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8"/>
          <w:szCs w:val="18"/>
          <w:color w:val="auto"/>
        </w:rPr>
      </w:pPr>
    </w:p>
    <w:p>
      <w:pPr>
        <w:jc w:val="both"/>
        <w:ind w:left="1140" w:right="380" w:hanging="383"/>
        <w:spacing w:after="0" w:line="361" w:lineRule="auto"/>
        <w:tabs>
          <w:tab w:leader="none" w:pos="11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40" w:right="80" w:hanging="383"/>
        <w:spacing w:after="0" w:line="287"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8"/>
          <w:szCs w:val="18"/>
          <w:color w:val="auto"/>
        </w:rPr>
      </w:pPr>
    </w:p>
    <w:p>
      <w:pPr>
        <w:ind w:right="480" w:firstLine="8"/>
        <w:spacing w:after="0" w:line="339"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140" w:right="620" w:hanging="383"/>
        <w:spacing w:after="0" w:line="352" w:lineRule="auto"/>
        <w:tabs>
          <w:tab w:leader="none" w:pos="11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320" w:hanging="383"/>
        <w:spacing w:after="0" w:line="308"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1375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Michael Celano</w:t>
      </w:r>
    </w:p>
    <w:p>
      <w:pPr>
        <w:ind w:left="20"/>
        <w:spacing w:after="0" w:line="219" w:lineRule="auto"/>
        <w:rPr>
          <w:sz w:val="20"/>
          <w:szCs w:val="20"/>
          <w:color w:val="auto"/>
        </w:rPr>
      </w:pPr>
      <w:r>
        <w:rPr>
          <w:rFonts w:ascii="Arial" w:cs="Arial" w:eastAsia="Arial" w:hAnsi="Arial"/>
          <w:sz w:val="18"/>
          <w:szCs w:val="18"/>
          <w:color w:val="auto"/>
        </w:rPr>
        <w:t>Chief Financial Officer</w:t>
      </w:r>
    </w:p>
    <w:p>
      <w:pPr>
        <w:ind w:left="20"/>
        <w:spacing w:after="0"/>
        <w:rPr>
          <w:sz w:val="20"/>
          <w:szCs w:val="20"/>
          <w:color w:val="auto"/>
        </w:rPr>
      </w:pPr>
      <w:r>
        <w:rPr>
          <w:rFonts w:ascii="Arial" w:cs="Arial" w:eastAsia="Arial" w:hAnsi="Arial"/>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70" w:lineRule="exact"/>
        <w:rPr>
          <w:sz w:val="20"/>
          <w:szCs w:val="20"/>
          <w:color w:val="auto"/>
        </w:rPr>
      </w:pPr>
    </w:p>
    <w:p>
      <w:pPr>
        <w:ind w:right="60"/>
        <w:spacing w:after="0" w:line="324"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0" w:lineRule="exact"/>
        <w:rPr>
          <w:sz w:val="20"/>
          <w:szCs w:val="20"/>
          <w:color w:val="auto"/>
        </w:rPr>
      </w:pPr>
    </w:p>
    <w:p>
      <w:pPr>
        <w:ind w:left="1500" w:right="860" w:hanging="690"/>
        <w:spacing w:after="0" w:line="308" w:lineRule="auto"/>
        <w:tabs>
          <w:tab w:leader="none" w:pos="11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2022 (the “Report”) of the Company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500" w:right="400" w:hanging="690"/>
        <w:spacing w:after="0" w:line="308" w:lineRule="auto"/>
        <w:tabs>
          <w:tab w:leader="none" w:pos="11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Date: August 11, 2022</w:t>
            </w:r>
          </w:p>
        </w:tc>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Carole S. Ben-Maimon, M.D.</w:t>
            </w:r>
          </w:p>
        </w:tc>
      </w:tr>
      <w:tr>
        <w:trPr>
          <w:trHeight w:val="230"/>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Carole S. Ben-Maimon, M.D.</w:t>
            </w:r>
          </w:p>
        </w:tc>
      </w:tr>
      <w:tr>
        <w:trPr>
          <w:trHeight w:val="242"/>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93"/>
        </w:trPr>
        <w:tc>
          <w:tcPr>
            <w:tcW w:w="6140" w:type="dxa"/>
            <w:vAlign w:val="bottom"/>
          </w:tcPr>
          <w:p>
            <w:pPr>
              <w:ind w:left="20"/>
              <w:spacing w:after="0"/>
              <w:rPr>
                <w:sz w:val="20"/>
                <w:szCs w:val="20"/>
                <w:color w:val="auto"/>
              </w:rPr>
            </w:pPr>
            <w:r>
              <w:rPr>
                <w:rFonts w:ascii="Arial" w:cs="Arial" w:eastAsia="Arial" w:hAnsi="Arial"/>
                <w:sz w:val="18"/>
                <w:szCs w:val="18"/>
                <w:color w:val="auto"/>
              </w:rPr>
              <w:t>Date: August 11, 2022</w:t>
            </w:r>
          </w:p>
        </w:tc>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Celano</w:t>
            </w:r>
          </w:p>
        </w:tc>
      </w:tr>
      <w:tr>
        <w:trPr>
          <w:trHeight w:val="230"/>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Michael Celano</w:t>
            </w:r>
          </w:p>
        </w:tc>
      </w:tr>
      <w:tr>
        <w:trPr>
          <w:trHeight w:val="256"/>
        </w:trPr>
        <w:tc>
          <w:tcPr>
            <w:tcW w:w="6140" w:type="dxa"/>
            <w:vAlign w:val="bottom"/>
          </w:tcPr>
          <w:p>
            <w:pPr>
              <w:spacing w:after="0"/>
              <w:rPr>
                <w:sz w:val="22"/>
                <w:szCs w:val="22"/>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43"/>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533"/>
        </w:trPr>
        <w:tc>
          <w:tcPr>
            <w:tcW w:w="6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9"/>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2"/>
      <w:numFmt w:val="decimal"/>
      <w:start w:val="104"/>
    </w:lvl>
  </w:abstractNum>
  <w:abstractNum w:abstractNumId="19">
    <w:nsid w:val="B03E0C6"/>
    <w:multiLevelType w:val="hybridMultilevel"/>
    <w:lvl w:ilvl="0">
      <w:lvlJc w:val="left"/>
      <w:lvlText w:val="**"/>
      <w:numFmt w:val="bullet"/>
      <w:start w:val="1"/>
    </w:lvl>
    <w:lvl w:ilvl="1">
      <w:lvlJc w:val="left"/>
      <w:lvlText w:val="%2"/>
      <w:numFmt w:val="decimal"/>
      <w:start w:val="1"/>
    </w:lvl>
  </w:abstractNum>
  <w:abstractNum w:abstractNumId="20">
    <w:nsid w:val="189A769B"/>
    <w:multiLevelType w:val="hybridMultilevel"/>
    <w:lvl w:ilvl="0">
      <w:lvlJc w:val="left"/>
      <w:lvlText w:val="1"/>
      <w:numFmt w:val="bullet"/>
      <w:start w:val="1"/>
    </w:lvl>
  </w:abstractNum>
  <w:abstractNum w:abstractNumId="21">
    <w:nsid w:val="54E49EB4"/>
    <w:multiLevelType w:val="hybridMultilevel"/>
    <w:lvl w:ilvl="0">
      <w:lvlJc w:val="left"/>
      <w:lvlText w:val="2"/>
      <w:numFmt w:val="bullet"/>
      <w:start w:val="1"/>
    </w:lvl>
  </w:abstractNum>
  <w:abstractNum w:abstractNumId="22">
    <w:nsid w:val="71F32454"/>
    <w:multiLevelType w:val="hybridMultilevel"/>
    <w:lvl w:ilvl="0">
      <w:lvlJc w:val="left"/>
      <w:lvlText w:val="3"/>
      <w:numFmt w:val="bullet"/>
      <w:start w:val="1"/>
    </w:lvl>
  </w:abstractNum>
  <w:abstractNum w:abstractNumId="23">
    <w:nsid w:val="2CA88611"/>
    <w:multiLevelType w:val="hybridMultilevel"/>
    <w:lvl w:ilvl="0">
      <w:lvlJc w:val="left"/>
      <w:lvlText w:val="4"/>
      <w:numFmt w:val="bullet"/>
      <w:start w:val="1"/>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2"/>
      <w:numFmt w:val="bullet"/>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3"/>
      <w:numFmt w:val="bullet"/>
      <w:start w:val="1"/>
    </w:lvl>
  </w:abstractNum>
  <w:abstractNum w:abstractNumId="28">
    <w:nsid w:val="1E7FF521"/>
    <w:multiLevelType w:val="hybridMultilevel"/>
    <w:lvl w:ilvl="0">
      <w:lvlJc w:val="left"/>
      <w:lvlText w:val="4"/>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2022-08-11T17:55:29Z</dcterms:created>
  <dcterms:modified xsi:type="dcterms:W3CDTF">2022-08-11T17:55:29Z</dcterms:modified>
</cp:coreProperties>
</file>