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-591820</wp:posOffset>
            </wp:positionV>
            <wp:extent cx="8255" cy="592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24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-599440</wp:posOffset>
            </wp:positionV>
            <wp:extent cx="825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0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-575945</wp:posOffset>
            </wp:positionV>
            <wp:extent cx="1272540" cy="552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524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33020</wp:posOffset>
            </wp:positionV>
            <wp:extent cx="6971030" cy="183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83261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LEFF JONATHAN S</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220"/>
        <w:spacing w:after="0" w:line="326"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4"/>
          <w:szCs w:val="24"/>
          <w:color w:val="auto"/>
        </w:rPr>
      </w:pPr>
      <w:r>
        <w:rPr>
          <w:sz w:val="24"/>
          <w:szCs w:val="24"/>
          <w:color w:val="auto"/>
        </w:rPr>
        <w:br w:type="column"/>
      </w:r>
    </w:p>
    <w:p>
      <w:pPr>
        <w:ind w:right="680"/>
        <w:spacing w:after="0" w:line="255"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500" w:val="left"/>
          <w:tab w:leader="none" w:pos="208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7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1"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20" w:type="dxa"/>
            <w:vAlign w:val="bottom"/>
            <w:gridSpan w:val="7"/>
          </w:tcPr>
          <w:p>
            <w:pPr>
              <w:jc w:val="center"/>
              <w:ind w:right="84"/>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10"/>
          </w:tcPr>
          <w:p>
            <w:pPr>
              <w:ind w:left="36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700" w:type="dxa"/>
            <w:vAlign w:val="bottom"/>
            <w:gridSpan w:val="10"/>
            <w:vMerge w:val="restart"/>
          </w:tcPr>
          <w:p>
            <w:pPr>
              <w:ind w:left="5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BALA</w:t>
            </w:r>
          </w:p>
        </w:tc>
        <w:tc>
          <w:tcPr>
            <w:tcW w:w="6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19004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70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4" w:lineRule="exact"/>
              <w:rPr>
                <w:sz w:val="20"/>
                <w:szCs w:val="20"/>
                <w:color w:val="auto"/>
              </w:rPr>
            </w:pPr>
            <w:r>
              <w:rPr>
                <w:rFonts w:ascii="Times New Roman" w:cs="Times New Roman" w:eastAsia="Times New Roman" w:hAnsi="Times New Roman"/>
                <w:sz w:val="16"/>
                <w:szCs w:val="16"/>
                <w:color w:val="0000FF"/>
              </w:rPr>
              <w:t>CYNWYD</w:t>
            </w:r>
          </w:p>
        </w:tc>
        <w:tc>
          <w:tcPr>
            <w:tcW w:w="11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jc w:val="center"/>
              <w:ind w:left="73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line="121"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0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0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0"/>
                <w:szCs w:val="10"/>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40" w:type="dxa"/>
            <w:vAlign w:val="bottom"/>
            <w:tcBorders>
              <w:bottom w:val="single" w:sz="8" w:color="2C2C2C"/>
            </w:tcBorders>
            <w:gridSpan w:val="4"/>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w:t>
            </w:r>
          </w:p>
        </w:tc>
        <w:tc>
          <w:tcPr>
            <w:tcW w:w="120" w:type="dxa"/>
            <w:vAlign w:val="bottom"/>
          </w:tcPr>
          <w:p>
            <w:pPr>
              <w:spacing w:after="0"/>
              <w:rPr>
                <w:sz w:val="17"/>
                <w:szCs w:val="17"/>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0000FF"/>
              </w:rPr>
              <w:t>09/29/2020</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16,600</w:t>
            </w:r>
            <w:r>
              <w:rPr>
                <w:rFonts w:ascii="Times New Roman" w:cs="Times New Roman" w:eastAsia="Times New Roman" w:hAnsi="Times New Roman"/>
                <w:sz w:val="20"/>
                <w:szCs w:val="20"/>
                <w:color w:val="008000"/>
                <w:vertAlign w:val="superscript"/>
              </w:rPr>
              <w:t>(1)</w:t>
            </w:r>
          </w:p>
        </w:tc>
        <w:tc>
          <w:tcPr>
            <w:tcW w:w="30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07/16/2030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tcPr>
          <w:p>
            <w:pPr>
              <w:ind w:left="20"/>
              <w:spacing w:after="0" w:line="202" w:lineRule="exact"/>
              <w:rPr>
                <w:sz w:val="20"/>
                <w:szCs w:val="20"/>
                <w:color w:val="auto"/>
              </w:rPr>
            </w:pPr>
            <w:r>
              <w:rPr>
                <w:rFonts w:ascii="Times New Roman" w:cs="Times New Roman" w:eastAsia="Times New Roman" w:hAnsi="Times New Roman"/>
                <w:sz w:val="16"/>
                <w:szCs w:val="16"/>
                <w:color w:val="0000FF"/>
              </w:rPr>
              <w:t>16,600</w:t>
            </w:r>
            <w:r>
              <w:rPr>
                <w:rFonts w:ascii="Times New Roman" w:cs="Times New Roman" w:eastAsia="Times New Roman" w:hAnsi="Times New Roman"/>
                <w:sz w:val="20"/>
                <w:szCs w:val="20"/>
                <w:color w:val="008000"/>
                <w:vertAlign w:val="superscript"/>
              </w:rPr>
              <w:t>(1)</w:t>
            </w:r>
          </w:p>
        </w:tc>
        <w:tc>
          <w:tcPr>
            <w:tcW w:w="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3"/>
                <w:szCs w:val="13"/>
                <w:color w:val="0000FF"/>
              </w:rPr>
              <w:t>16,600</w:t>
            </w:r>
            <w:r>
              <w:rPr>
                <w:rFonts w:ascii="Times New Roman" w:cs="Times New Roman" w:eastAsia="Times New Roman" w:hAnsi="Times New Roman"/>
                <w:sz w:val="20"/>
                <w:szCs w:val="20"/>
                <w:color w:val="008000"/>
                <w:vertAlign w:val="superscript"/>
              </w:rPr>
              <w:t>(1)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-2449195</wp:posOffset>
            </wp:positionV>
            <wp:extent cx="7035165" cy="258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258508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8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 partner in Deerfield Management Company, L.P., has no pecuniary interest in the securities reported herein and disclaims beneficial ownership of such securities. The Reporting Person holds the option for the benefit, and at the direction, of Deerfield Management Company, L.P.</w:t>
      </w:r>
    </w:p>
    <w:p>
      <w:pPr>
        <w:spacing w:after="0" w:line="21" w:lineRule="exact"/>
        <w:rPr>
          <w:rFonts w:ascii="Times New Roman" w:cs="Times New Roman" w:eastAsia="Times New Roman" w:hAnsi="Times New Roman"/>
          <w:sz w:val="13"/>
          <w:szCs w:val="13"/>
          <w:color w:val="008000"/>
        </w:rPr>
      </w:pPr>
    </w:p>
    <w:p>
      <w:pPr>
        <w:ind w:left="40" w:right="34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July 16, 2020 subject to stockholder approval, which was obtained at the Company's special meeting of stockholders on September 29, 2020. The vesting commencement date for the option is July 16, 2020, and the option vests in equal monthly installments over 36 months, subject to the Reporting Person's continued service with the Issuer through each applicable vesting date.</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Jennifer Johansson,</w:t>
            </w:r>
          </w:p>
        </w:tc>
        <w:tc>
          <w:tcPr>
            <w:tcW w:w="54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09/30/2020</w:t>
            </w: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9"/>
              </w:rPr>
              <w:t>Attorney-in-fact</w:t>
            </w:r>
          </w:p>
        </w:tc>
        <w:tc>
          <w:tcPr>
            <w:tcW w:w="9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6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5242"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2020-09-30T12:59:44Z</dcterms:created>
  <dcterms:modified xsi:type="dcterms:W3CDTF">2020-09-30T12:59:44Z</dcterms:modified>
</cp:coreProperties>
</file>