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4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-650875</wp:posOffset>
            </wp:positionV>
            <wp:extent cx="59690" cy="6642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4145280</wp:posOffset>
            </wp:positionH>
            <wp:positionV relativeFrom="paragraph">
              <wp:posOffset>-650875</wp:posOffset>
            </wp:positionV>
            <wp:extent cx="59690" cy="6642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20320</wp:posOffset>
            </wp:positionV>
            <wp:extent cx="7323455" cy="493077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49307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40" w:type="dxa"/>
            <w:vAlign w:val="bottom"/>
            <w:gridSpan w:val="9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>PEREZ ROBERT J</w:t>
              </w:r>
            </w:hyperlink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300" w:type="dxa"/>
            <w:vAlign w:val="bottom"/>
            <w:gridSpan w:val="7"/>
          </w:tcPr>
          <w:p>
            <w:pPr>
              <w:ind w:left="80"/>
              <w:spacing w:after="0" w:line="107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ZAFGEN, INC.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ZFGN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40" w:type="dxa"/>
            <w:vAlign w:val="bottom"/>
            <w:gridSpan w:val="9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4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C/O ZAFGEN, INC.,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60" w:type="dxa"/>
            <w:vAlign w:val="bottom"/>
            <w:gridSpan w:val="5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02/13/2017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80" w:type="dxa"/>
            <w:vAlign w:val="bottom"/>
            <w:gridSpan w:val="6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175 PORTLAND STREET, 4TH FLOOR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8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10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4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BOSTON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MA</w:t>
            </w:r>
          </w:p>
        </w:tc>
        <w:tc>
          <w:tcPr>
            <w:tcW w:w="1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02114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8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00" w:type="dxa"/>
            <w:vAlign w:val="bottom"/>
            <w:gridSpan w:val="5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9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00" w:type="dxa"/>
            <w:vAlign w:val="bottom"/>
            <w:gridSpan w:val="5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  <w:gridSpan w:val="5"/>
          </w:tcPr>
          <w:p>
            <w:pPr>
              <w:ind w:left="8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5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3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3"/>
            <w:vMerge w:val="restart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8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00" w:type="dxa"/>
            <w:vAlign w:val="bottom"/>
            <w:gridSpan w:val="16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  <w:gridSpan w:val="4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4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  <w:gridSpan w:val="4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4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4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6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4.18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jc w:val="right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02/13/2017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13,289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02/13/2027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13,289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0.00</w:t>
            </w:r>
          </w:p>
        </w:tc>
        <w:tc>
          <w:tcPr>
            <w:tcW w:w="62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13,289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0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(Right to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 w:line="10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101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0"/>
          <w:szCs w:val="20"/>
          <w:color w:val="auto"/>
        </w:rPr>
      </w:pPr>
    </w:p>
    <w:p>
      <w:pPr>
        <w:ind w:left="40" w:right="240" w:firstLine="8"/>
        <w:spacing w:after="0" w:line="272" w:lineRule="auto"/>
        <w:tabs>
          <w:tab w:leader="none" w:pos="174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stock option was issued in lieu of cash fees under the Non-Employee Director Compensation Policy pursuant to a Non-Qualified Stock Option Agreement and shall vest over a period of one year starting January 1, 2017 on a quarterly basis in arrears.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8" w:lineRule="exact"/>
        <w:rPr>
          <w:sz w:val="20"/>
          <w:szCs w:val="20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58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/s/ Laurie Burlingame,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02/14/2017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11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5"/>
              </w:rPr>
              <w:t>Attorney-in-Fact</w:t>
            </w: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11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0"/>
          <w:szCs w:val="20"/>
          <w:color w:val="auto"/>
        </w:rPr>
      </w:pPr>
    </w:p>
    <w:p>
      <w:pPr>
        <w:jc w:val="both"/>
        <w:ind w:left="40" w:right="3740" w:firstLine="8"/>
        <w:spacing w:after="0" w:line="321" w:lineRule="auto"/>
        <w:tabs>
          <w:tab w:leader="none" w:pos="18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63230" TargetMode="External"/><Relationship Id="rId13" Type="http://schemas.openxmlformats.org/officeDocument/2006/relationships/hyperlink" Target="http://www.sec.gov/cgi-bin/browse-edgar?action=getcompany&amp;CIK=000137469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2019-12-23T15:49:44Z</dcterms:created>
  <dcterms:modified xsi:type="dcterms:W3CDTF">2019-12-23T15:49:44Z</dcterms:modified>
</cp:coreProperties>
</file>