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lrmr-20220331.htm"/>
      <w:bookmarkStart w:id="1" w:name="kslrmr20220331"/>
      <w:bookmarkEnd w:id="0"/>
      <w:bookmarkEnd w:id="1"/>
      <w:r>
        <w:rPr/>
        <w:t> </w:t>
      </w:r>
    </w:p>
    <w:p>
      <w:pPr>
        <w:pStyle w:val="TextBody"/>
        <w:spacing w:lineRule="auto" w:line="273" w:before="0" w:after="0"/>
        <w:jc w:val="center"/>
        <w:rPr>
          <w:rFonts w:ascii="Times New Roman" w:hAnsi="Times New Roman"/>
          <w:sz w:val="20"/>
        </w:rPr>
      </w:pPr>
      <w:r>
        <w:rPr>
          <w:rFonts w:ascii="Times New Roman" w:hAnsi="Times New Roman"/>
          <w:b/>
          <w:sz w:val="36"/>
        </w:rPr>
        <w:t>UNITED STATES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36"/>
        </w:rPr>
        <w:t>SECURITIES AND EXCHANGE COMMISSION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4"/>
        </w:rPr>
        <w:t>Washington, D.C. 20549</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r>
        <w:rPr>
          <w:rFonts w:ascii="Times New Roman" w:hAnsi="Times New Roman"/>
          <w:b/>
          <w:sz w:val="36"/>
        </w:rPr>
        <w:t>Form 10-Q</w:t>
      </w:r>
      <w:r>
        <w:rPr>
          <w:rFonts w:ascii="Times New Roman" w:hAnsi="Times New Roman"/>
          <w:sz w:val="20"/>
        </w:rPr>
        <w:t xml:space="preserve"> </w:t>
      </w:r>
    </w:p>
    <w:p>
      <w:pPr>
        <w:pStyle w:val="TextBody"/>
        <w:spacing w:lineRule="auto" w:line="273" w:before="60" w:after="0"/>
        <w:jc w:val="left"/>
        <w:rPr>
          <w:rFonts w:ascii="Times New Roman" w:hAnsi="Times New Roman"/>
          <w:sz w:val="20"/>
        </w:rPr>
      </w:pPr>
      <w:r>
        <w:rPr>
          <w:rFonts w:ascii="Times New Roman" w:hAnsi="Times New Roman"/>
          <w:b/>
          <w:sz w:val="18"/>
        </w:rPr>
        <w:t>(Mark One)</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sz w:val="20"/>
              </w:rPr>
            </w:pPr>
            <w:r>
              <w:rPr>
                <w:rFonts w:ascii="Times New Roman" w:hAnsi="Times New Roman"/>
                <w:b/>
                <w:sz w:val="20"/>
              </w:rPr>
              <w:t>QUARTERLY REPORT PURSUANT TO SECTION 13 OR 15(d) OF THE SECURITIES EXCHANGE ACT OF 1934</w:t>
            </w:r>
            <w:r>
              <w:rPr>
                <w:rFonts w:ascii="Times New Roman" w:hAnsi="Times New Roman"/>
                <w:sz w:val="20"/>
              </w:rPr>
              <w:t xml:space="preserve"> </w:t>
            </w:r>
          </w:p>
        </w:tc>
      </w:tr>
    </w:tbl>
    <w:p>
      <w:pPr>
        <w:pStyle w:val="TextBody"/>
        <w:spacing w:lineRule="auto" w:line="273" w:before="60" w:after="0"/>
        <w:jc w:val="center"/>
        <w:rPr>
          <w:rFonts w:ascii="Times New Roman" w:hAnsi="Times New Roman"/>
          <w:b/>
          <w:sz w:val="20"/>
        </w:rPr>
      </w:pPr>
      <w:r>
        <w:rPr>
          <w:rFonts w:ascii="Times New Roman" w:hAnsi="Times New Roman"/>
          <w:b/>
          <w:sz w:val="20"/>
        </w:rPr>
        <w:t>For the quarterly period ended March 31, 2022</w:t>
      </w:r>
    </w:p>
    <w:p>
      <w:pPr>
        <w:pStyle w:val="TextBody"/>
        <w:spacing w:lineRule="auto" w:line="273" w:before="60" w:after="0"/>
        <w:jc w:val="center"/>
        <w:rPr>
          <w:rFonts w:ascii="Times New Roman" w:hAnsi="Times New Roman"/>
          <w:sz w:val="20"/>
        </w:rPr>
      </w:pPr>
      <w:r>
        <w:rPr>
          <w:rFonts w:ascii="Times New Roman" w:hAnsi="Times New Roman"/>
          <w:b/>
          <w:sz w:val="20"/>
        </w:rPr>
        <w:t>or</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6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60" w:after="0"/>
              <w:ind w:left="0" w:right="0" w:hanging="0"/>
              <w:jc w:val="left"/>
              <w:rPr>
                <w:rFonts w:ascii="Times New Roman" w:hAnsi="Times New Roman"/>
                <w:sz w:val="20"/>
              </w:rPr>
            </w:pPr>
            <w:r>
              <w:rPr>
                <w:rFonts w:ascii="Times New Roman" w:hAnsi="Times New Roman"/>
                <w:b/>
                <w:sz w:val="20"/>
              </w:rPr>
              <w:t>TRANSITION REPORT PURSUANT TO SECTION 13 OR 15(d) OF THE SECURITIES EXCHANGE ACT OF 1934</w:t>
            </w:r>
            <w:r>
              <w:rPr>
                <w:rFonts w:ascii="Times New Roman" w:hAnsi="Times New Roman"/>
                <w:sz w:val="20"/>
              </w:rPr>
              <w:t xml:space="preserve"> </w:t>
            </w:r>
          </w:p>
        </w:tc>
      </w:tr>
    </w:tbl>
    <w:p>
      <w:pPr>
        <w:pStyle w:val="TextBody"/>
        <w:spacing w:lineRule="auto" w:line="273" w:before="60" w:after="0"/>
        <w:jc w:val="center"/>
        <w:rPr>
          <w:rFonts w:ascii="Times New Roman" w:hAnsi="Times New Roman"/>
          <w:sz w:val="20"/>
        </w:rPr>
      </w:pPr>
      <w:r>
        <w:rPr>
          <w:rFonts w:ascii="Times New Roman" w:hAnsi="Times New Roman"/>
          <w:b/>
          <w:sz w:val="20"/>
        </w:rPr>
        <w:t>For the transition period from to</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r>
        <w:rPr>
          <w:rFonts w:ascii="Times New Roman" w:hAnsi="Times New Roman"/>
          <w:b/>
          <w:sz w:val="20"/>
        </w:rPr>
        <w:t>Commission File Number: 001-36510</w:t>
      </w:r>
      <w:r>
        <w:rPr>
          <w:rFonts w:ascii="Times New Roman" w:hAnsi="Times New Roman"/>
          <w:sz w:val="20"/>
        </w:rPr>
        <w:t xml:space="preserve"> </w:t>
      </w:r>
    </w:p>
    <w:p>
      <w:pPr>
        <w:pStyle w:val="TextBody"/>
        <w:spacing w:lineRule="auto" w:line="273" w:before="120" w:after="0"/>
        <w:jc w:val="center"/>
        <w:rPr>
          <w:rFonts w:ascii="Times New Roman" w:hAnsi="Times New Roman"/>
          <w:sz w:val="20"/>
        </w:rPr>
      </w:pPr>
      <w:r>
        <w:rPr>
          <w:rFonts w:ascii="Times New Roman" w:hAnsi="Times New Roman"/>
          <w:b/>
          <w:sz w:val="36"/>
        </w:rPr>
        <w:t>LARIMAR THERAPEUTICS, INC.</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(Exact name of registrant as specified in its charter)</w:t>
      </w:r>
      <w:r>
        <w:rPr>
          <w:rFonts w:ascii="Times New Roman" w:hAnsi="Times New Roman"/>
          <w:sz w:val="20"/>
        </w:rPr>
        <w:t xml:space="preserve"> </w:t>
      </w:r>
    </w:p>
    <w:p>
      <w:pPr>
        <w:pStyle w:val="TextBody"/>
        <w:spacing w:lineRule="auto" w:line="273" w:before="0" w:after="0"/>
        <w:jc w:val="left"/>
        <w:rPr/>
      </w:pPr>
      <w:r>
        <w:rPr/>
        <w:t> </w:t>
      </w:r>
    </w:p>
    <w:tbl>
      <w:tblPr>
        <w:tblW w:w="4412" w:type="dxa"/>
        <w:jc w:val="left"/>
        <w:tblInd w:w="0" w:type="dxa"/>
        <w:tblCellMar>
          <w:top w:w="28" w:type="dxa"/>
          <w:left w:w="28" w:type="dxa"/>
          <w:bottom w:w="28" w:type="dxa"/>
          <w:right w:w="28" w:type="dxa"/>
        </w:tblCellMar>
      </w:tblPr>
      <w:tblGrid>
        <w:gridCol w:w="2926"/>
        <w:gridCol w:w="1486"/>
      </w:tblGrid>
      <w:tr>
        <w:trPr/>
        <w:tc>
          <w:tcPr>
            <w:tcW w:w="292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Delaware</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20-3857670</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(State or other jurisdiction of</w:t>
            </w:r>
          </w:p>
          <w:p>
            <w:pPr>
              <w:pStyle w:val="TableContents"/>
              <w:spacing w:lineRule="auto" w:line="252" w:before="0" w:after="20"/>
              <w:ind w:left="0" w:right="0" w:hanging="0"/>
              <w:jc w:val="center"/>
              <w:rPr>
                <w:rFonts w:ascii="Times New Roman" w:hAnsi="Times New Roman"/>
                <w:b/>
                <w:sz w:val="16"/>
              </w:rPr>
            </w:pPr>
            <w:r>
              <w:rPr>
                <w:rFonts w:ascii="Times New Roman" w:hAnsi="Times New Roman"/>
                <w:b/>
                <w:sz w:val="16"/>
              </w:rPr>
              <w:t>incorporation or organization)</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(IRS Employer</w:t>
            </w:r>
          </w:p>
          <w:p>
            <w:pPr>
              <w:pStyle w:val="TableContents"/>
              <w:spacing w:lineRule="auto" w:line="252" w:before="0" w:after="20"/>
              <w:ind w:left="0" w:right="0" w:hanging="0"/>
              <w:jc w:val="center"/>
              <w:rPr>
                <w:rFonts w:ascii="Times New Roman" w:hAnsi="Times New Roman"/>
                <w:b/>
                <w:sz w:val="16"/>
              </w:rPr>
            </w:pPr>
            <w:r>
              <w:rPr>
                <w:rFonts w:ascii="Times New Roman" w:hAnsi="Times New Roman"/>
                <w:b/>
                <w:sz w:val="16"/>
              </w:rPr>
              <w:t>Identification No.)</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Three Bala Plaza East, Suite 506</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20"/>
              </w:rPr>
            </w:pPr>
            <w:r>
              <w:rPr>
                <w:rFonts w:ascii="Times New Roman" w:hAnsi="Times New Roman"/>
                <w:b/>
                <w:sz w:val="20"/>
              </w:rPr>
              <w:t>19004</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sz w:val="20"/>
              </w:rPr>
            </w:pPr>
            <w:r>
              <w:rPr>
                <w:rFonts w:ascii="Times New Roman" w:hAnsi="Times New Roman"/>
                <w:b/>
                <w:sz w:val="20"/>
              </w:rPr>
              <w:t>Bala Cynwyd, PA</w:t>
            </w:r>
            <w:r>
              <w:rPr>
                <w:rFonts w:ascii="Times New Roman" w:hAnsi="Times New Roman"/>
                <w:sz w:val="20"/>
              </w:rPr>
              <w:t xml:space="preserve"> </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(zip code)</w:t>
            </w:r>
          </w:p>
        </w:tc>
      </w:tr>
      <w:tr>
        <w:trPr/>
        <w:tc>
          <w:tcPr>
            <w:tcW w:w="292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(Address of principal executive offices)</w:t>
            </w:r>
          </w:p>
        </w:tc>
        <w:tc>
          <w:tcPr>
            <w:tcW w:w="14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(844) 511-9056</w:t>
      </w:r>
      <w:r>
        <w:rPr>
          <w:rFonts w:ascii="Times New Roman" w:hAnsi="Times New Roman"/>
          <w:sz w:val="20"/>
        </w:rPr>
        <w:t xml:space="preserve"> </w:t>
      </w:r>
    </w:p>
    <w:p>
      <w:pPr>
        <w:pStyle w:val="TextBody"/>
        <w:spacing w:lineRule="auto" w:line="273"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Times New Roman" w:hAnsi="Times New Roman"/>
          <w:b/>
          <w:sz w:val="14"/>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7803" w:type="dxa"/>
        <w:jc w:val="left"/>
        <w:tblInd w:w="0" w:type="dxa"/>
        <w:tblCellMar>
          <w:top w:w="28" w:type="dxa"/>
          <w:left w:w="28" w:type="dxa"/>
          <w:bottom w:w="28" w:type="dxa"/>
          <w:right w:w="28" w:type="dxa"/>
        </w:tblCellMar>
      </w:tblPr>
      <w:tblGrid>
        <w:gridCol w:w="3151"/>
        <w:gridCol w:w="1426"/>
        <w:gridCol w:w="3226"/>
      </w:tblGrid>
      <w:tr>
        <w:trPr/>
        <w:tc>
          <w:tcPr>
            <w:tcW w:w="3151"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shd w:fill="auto" w:val="cle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Title of each class</w:t>
            </w:r>
          </w:p>
        </w:tc>
        <w:tc>
          <w:tcPr>
            <w:tcW w:w="142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Trading Symbol(s)</w:t>
            </w:r>
          </w:p>
        </w:tc>
        <w:tc>
          <w:tcPr>
            <w:tcW w:w="3226" w:type="dxa"/>
            <w:tcBorders>
              <w:top w:val="single" w:sz="6" w:space="0" w:color="000000"/>
              <w:bottom w:val="single" w:sz="6" w:space="0" w:color="000000"/>
              <w:right w:val="single" w:sz="6" w:space="0" w:color="000000"/>
            </w:tcBorders>
            <w:shd w:fill="auto" w:val="clear"/>
            <w:tcMar>
              <w:lef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Name of each exchange on which registered</w:t>
            </w:r>
          </w:p>
        </w:tc>
      </w:tr>
      <w:tr>
        <w:trPr/>
        <w:tc>
          <w:tcPr>
            <w:tcW w:w="3151" w:type="dxa"/>
            <w:tcBorders>
              <w:left w:val="single" w:sz="6" w:space="0" w:color="000000"/>
              <w:bottom w:val="single" w:sz="6" w:space="0" w:color="000000"/>
              <w:right w:val="single" w:sz="6" w:space="0" w:color="000000"/>
            </w:tcBorders>
            <w:shd w:fill="auto" w:val="clear"/>
            <w:tcMar>
              <w:top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Common Stock, par value $0.001 per share</w:t>
            </w:r>
          </w:p>
        </w:tc>
        <w:tc>
          <w:tcPr>
            <w:tcW w:w="1426" w:type="dxa"/>
            <w:tcBorders>
              <w:bottom w:val="single" w:sz="6" w:space="0" w:color="000000"/>
              <w:right w:val="single" w:sz="6" w:space="0" w:color="000000"/>
            </w:tcBorders>
            <w:shd w:fill="auto" w:val="clear"/>
            <w:tcMar>
              <w:top w:w="0" w:type="dxa"/>
              <w:lef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LRMR</w:t>
            </w:r>
          </w:p>
        </w:tc>
        <w:tc>
          <w:tcPr>
            <w:tcW w:w="3226" w:type="dxa"/>
            <w:tcBorders>
              <w:bottom w:val="single" w:sz="6" w:space="0" w:color="000000"/>
              <w:right w:val="single" w:sz="6" w:space="0" w:color="000000"/>
            </w:tcBorders>
            <w:shd w:fill="auto" w:val="clear"/>
            <w:tcMar>
              <w:top w:w="0" w:type="dxa"/>
              <w:left w:w="0" w:type="dxa"/>
            </w:tcMar>
            <w:vAlign w:val="center"/>
          </w:tcPr>
          <w:p>
            <w:pPr>
              <w:pStyle w:val="TableContents"/>
              <w:spacing w:lineRule="auto" w:line="252" w:before="0" w:after="0"/>
              <w:ind w:left="0" w:right="0" w:hanging="0"/>
              <w:jc w:val="center"/>
              <w:rPr>
                <w:rFonts w:ascii="Times New Roman" w:hAnsi="Times New Roman"/>
                <w:b w:val="false"/>
                <w:sz w:val="16"/>
              </w:rPr>
            </w:pPr>
            <w:r>
              <w:rPr>
                <w:rFonts w:ascii="Times New Roman" w:hAnsi="Times New Roman"/>
                <w:b w:val="false"/>
                <w:sz w:val="16"/>
              </w:rPr>
              <w:t>The Nasdaq Global Market</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 w:hAnsi="Times New Roman"/>
          <w:b w:val="false"/>
          <w:sz w:val="18"/>
        </w:rPr>
        <w:t>No ☐</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 w:hAnsi="Times New Roman"/>
          <w:b w:val="false"/>
          <w:sz w:val="18"/>
        </w:rPr>
        <w:t>No ☐</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lineRule="auto" w:line="273" w:before="0" w:after="0"/>
        <w:jc w:val="left"/>
        <w:rPr/>
      </w:pPr>
      <w:r>
        <w:rPr/>
        <w:t> </w:t>
      </w:r>
    </w:p>
    <w:tbl>
      <w:tblPr>
        <w:tblW w:w="4905" w:type="dxa"/>
        <w:jc w:val="left"/>
        <w:tblInd w:w="0" w:type="dxa"/>
        <w:tblCellMar>
          <w:top w:w="28" w:type="dxa"/>
          <w:left w:w="28" w:type="dxa"/>
          <w:bottom w:w="28" w:type="dxa"/>
          <w:right w:w="28" w:type="dxa"/>
        </w:tblCellMar>
      </w:tblPr>
      <w:tblGrid>
        <w:gridCol w:w="2041"/>
        <w:gridCol w:w="316"/>
        <w:gridCol w:w="146"/>
        <w:gridCol w:w="2041"/>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3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18"/>
        </w:rPr>
        <w:t>As of May 10, 2022, there were 17,710,450</w:t>
      </w:r>
      <w:r>
        <w:rPr>
          <w:rFonts w:ascii="Times New Roman" w:hAnsi="Times New Roman"/>
          <w:sz w:val="20"/>
        </w:rPr>
        <w:t xml:space="preserve"> </w:t>
      </w:r>
      <w:r>
        <w:rPr>
          <w:rFonts w:ascii="Times New Roman" w:hAnsi="Times New Roman"/>
          <w:b w:val="false"/>
          <w:sz w:val="18"/>
        </w:rPr>
        <w:t>shares of the registrant’s Common Stock, $0.001 par value per share, outstanding.</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CAUTIONARY NOTE REGARDING FORWARD-LOOKING STATEMENTS</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to successfully engage with, and satisfactorily respond to, requests for additional information from the U.S. Food and Drug Administration ("FDA") concerning the clinical hold on our investigational new drug application ("IND") for CTI-1601 and the timing and outcomes of such interactions, including our plans to engage the FDA in order to lift the clinical hold, in full or in part, and allow re-initiation of interventional clinical studies;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delays or changes in our anticipated clinical timelines, including as a result of patient recruitment, clinical and non-clinical results, changes in clinical protocols, regulatory restrictions, including clinical holds, and milestones for CTI-1601, including those associated with COVID-19 and the efforts to mitigate it;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uncertainties associated with the clinical development and regulatory approval for CTI-1601 or any other product candidate that we may develop in the future, including potential delays in the commencement, enrollment and completion of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difficulties and expenses associated with obtaining and maintaining regulatory approval for CTI-1601 or any other product candidate we may develop in the future, and the indication and labeling under any such approval;</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estimates regarding future results of operations, financial position, research and development costs, capital requirements and our needs for additional financing;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how long we can continue to fund our operations with our existing cash, cash equivalents and marketable debt securities;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and the ability of third-party manufacturers we engage, to optimize and scale CTI-1601 or any other product candidate’s manufacturing process and to manufacture sufficient quantities of clinical supplies, if the clinical hold on the CTI-1601 IND is lifted, and, if approved, commercial supplies of CTI-1601;</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to comply with regulatory requirements applicable to our business and other regulatory developments in the United States and other countries;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Competing therapies and products including those that are still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to obtain and maintain patent protection and defend our intellectual property rights against third-parties;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performance of third parties upon which we depend, including third-party contract research organizations ("CROs") and third-party suppliers, manufacturers, distributors, and logistics providers;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to maintain our relationships, and contracts with our key vendors;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to recruit or retain key scientific, technical, commercial, and management personnel and to retain our executive officers;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to maintain proper functionality and security of our internal computer and information systems and prevent or avoid cyber-attacks, malicious intrusion, breakdown, destruction, loss of data privacy or other significant disruption;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extent to which health epidemics, unforeseen emergencies and other outbreaks of communicable diseases, including the ongoing COVID-19 pandemic and the efforts to mitigate it, geopolitical turmoil, including the ongoing invasion of Ukraine by Russia or increased trade restrictions between the United States, Russia, China, and other countries, social unrest, political instability, terrorism or other acts of war could disrupt our operations, the operations of third parties on which we rely or the operations of regulatory agencies we interact with in the development of CTI-1601.</w:t>
      </w:r>
    </w:p>
    <w:p>
      <w:pPr>
        <w:pStyle w:val="TextBody"/>
        <w:spacing w:lineRule="auto" w:line="273" w:before="120" w:after="0"/>
        <w:jc w:val="left"/>
        <w:rPr>
          <w:rFonts w:ascii="Times New Roman" w:hAnsi="Times New Roman"/>
          <w:sz w:val="20"/>
        </w:rPr>
      </w:pPr>
      <w:r>
        <w:rPr>
          <w:rFonts w:ascii="Times New Roman" w:hAnsi="Times New Roman"/>
          <w:b w:val="false"/>
          <w:sz w:val="20"/>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w:t>
      </w:r>
      <w:r>
        <w:rPr>
          <w:rFonts w:ascii="Times New Roman" w:hAnsi="Times New Roman"/>
          <w:sz w:val="20"/>
        </w:rPr>
        <w:t xml:space="preserve"> </w:t>
      </w:r>
      <w:r>
        <w:rPr>
          <w:rFonts w:ascii="Times New Roman" w:hAnsi="Times New Roman"/>
          <w:b w:val="false"/>
          <w:sz w:val="20"/>
        </w:rPr>
        <w:t>The factors that could cause or contribute to such differences include, but are not limited to, those discussed in our Annual Report on Form 10-K filed on March 25, 2022.</w:t>
      </w:r>
      <w:r>
        <w:rPr>
          <w:rFonts w:ascii="Times New Roman" w:hAnsi="Times New Roman"/>
          <w:sz w:val="20"/>
        </w:rPr>
        <w:t xml:space="preserve"> </w:t>
      </w:r>
      <w:r>
        <w:rPr>
          <w:rFonts w:ascii="Times New Roman" w:hAnsi="Times New Roman"/>
          <w:b w:val="false"/>
          <w:sz w:val="20"/>
        </w:rPr>
        <w:t>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Larimar Therapeutics, Inc.</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r>
        <w:rPr>
          <w:rFonts w:ascii="Times New Roman" w:hAnsi="Times New Roman"/>
          <w:b/>
          <w:sz w:val="20"/>
        </w:rPr>
        <w:t>INDEX</w:t>
      </w:r>
      <w:r>
        <w:rPr>
          <w:rFonts w:ascii="Times New Roman" w:hAnsi="Times New Roman"/>
          <w:sz w:val="20"/>
        </w:rPr>
        <w:t xml:space="preserve"> </w:t>
      </w:r>
    </w:p>
    <w:p>
      <w:pPr>
        <w:pStyle w:val="TextBody"/>
        <w:spacing w:lineRule="auto" w:line="273" w:before="40" w:after="0"/>
        <w:jc w:val="left"/>
        <w:rPr/>
      </w:pPr>
      <w:r>
        <w:rPr/>
        <w:t> </w:t>
      </w:r>
    </w:p>
    <w:tbl>
      <w:tblPr>
        <w:tblW w:w="10205" w:type="dxa"/>
        <w:jc w:val="left"/>
        <w:tblInd w:w="0" w:type="dxa"/>
        <w:tblCellMar>
          <w:top w:w="28" w:type="dxa"/>
          <w:left w:w="28" w:type="dxa"/>
          <w:bottom w:w="28" w:type="dxa"/>
          <w:right w:w="28" w:type="dxa"/>
        </w:tblCellMar>
      </w:tblPr>
      <w:tblGrid>
        <w:gridCol w:w="739"/>
        <w:gridCol w:w="146"/>
        <w:gridCol w:w="8662"/>
        <w:gridCol w:w="146"/>
        <w:gridCol w:w="512"/>
      </w:tblGrid>
      <w:tr>
        <w:trPr/>
        <w:tc>
          <w:tcPr>
            <w:tcW w:w="7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9547" w:type="dxa"/>
            <w:gridSpan w:val="3"/>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Page</w:t>
            </w:r>
          </w:p>
        </w:tc>
      </w:tr>
      <w:tr>
        <w:trPr/>
        <w:tc>
          <w:tcPr>
            <w:tcW w:w="9547" w:type="dxa"/>
            <w:gridSpan w:val="3"/>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1020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hyperlink w:anchor="part_ifinancial_information">
              <w:r>
                <w:rPr>
                  <w:rStyle w:val="InternetLink"/>
                  <w:rFonts w:ascii="Times New Roman" w:hAnsi="Times New Roman"/>
                  <w:b/>
                  <w:sz w:val="20"/>
                  <w:u w:val="single"/>
                </w:rPr>
                <w:t>PART I - FINANCIAL INFORMATION</w:t>
              </w:r>
            </w:hyperlink>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financial_statements">
              <w:r>
                <w:rPr>
                  <w:rStyle w:val="InternetLink"/>
                  <w:rFonts w:ascii="Times New Roman" w:hAnsi="Times New Roman"/>
                  <w:b w:val="false"/>
                  <w:sz w:val="20"/>
                  <w:u w:val="single"/>
                </w:rPr>
                <w:t>Financial Statements (unaudited)</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balance_sheets">
              <w:r>
                <w:rPr>
                  <w:rStyle w:val="InternetLink"/>
                  <w:rFonts w:ascii="Times New Roman" w:hAnsi="Times New Roman"/>
                  <w:b w:val="false"/>
                  <w:sz w:val="20"/>
                  <w:u w:val="single"/>
                </w:rPr>
                <w:t>Condensed Consolidated Balance Sheets as of March 31, 2022 and December 31, 2021</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statements_operat">
              <w:r>
                <w:rPr>
                  <w:rStyle w:val="InternetLink"/>
                  <w:rFonts w:ascii="Times New Roman" w:hAnsi="Times New Roman"/>
                  <w:b w:val="false"/>
                  <w:sz w:val="20"/>
                  <w:u w:val="single"/>
                </w:rPr>
                <w:t>Condensed Consolidated Statements of Operations and Comprehensive Loss for the three months ended March 31, 2022 and 2021</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statements_change">
              <w:r>
                <w:rPr>
                  <w:rStyle w:val="InternetLink"/>
                  <w:rFonts w:ascii="Times New Roman" w:hAnsi="Times New Roman"/>
                  <w:b w:val="false"/>
                  <w:sz w:val="20"/>
                  <w:u w:val="single"/>
                </w:rPr>
                <w:t>Condensed Consolidated Statements of Changes in Stockholders' Equity for the three months ended March 31, 2022 and 2021</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statements_cash_f">
              <w:r>
                <w:rPr>
                  <w:rStyle w:val="InternetLink"/>
                  <w:rFonts w:ascii="Times New Roman" w:hAnsi="Times New Roman"/>
                  <w:b w:val="false"/>
                  <w:sz w:val="20"/>
                  <w:u w:val="single"/>
                </w:rPr>
                <w:t>Condensed Consolidated Statements of Cash Flows for the three months ended March 31, 2022 and 2021</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es_to_condensed_consolidated_financia">
              <w:r>
                <w:rPr>
                  <w:rStyle w:val="InternetLink"/>
                  <w:rFonts w:ascii="Times New Roman" w:hAnsi="Times New Roman"/>
                  <w:b w:val="false"/>
                  <w:sz w:val="20"/>
                  <w:u w:val="single"/>
                </w:rPr>
                <w:t>Notes to Condensed Consolidated Financial Statements</w:t>
              </w:r>
            </w:hyperlink>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managements_discussion_analysis_f">
              <w:r>
                <w:rPr>
                  <w:rStyle w:val="InternetLink"/>
                  <w:rFonts w:ascii="Times New Roman" w:hAnsi="Times New Roman"/>
                  <w:b w:val="false"/>
                  <w:sz w:val="20"/>
                  <w:u w:val="single"/>
                </w:rPr>
                <w:t>Management’s Discussion and Analysis of Financial Condition and Results of Operations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quantitative_qualitative_disclosu">
              <w:r>
                <w:rPr>
                  <w:rStyle w:val="InternetLink"/>
                  <w:rFonts w:ascii="Times New Roman" w:hAnsi="Times New Roman"/>
                  <w:b w:val="false"/>
                  <w:sz w:val="20"/>
                  <w:u w:val="single"/>
                </w:rPr>
                <w:t>Quantitative and Qualitative Disclosures About Market Risk</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controls_and_procedures">
              <w:r>
                <w:rPr>
                  <w:rStyle w:val="InternetLink"/>
                  <w:rFonts w:ascii="Times New Roman" w:hAnsi="Times New Roman"/>
                  <w:b w:val="false"/>
                  <w:sz w:val="20"/>
                  <w:u w:val="single"/>
                </w:rPr>
                <w:t>Controls and Procedures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1020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r>
              <w:rPr/>
              <w:t> </w:t>
            </w:r>
          </w:p>
        </w:tc>
      </w:tr>
      <w:tr>
        <w:trPr/>
        <w:tc>
          <w:tcPr>
            <w:tcW w:w="10205" w:type="dxa"/>
            <w:gridSpan w:val="5"/>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pPr>
            <w:hyperlink w:anchor="part_ii_or_information">
              <w:r>
                <w:rPr>
                  <w:rStyle w:val="InternetLink"/>
                  <w:rFonts w:ascii="Times New Roman" w:hAnsi="Times New Roman"/>
                  <w:b/>
                  <w:sz w:val="20"/>
                  <w:u w:val="single"/>
                </w:rPr>
                <w:t>PART II - OTHER INFORMATION</w:t>
              </w:r>
            </w:hyperlink>
            <w:r>
              <w:rPr>
                <w:rFonts w:ascii="Times New Roman" w:hAnsi="Times New Roman"/>
                <w:sz w:val="20"/>
              </w:rPr>
              <w:t xml:space="preserve">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legal_proceedings">
              <w:r>
                <w:rPr>
                  <w:rStyle w:val="InternetLink"/>
                  <w:rFonts w:ascii="Times New Roman" w:hAnsi="Times New Roman"/>
                  <w:b w:val="false"/>
                  <w:sz w:val="20"/>
                  <w:u w:val="single"/>
                </w:rPr>
                <w:t>Legal Proceedings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a_risk_factors">
              <w:r>
                <w:rPr>
                  <w:rStyle w:val="InternetLink"/>
                  <w:rFonts w:ascii="Times New Roman" w:hAnsi="Times New Roman"/>
                  <w:b w:val="false"/>
                  <w:sz w:val="20"/>
                  <w:u w:val="single"/>
                </w:rPr>
                <w:t>Risk Factors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unregistered_sales_of_equity">
              <w:r>
                <w:rPr>
                  <w:rStyle w:val="InternetLink"/>
                  <w:rFonts w:ascii="Times New Roman" w:hAnsi="Times New Roman"/>
                  <w:b w:val="false"/>
                  <w:sz w:val="20"/>
                  <w:u w:val="single"/>
                </w:rPr>
                <w:t>Unregistered Sales of Equity Securities and Use of Proceeds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defaults_upon_senior_securities">
              <w:r>
                <w:rPr>
                  <w:rStyle w:val="InternetLink"/>
                  <w:rFonts w:ascii="Times New Roman" w:hAnsi="Times New Roman"/>
                  <w:b w:val="false"/>
                  <w:sz w:val="20"/>
                  <w:u w:val="single"/>
                </w:rPr>
                <w:t>Defaults Upon Senior Securities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mine_safety_disclosures">
              <w:r>
                <w:rPr>
                  <w:rStyle w:val="InternetLink"/>
                  <w:rFonts w:ascii="Times New Roman" w:hAnsi="Times New Roman"/>
                  <w:b w:val="false"/>
                  <w:sz w:val="20"/>
                  <w:u w:val="single"/>
                </w:rPr>
                <w:t>Mine Safety Disclosures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_other_information">
              <w:r>
                <w:rPr>
                  <w:rStyle w:val="InternetLink"/>
                  <w:rFonts w:ascii="Times New Roman" w:hAnsi="Times New Roman"/>
                  <w:b w:val="false"/>
                  <w:sz w:val="20"/>
                  <w:u w:val="single"/>
                </w:rPr>
                <w:t>Other Information</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28</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6_exhibits">
              <w:r>
                <w:rPr>
                  <w:rStyle w:val="InternetLink"/>
                  <w:rFonts w:ascii="Times New Roman" w:hAnsi="Times New Roman"/>
                  <w:b w:val="false"/>
                  <w:sz w:val="20"/>
                  <w:u w:val="single"/>
                </w:rPr>
                <w:t>Exhibits</w:t>
              </w:r>
            </w:hyperlink>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w:t>
            </w:r>
          </w:p>
        </w:tc>
      </w:tr>
      <w:tr>
        <w:trPr/>
        <w:tc>
          <w:tcPr>
            <w:tcW w:w="739"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66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9547" w:type="dxa"/>
            <w:gridSpan w:val="3"/>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Times New Roman" w:hAnsi="Times New Roman"/>
                  <w:b/>
                  <w:sz w:val="20"/>
                  <w:u w:val="single"/>
                </w:rPr>
                <w:t>Signatures</w:t>
              </w:r>
            </w:hyperlink>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51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2" w:name="part_ifinancial_information"/>
      <w:bookmarkEnd w:id="2"/>
      <w:r>
        <w:rPr>
          <w:rFonts w:ascii="Times New Roman" w:hAnsi="Times New Roman"/>
          <w:b/>
          <w:sz w:val="20"/>
        </w:rPr>
        <w:t>PART I-FINANCIAL INFORMATION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bookmarkStart w:id="3" w:name="item_1_financial_statements"/>
      <w:bookmarkEnd w:id="3"/>
      <w:r>
        <w:rPr>
          <w:rFonts w:ascii="Times New Roman" w:hAnsi="Times New Roman"/>
          <w:b/>
          <w:sz w:val="20"/>
        </w:rPr>
        <w:t>Item 1. Financial Statements</w:t>
      </w:r>
      <w:r>
        <w:rPr>
          <w:rFonts w:ascii="Times New Roman" w:hAnsi="Times New Roman"/>
          <w:sz w:val="20"/>
        </w:rPr>
        <w:t xml:space="preserve"> </w:t>
      </w:r>
    </w:p>
    <w:p>
      <w:pPr>
        <w:pStyle w:val="TextBody"/>
        <w:spacing w:lineRule="auto" w:line="273" w:before="360" w:after="0"/>
        <w:jc w:val="center"/>
        <w:rPr>
          <w:rFonts w:ascii="Times New Roman" w:hAnsi="Times New Roman"/>
          <w:sz w:val="20"/>
        </w:rPr>
      </w:pPr>
      <w:r>
        <w:rPr>
          <w:rFonts w:ascii="Times New Roman" w:hAnsi="Times New Roman"/>
          <w:b/>
          <w:sz w:val="20"/>
        </w:rPr>
        <w:t>LARIMAR THERAPEUTICS, INC.</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bookmarkStart w:id="4" w:name="condensed_consolidated_balance_sheets"/>
      <w:bookmarkEnd w:id="4"/>
      <w:r>
        <w:rPr>
          <w:rFonts w:ascii="Times New Roman" w:hAnsi="Times New Roman"/>
          <w:b/>
          <w:sz w:val="20"/>
        </w:rPr>
        <w:t>CONDENSED CONSOLIDATED BALANCE SHEETS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(In thousands, except share and per share data)</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273" w:before="0" w:after="0"/>
        <w:jc w:val="left"/>
        <w:rPr/>
      </w:pPr>
      <w:r>
        <w:rPr/>
        <w:t> </w:t>
      </w:r>
    </w:p>
    <w:tbl>
      <w:tblPr>
        <w:tblW w:w="9137" w:type="dxa"/>
        <w:jc w:val="left"/>
        <w:tblInd w:w="0" w:type="dxa"/>
        <w:tblCellMar>
          <w:top w:w="28" w:type="dxa"/>
          <w:left w:w="28" w:type="dxa"/>
          <w:bottom w:w="28" w:type="dxa"/>
          <w:right w:w="28" w:type="dxa"/>
        </w:tblCellMar>
      </w:tblPr>
      <w:tblGrid>
        <w:gridCol w:w="5941"/>
        <w:gridCol w:w="146"/>
        <w:gridCol w:w="211"/>
        <w:gridCol w:w="841"/>
        <w:gridCol w:w="166"/>
        <w:gridCol w:w="146"/>
        <w:gridCol w:w="219"/>
        <w:gridCol w:w="876"/>
        <w:gridCol w:w="591"/>
      </w:tblGrid>
      <w:tr>
        <w:trPr/>
        <w:tc>
          <w:tcPr>
            <w:tcW w:w="59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9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594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62,564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70,097</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2,107</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94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64,879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72,204</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1,049</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lease right-of-use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3,270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3,406</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1,339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1,339</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669</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71,223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78,667</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2,417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1,660</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5,840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6,592</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lease liabilities, 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94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8,873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8,846</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5,408</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94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14,118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14,254</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Commitments and contingencies (See Note 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Preferred stock; $0.001</w:t>
            </w:r>
            <w:r>
              <w:rPr>
                <w:rFonts w:ascii="Times New Roman" w:hAnsi="Times New Roman"/>
                <w:sz w:val="20"/>
              </w:rPr>
              <w:t> </w:t>
            </w:r>
            <w:r>
              <w:rPr>
                <w:rFonts w:ascii="Times New Roman" w:hAnsi="Times New Roman"/>
                <w:b w:val="false"/>
                <w:sz w:val="20"/>
              </w:rPr>
              <w:t>par value per share; 5,000,000</w:t>
            </w:r>
            <w:r>
              <w:rPr>
                <w:rFonts w:ascii="Times New Roman" w:hAnsi="Times New Roman"/>
                <w:sz w:val="20"/>
              </w:rPr>
              <w:t> </w:t>
            </w:r>
            <w:r>
              <w:rPr>
                <w:rFonts w:ascii="Times New Roman" w:hAnsi="Times New Roman"/>
                <w:b w:val="false"/>
                <w:sz w:val="20"/>
              </w:rPr>
              <w:t>shares authorized</w:t>
              <w:br/>
              <w:t>   as of March 31, 2022 and December 31, 2021; no</w:t>
            </w:r>
            <w:r>
              <w:rPr>
                <w:rFonts w:ascii="Times New Roman" w:hAnsi="Times New Roman"/>
                <w:sz w:val="20"/>
              </w:rPr>
              <w:t> </w:t>
            </w:r>
            <w:r>
              <w:rPr>
                <w:rFonts w:ascii="Times New Roman" w:hAnsi="Times New Roman"/>
                <w:b w:val="false"/>
                <w:sz w:val="20"/>
              </w:rPr>
              <w:t>shares issued and</w:t>
              <w:br/>
              <w:t>   outstanding as of March 31, 2022 and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941" w:type="dxa"/>
            <w:tcBorders/>
            <w:shd w:fill="auto" w:val="clear"/>
            <w:vAlign w:val="center"/>
          </w:tcPr>
          <w:p>
            <w:pPr>
              <w:pStyle w:val="TableContents"/>
              <w:spacing w:lineRule="auto" w:line="252" w:before="0" w:after="0"/>
              <w:ind w:left="200" w:right="0" w:hanging="0"/>
              <w:jc w:val="left"/>
              <w:rPr>
                <w:rFonts w:ascii="Times New Roman" w:hAnsi="Times New Roman"/>
                <w:sz w:val="20"/>
              </w:rPr>
            </w:pPr>
            <w:r>
              <w:rPr>
                <w:rFonts w:ascii="Times New Roman" w:hAnsi="Times New Roman"/>
                <w:b w:val="false"/>
                <w:sz w:val="20"/>
              </w:rPr>
              <w:t>Common stock, $0.001</w:t>
            </w:r>
            <w:r>
              <w:rPr>
                <w:rFonts w:ascii="Times New Roman" w:hAnsi="Times New Roman"/>
                <w:sz w:val="20"/>
              </w:rPr>
              <w:t> </w:t>
            </w:r>
            <w:r>
              <w:rPr>
                <w:rFonts w:ascii="Times New Roman" w:hAnsi="Times New Roman"/>
                <w:b w:val="false"/>
                <w:sz w:val="20"/>
              </w:rPr>
              <w:t>par value per share; 115,000,000</w:t>
            </w:r>
            <w:r>
              <w:rPr>
                <w:rFonts w:ascii="Times New Roman" w:hAnsi="Times New Roman"/>
                <w:sz w:val="20"/>
              </w:rPr>
              <w:t> </w:t>
            </w:r>
            <w:r>
              <w:rPr>
                <w:rFonts w:ascii="Times New Roman" w:hAnsi="Times New Roman"/>
                <w:b w:val="false"/>
                <w:sz w:val="20"/>
              </w:rPr>
              <w:t>shares</w:t>
              <w:br/>
              <w:t xml:space="preserve">   authorized as of March 31, 2022 and December 31, 2021; </w:t>
              <w:br/>
              <w:t>   17,710,450</w:t>
            </w:r>
            <w:r>
              <w:rPr>
                <w:rFonts w:ascii="Times New Roman" w:hAnsi="Times New Roman"/>
                <w:sz w:val="20"/>
              </w:rPr>
              <w:t> </w:t>
            </w:r>
            <w:r>
              <w:rPr>
                <w:rFonts w:ascii="Times New Roman" w:hAnsi="Times New Roman"/>
                <w:b w:val="false"/>
                <w:sz w:val="20"/>
              </w:rPr>
              <w:t xml:space="preserve">shares issued and outstanding as of </w:t>
              <w:br/>
              <w:t>   March 31, 2022 and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182,280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180,645</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(125,193</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8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(116,250</w:t>
            </w:r>
          </w:p>
        </w:tc>
        <w:tc>
          <w:tcPr>
            <w:tcW w:w="5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9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Accumulated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pPr>
            <w:r>
              <w:rPr/>
              <w:t> </w:t>
            </w:r>
          </w:p>
        </w:tc>
      </w:tr>
      <w:tr>
        <w:trPr/>
        <w:tc>
          <w:tcPr>
            <w:tcW w:w="594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57,105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64,413</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pPr>
            <w:r>
              <w:rPr/>
              <w:t> </w:t>
            </w:r>
          </w:p>
        </w:tc>
      </w:tr>
      <w:tr>
        <w:trPr/>
        <w:tc>
          <w:tcPr>
            <w:tcW w:w="594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71,223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78,667</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LARIMAR THERAPEUTICS, INC.</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bookmarkStart w:id="5" w:name="condensed_consolidated_statements_operat"/>
      <w:bookmarkEnd w:id="5"/>
      <w:r>
        <w:rPr>
          <w:rFonts w:ascii="Times New Roman" w:hAnsi="Times New Roman"/>
          <w:b/>
          <w:sz w:val="20"/>
        </w:rPr>
        <w:t>CONDENSED CONSOLIDATED STATEMENTS OF</w:t>
      </w:r>
      <w:r>
        <w:rPr>
          <w:rFonts w:ascii="Times New Roman" w:hAnsi="Times New Roman"/>
          <w:sz w:val="20"/>
        </w:rPr>
        <w:t xml:space="preserve"> </w:t>
      </w:r>
      <w:r>
        <w:rPr>
          <w:rFonts w:ascii="Times New Roman" w:hAnsi="Times New Roman"/>
          <w:b/>
          <w:sz w:val="20"/>
        </w:rPr>
        <w:t>OPERATIONS AND COMPREHENSIVE LOSS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(In thousands, except share and per share data)</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273" w:before="0" w:after="0"/>
        <w:jc w:val="left"/>
        <w:rPr/>
      </w:pPr>
      <w:r>
        <w:rPr/>
        <w:t> </w:t>
      </w:r>
    </w:p>
    <w:tbl>
      <w:tblPr>
        <w:tblW w:w="8929" w:type="dxa"/>
        <w:jc w:val="left"/>
        <w:tblInd w:w="0" w:type="dxa"/>
        <w:tblCellMar>
          <w:top w:w="28" w:type="dxa"/>
          <w:left w:w="28" w:type="dxa"/>
          <w:bottom w:w="28" w:type="dxa"/>
          <w:right w:w="28" w:type="dxa"/>
        </w:tblCellMar>
      </w:tblPr>
      <w:tblGrid>
        <w:gridCol w:w="5386"/>
        <w:gridCol w:w="146"/>
        <w:gridCol w:w="211"/>
        <w:gridCol w:w="1036"/>
        <w:gridCol w:w="166"/>
        <w:gridCol w:w="146"/>
        <w:gridCol w:w="211"/>
        <w:gridCol w:w="1036"/>
        <w:gridCol w:w="59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47"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200"/>
              <w:jc w:val="right"/>
              <w:rPr/>
            </w:pPr>
            <w:r>
              <w:rPr/>
              <w:t> </w:t>
            </w:r>
          </w:p>
        </w:tc>
      </w:tr>
      <w:tr>
        <w:trPr/>
        <w:tc>
          <w:tcPr>
            <w:tcW w:w="538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8,974</w:t>
            </w:r>
          </w:p>
        </w:tc>
        <w:tc>
          <w:tcPr>
            <w:tcW w:w="591" w:type="dxa"/>
            <w:tcBorders/>
            <w:shd w:fill="auto" w:val="clear"/>
            <w:vAlign w:val="center"/>
          </w:tcPr>
          <w:p>
            <w:pPr>
              <w:pStyle w:val="TableContents"/>
              <w:spacing w:lineRule="auto" w:line="252" w:before="0" w:after="0"/>
              <w:ind w:left="0" w:right="0" w:firstLine="200"/>
              <w:jc w:val="left"/>
              <w:rPr/>
            </w:pPr>
            <w:r>
              <w:rPr/>
              <w:t> </w:t>
            </w:r>
          </w:p>
        </w:tc>
      </w:tr>
      <w:tr>
        <w:trPr/>
        <w:tc>
          <w:tcPr>
            <w:tcW w:w="538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3,132</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r>
      <w:tr>
        <w:trPr/>
        <w:tc>
          <w:tcPr>
            <w:tcW w:w="538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12,106</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(8,887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(12,106</w:t>
            </w:r>
          </w:p>
        </w:tc>
        <w:tc>
          <w:tcPr>
            <w:tcW w:w="59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5386"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and Total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(8,943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(12,088</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 per share,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(0.49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(0.76</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Weighted average common shares outstanding,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18,338,853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15,996,133</w:t>
            </w:r>
          </w:p>
        </w:tc>
        <w:tc>
          <w:tcPr>
            <w:tcW w:w="5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LARIMAR THERAPEUTICS, INC.</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bookmarkStart w:id="6" w:name="condensed_consolidated_statements_change"/>
      <w:bookmarkEnd w:id="6"/>
      <w:r>
        <w:rPr>
          <w:rFonts w:ascii="Times New Roman" w:hAnsi="Times New Roman"/>
          <w:b/>
          <w:sz w:val="20"/>
        </w:rPr>
        <w:t>CONDENSED CONSOLIDATED STATEMENTS OF CHANGES IN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STOCKHOLDERS’ EQUITY</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(In thousands, except share data)</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2156"/>
        <w:gridCol w:w="146"/>
        <w:gridCol w:w="146"/>
        <w:gridCol w:w="1036"/>
        <w:gridCol w:w="146"/>
        <w:gridCol w:w="146"/>
        <w:gridCol w:w="266"/>
        <w:gridCol w:w="436"/>
        <w:gridCol w:w="146"/>
        <w:gridCol w:w="146"/>
        <w:gridCol w:w="211"/>
        <w:gridCol w:w="781"/>
        <w:gridCol w:w="146"/>
        <w:gridCol w:w="146"/>
        <w:gridCol w:w="211"/>
        <w:gridCol w:w="841"/>
        <w:gridCol w:w="166"/>
        <w:gridCol w:w="146"/>
        <w:gridCol w:w="460"/>
        <w:gridCol w:w="756"/>
        <w:gridCol w:w="146"/>
        <w:gridCol w:w="146"/>
        <w:gridCol w:w="253"/>
        <w:gridCol w:w="813"/>
        <w:gridCol w:w="213"/>
      </w:tblGrid>
      <w:tr>
        <w:trPr/>
        <w:tc>
          <w:tcPr>
            <w:tcW w:w="2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shd w:fill="auto" w:val="clear"/>
            <w:vAlign w:val="center"/>
          </w:tcPr>
          <w:p>
            <w:pPr>
              <w:pStyle w:val="TableContents"/>
              <w:spacing w:lineRule="auto" w:line="252" w:before="0" w:after="0"/>
              <w:ind w:left="0" w:right="0" w:hanging="0"/>
              <w:jc w:val="center"/>
              <w:rPr/>
            </w:pPr>
            <w:r>
              <w:rPr/>
              <w:t> </w:t>
            </w:r>
          </w:p>
        </w:tc>
        <w:tc>
          <w:tcPr>
            <w:tcW w:w="213" w:type="dxa"/>
            <w:tcBorders/>
            <w:shd w:fill="auto" w:val="clear"/>
            <w:vAlign w:val="center"/>
          </w:tcPr>
          <w:p>
            <w:pPr>
              <w:pStyle w:val="TableContents"/>
              <w:spacing w:lineRule="auto" w:line="252" w:before="0" w:after="0"/>
              <w:ind w:left="0" w:right="0" w:hanging="0"/>
              <w:jc w:val="center"/>
              <w:rPr/>
            </w:pPr>
            <w:r>
              <w:rPr/>
              <w:t> </w:t>
            </w:r>
          </w:p>
        </w:tc>
      </w:tr>
      <w:tr>
        <w:trPr/>
        <w:tc>
          <w:tcPr>
            <w:tcW w:w="2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3" w:type="dxa"/>
            <w:tcBorders/>
            <w:shd w:fill="auto" w:val="clear"/>
            <w:vAlign w:val="center"/>
          </w:tcPr>
          <w:p>
            <w:pPr>
              <w:pStyle w:val="TableContents"/>
              <w:spacing w:lineRule="auto" w:line="252" w:before="0" w:after="0"/>
              <w:ind w:left="0" w:right="0" w:hanging="0"/>
              <w:jc w:val="center"/>
              <w:rPr/>
            </w:pPr>
            <w:r>
              <w:rPr/>
              <w:t> </w:t>
            </w:r>
          </w:p>
        </w:tc>
      </w:tr>
      <w:tr>
        <w:trPr/>
        <w:tc>
          <w:tcPr>
            <w:tcW w:w="2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7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Comprehensive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Stockholders’</w:t>
            </w:r>
          </w:p>
        </w:tc>
        <w:tc>
          <w:tcPr>
            <w:tcW w:w="213" w:type="dxa"/>
            <w:tcBorders/>
            <w:shd w:fill="auto" w:val="clear"/>
            <w:vAlign w:val="center"/>
          </w:tcPr>
          <w:p>
            <w:pPr>
              <w:pStyle w:val="TableContents"/>
              <w:spacing w:lineRule="auto" w:line="252" w:before="0" w:after="0"/>
              <w:ind w:left="0" w:right="0" w:hanging="0"/>
              <w:jc w:val="center"/>
              <w:rPr/>
            </w:pPr>
            <w:r>
              <w:rPr/>
              <w:t> </w:t>
            </w:r>
          </w:p>
        </w:tc>
      </w:tr>
      <w:tr>
        <w:trPr/>
        <w:tc>
          <w:tcPr>
            <w:tcW w:w="21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Loss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Equity</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5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Balances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17,710,450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180,645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(116,250</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64,413</w:t>
            </w:r>
          </w:p>
        </w:tc>
        <w:tc>
          <w:tcPr>
            <w:tcW w:w="213" w:type="dxa"/>
            <w:tcBorders/>
            <w:shd w:fill="auto" w:val="clear"/>
            <w:vAlign w:val="center"/>
          </w:tcPr>
          <w:p>
            <w:pPr>
              <w:pStyle w:val="TableContents"/>
              <w:spacing w:lineRule="auto" w:line="252" w:before="0" w:after="0"/>
              <w:ind w:left="0" w:right="0" w:hanging="0"/>
              <w:jc w:val="left"/>
              <w:rPr/>
            </w:pPr>
            <w:r>
              <w:rPr/>
              <w:t> </w:t>
            </w:r>
          </w:p>
        </w:tc>
      </w:tr>
      <w:tr>
        <w:trPr/>
        <w:tc>
          <w:tcPr>
            <w:tcW w:w="21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4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813"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1,635</w:t>
            </w:r>
          </w:p>
        </w:tc>
        <w:tc>
          <w:tcPr>
            <w:tcW w:w="213" w:type="dxa"/>
            <w:tcBorders/>
            <w:shd w:fill="auto" w:val="clear"/>
            <w:vAlign w:val="center"/>
          </w:tcPr>
          <w:p>
            <w:pPr>
              <w:pStyle w:val="TableContents"/>
              <w:spacing w:lineRule="auto" w:line="252" w:before="0" w:after="0"/>
              <w:ind w:left="0" w:right="0" w:hanging="0"/>
              <w:jc w:val="left"/>
              <w:rPr/>
            </w:pPr>
            <w:r>
              <w:rPr/>
              <w:t> </w:t>
            </w:r>
          </w:p>
        </w:tc>
      </w:tr>
      <w:tr>
        <w:trPr/>
        <w:tc>
          <w:tcPr>
            <w:tcW w:w="215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(8,943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(8,943</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5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Balances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17,710,450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182,280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(125,193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57,105</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tbl>
      <w:tblPr>
        <w:tblW w:w="10205" w:type="dxa"/>
        <w:jc w:val="left"/>
        <w:tblInd w:w="0" w:type="dxa"/>
        <w:tblCellMar>
          <w:top w:w="28" w:type="dxa"/>
          <w:left w:w="28" w:type="dxa"/>
          <w:bottom w:w="28" w:type="dxa"/>
          <w:right w:w="28" w:type="dxa"/>
        </w:tblCellMar>
      </w:tblPr>
      <w:tblGrid>
        <w:gridCol w:w="2157"/>
        <w:gridCol w:w="146"/>
        <w:gridCol w:w="146"/>
        <w:gridCol w:w="1036"/>
        <w:gridCol w:w="146"/>
        <w:gridCol w:w="146"/>
        <w:gridCol w:w="266"/>
        <w:gridCol w:w="436"/>
        <w:gridCol w:w="146"/>
        <w:gridCol w:w="146"/>
        <w:gridCol w:w="211"/>
        <w:gridCol w:w="781"/>
        <w:gridCol w:w="146"/>
        <w:gridCol w:w="146"/>
        <w:gridCol w:w="234"/>
        <w:gridCol w:w="817"/>
        <w:gridCol w:w="166"/>
        <w:gridCol w:w="146"/>
        <w:gridCol w:w="460"/>
        <w:gridCol w:w="756"/>
        <w:gridCol w:w="146"/>
        <w:gridCol w:w="146"/>
        <w:gridCol w:w="236"/>
        <w:gridCol w:w="829"/>
        <w:gridCol w:w="214"/>
      </w:tblGrid>
      <w:tr>
        <w:trPr/>
        <w:tc>
          <w:tcPr>
            <w:tcW w:w="21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15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5" w:type="dxa"/>
            <w:gridSpan w:val="2"/>
            <w:tcBorders/>
            <w:shd w:fill="auto" w:val="clear"/>
            <w:vAlign w:val="center"/>
          </w:tcPr>
          <w:p>
            <w:pPr>
              <w:pStyle w:val="TableContents"/>
              <w:spacing w:lineRule="auto" w:line="252" w:before="0" w:after="0"/>
              <w:ind w:left="0" w:right="0" w:hanging="0"/>
              <w:jc w:val="center"/>
              <w:rPr/>
            </w:pPr>
            <w:r>
              <w:rPr/>
              <w:t> </w:t>
            </w:r>
          </w:p>
        </w:tc>
        <w:tc>
          <w:tcPr>
            <w:tcW w:w="214" w:type="dxa"/>
            <w:tcBorders/>
            <w:shd w:fill="auto" w:val="clear"/>
            <w:vAlign w:val="center"/>
          </w:tcPr>
          <w:p>
            <w:pPr>
              <w:pStyle w:val="TableContents"/>
              <w:spacing w:lineRule="auto" w:line="252" w:before="0" w:after="0"/>
              <w:ind w:left="0" w:right="0" w:hanging="0"/>
              <w:jc w:val="center"/>
              <w:rPr/>
            </w:pPr>
            <w:r>
              <w:rPr/>
              <w:t> </w:t>
            </w:r>
          </w:p>
        </w:tc>
      </w:tr>
      <w:tr>
        <w:trPr/>
        <w:tc>
          <w:tcPr>
            <w:tcW w:w="215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2"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Additional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Other</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214" w:type="dxa"/>
            <w:tcBorders/>
            <w:shd w:fill="auto" w:val="clear"/>
            <w:vAlign w:val="center"/>
          </w:tcPr>
          <w:p>
            <w:pPr>
              <w:pStyle w:val="TableContents"/>
              <w:spacing w:lineRule="auto" w:line="252" w:before="0" w:after="0"/>
              <w:ind w:left="0" w:right="0" w:hanging="0"/>
              <w:jc w:val="center"/>
              <w:rPr/>
            </w:pPr>
            <w:r>
              <w:rPr/>
              <w:t> </w:t>
            </w:r>
          </w:p>
        </w:tc>
      </w:tr>
      <w:tr>
        <w:trPr/>
        <w:tc>
          <w:tcPr>
            <w:tcW w:w="215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7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Paid-in</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Accumulated</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Comprehensive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Stockholders’</w:t>
            </w:r>
          </w:p>
        </w:tc>
        <w:tc>
          <w:tcPr>
            <w:tcW w:w="214" w:type="dxa"/>
            <w:tcBorders/>
            <w:shd w:fill="auto" w:val="clear"/>
            <w:vAlign w:val="center"/>
          </w:tcPr>
          <w:p>
            <w:pPr>
              <w:pStyle w:val="TableContents"/>
              <w:spacing w:lineRule="auto" w:line="252" w:before="0" w:after="0"/>
              <w:ind w:left="0" w:right="0" w:hanging="0"/>
              <w:jc w:val="center"/>
              <w:rPr/>
            </w:pPr>
            <w:r>
              <w:rPr/>
              <w:t> </w:t>
            </w:r>
          </w:p>
        </w:tc>
      </w:tr>
      <w:tr>
        <w:trPr/>
        <w:tc>
          <w:tcPr>
            <w:tcW w:w="2157"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Par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Loss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Equity</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Balances as of December 31, 2020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15,367,730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155,290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(65,614</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89,692</w:t>
            </w:r>
          </w:p>
        </w:tc>
        <w:tc>
          <w:tcPr>
            <w:tcW w:w="214" w:type="dxa"/>
            <w:tcBorders/>
            <w:shd w:fill="auto" w:val="clear"/>
            <w:vAlign w:val="center"/>
          </w:tcPr>
          <w:p>
            <w:pPr>
              <w:pStyle w:val="TableContents"/>
              <w:spacing w:lineRule="auto" w:line="252" w:before="0" w:after="0"/>
              <w:ind w:left="0" w:right="0" w:hanging="0"/>
              <w:jc w:val="lef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43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8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shd w:fill="auto" w:val="clear"/>
            <w:vAlign w:val="center"/>
          </w:tcPr>
          <w:p>
            <w:pPr>
              <w:pStyle w:val="TableContents"/>
              <w:spacing w:lineRule="auto" w:line="252" w:before="0" w:after="0"/>
              <w:ind w:left="0" w:right="0" w:hanging="0"/>
              <w:jc w:val="left"/>
              <w:rPr/>
            </w:pPr>
            <w:r>
              <w:rPr/>
              <w:t> </w:t>
            </w:r>
          </w:p>
        </w:tc>
        <w:tc>
          <w:tcPr>
            <w:tcW w:w="817"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shd w:fill="auto" w:val="clear"/>
            <w:vAlign w:val="center"/>
          </w:tcPr>
          <w:p>
            <w:pPr>
              <w:pStyle w:val="TableContents"/>
              <w:spacing w:lineRule="auto" w:line="252" w:before="0" w:after="0"/>
              <w:ind w:left="0" w:right="0" w:hanging="0"/>
              <w:jc w:val="left"/>
              <w:rPr/>
            </w:pPr>
            <w:r>
              <w:rPr/>
              <w:t> </w:t>
            </w:r>
          </w:p>
        </w:tc>
        <w:tc>
          <w:tcPr>
            <w:tcW w:w="75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shd w:fill="auto" w:val="clear"/>
            <w:vAlign w:val="center"/>
          </w:tcPr>
          <w:p>
            <w:pPr>
              <w:pStyle w:val="TableContents"/>
              <w:spacing w:lineRule="auto" w:line="252" w:before="0" w:after="0"/>
              <w:ind w:left="0" w:right="0" w:hanging="0"/>
              <w:jc w:val="left"/>
              <w:rPr/>
            </w:pPr>
            <w:r>
              <w:rPr/>
              <w:t> </w:t>
            </w:r>
          </w:p>
        </w:tc>
        <w:tc>
          <w:tcPr>
            <w:tcW w:w="829"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1,180</w:t>
            </w:r>
          </w:p>
        </w:tc>
        <w:tc>
          <w:tcPr>
            <w:tcW w:w="214" w:type="dxa"/>
            <w:tcBorders/>
            <w:shd w:fill="auto" w:val="clear"/>
            <w:vAlign w:val="center"/>
          </w:tcPr>
          <w:p>
            <w:pPr>
              <w:pStyle w:val="TableContents"/>
              <w:spacing w:lineRule="auto" w:line="252" w:before="0" w:after="0"/>
              <w:ind w:left="0" w:right="0" w:hanging="0"/>
              <w:jc w:val="left"/>
              <w:rPr/>
            </w:pPr>
            <w:r>
              <w:rPr/>
              <w:t> </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(12,088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2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(12,088</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157"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Balances as of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15,367,730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156,470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(77,702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2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78,784</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LARIMAR THERAPEUTICS, INC.</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bookmarkStart w:id="7" w:name="condensed_consolidated_statements_cash_f"/>
      <w:bookmarkEnd w:id="7"/>
      <w:r>
        <w:rPr>
          <w:rFonts w:ascii="Times New Roman" w:hAnsi="Times New Roman"/>
          <w:b/>
          <w:sz w:val="20"/>
        </w:rPr>
        <w:t>CONDENSED CONSOLIDATED STATEMENTS OF CASH FLOWS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(In thousands)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Times New Roman" w:hAnsi="Times New Roman"/>
          <w:b/>
          <w:sz w:val="20"/>
        </w:rPr>
        <w:t>(Unaudited)</w:t>
      </w:r>
      <w:r>
        <w:rPr>
          <w:rFonts w:ascii="Times New Roman" w:hAnsi="Times New Roman"/>
          <w:sz w:val="20"/>
        </w:rPr>
        <w:t xml:space="preserve"> </w:t>
      </w:r>
    </w:p>
    <w:p>
      <w:pPr>
        <w:pStyle w:val="TextBody"/>
        <w:spacing w:lineRule="auto" w:line="273" w:before="0" w:after="0"/>
        <w:jc w:val="left"/>
        <w:rPr/>
      </w:pPr>
      <w:r>
        <w:rPr/>
        <w:t> </w:t>
      </w:r>
    </w:p>
    <w:tbl>
      <w:tblPr>
        <w:tblW w:w="10004" w:type="dxa"/>
        <w:jc w:val="left"/>
        <w:tblInd w:w="0" w:type="dxa"/>
        <w:tblCellMar>
          <w:top w:w="28" w:type="dxa"/>
          <w:left w:w="28" w:type="dxa"/>
          <w:bottom w:w="28" w:type="dxa"/>
          <w:right w:w="28" w:type="dxa"/>
        </w:tblCellMar>
      </w:tblPr>
      <w:tblGrid>
        <w:gridCol w:w="6301"/>
        <w:gridCol w:w="346"/>
        <w:gridCol w:w="211"/>
        <w:gridCol w:w="676"/>
        <w:gridCol w:w="566"/>
        <w:gridCol w:w="346"/>
        <w:gridCol w:w="211"/>
        <w:gridCol w:w="736"/>
        <w:gridCol w:w="611"/>
      </w:tblGrid>
      <w:tr>
        <w:trPr/>
        <w:tc>
          <w:tcPr>
            <w:tcW w:w="630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301" w:type="dxa"/>
            <w:tcBorders/>
            <w:shd w:fill="auto" w:val="clear"/>
            <w:vAlign w:val="center"/>
          </w:tcPr>
          <w:p>
            <w:pPr>
              <w:pStyle w:val="TableContents"/>
              <w:spacing w:lineRule="auto" w:line="252" w:before="0" w:after="0"/>
              <w:ind w:left="0" w:right="0" w:hanging="0"/>
              <w:jc w:val="center"/>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7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301" w:type="dxa"/>
            <w:tcBorders/>
            <w:shd w:fill="auto" w:val="clear"/>
            <w:vAlign w:val="center"/>
          </w:tcPr>
          <w:p>
            <w:pPr>
              <w:pStyle w:val="TableContents"/>
              <w:spacing w:lineRule="auto" w:line="252" w:before="0" w:after="0"/>
              <w:ind w:left="0" w:right="0" w:hanging="0"/>
              <w:jc w:val="center"/>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6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(8,943</w:t>
            </w:r>
          </w:p>
        </w:tc>
        <w:tc>
          <w:tcPr>
            <w:tcW w:w="5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(12,088</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Adjustments to reconcile net loss to net cash used in operating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Stock-based compensation expense</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1,635</w:t>
            </w:r>
          </w:p>
        </w:tc>
        <w:tc>
          <w:tcPr>
            <w:tcW w:w="566" w:type="dxa"/>
            <w:tcBorders/>
            <w:shd w:fill="auto" w:val="clear"/>
            <w:vAlign w:val="center"/>
          </w:tcPr>
          <w:p>
            <w:pPr>
              <w:pStyle w:val="TableContents"/>
              <w:spacing w:lineRule="auto" w:line="252" w:before="0" w:after="0"/>
              <w:ind w:left="0" w:right="0" w:firstLine="200"/>
              <w:jc w:val="left"/>
              <w:rPr/>
            </w:pPr>
            <w:r>
              <w:rPr/>
              <w:t> </w:t>
            </w:r>
          </w:p>
        </w:tc>
        <w:tc>
          <w:tcPr>
            <w:tcW w:w="346" w:type="dxa"/>
            <w:tcBorders/>
            <w:shd w:fill="auto" w:val="clear"/>
            <w:vAlign w:val="center"/>
          </w:tcPr>
          <w:p>
            <w:pPr>
              <w:pStyle w:val="TableContents"/>
              <w:spacing w:lineRule="auto" w:line="252" w:before="0" w:after="0"/>
              <w:ind w:left="2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1,180</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Depreciation expense</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82</w:t>
            </w:r>
          </w:p>
        </w:tc>
        <w:tc>
          <w:tcPr>
            <w:tcW w:w="566" w:type="dxa"/>
            <w:tcBorders/>
            <w:shd w:fill="auto" w:val="clear"/>
            <w:vAlign w:val="center"/>
          </w:tcPr>
          <w:p>
            <w:pPr>
              <w:pStyle w:val="TableContents"/>
              <w:spacing w:lineRule="auto" w:line="252" w:before="0" w:after="0"/>
              <w:ind w:left="0" w:right="0" w:firstLine="200"/>
              <w:jc w:val="left"/>
              <w:rPr/>
            </w:pPr>
            <w:r>
              <w:rPr/>
              <w:t> </w:t>
            </w:r>
          </w:p>
        </w:tc>
        <w:tc>
          <w:tcPr>
            <w:tcW w:w="346" w:type="dxa"/>
            <w:tcBorders/>
            <w:shd w:fill="auto" w:val="clear"/>
            <w:vAlign w:val="center"/>
          </w:tcPr>
          <w:p>
            <w:pPr>
              <w:pStyle w:val="TableContents"/>
              <w:spacing w:lineRule="auto" w:line="252" w:before="0" w:after="0"/>
              <w:ind w:left="2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73</w:t>
            </w:r>
          </w:p>
        </w:tc>
        <w:tc>
          <w:tcPr>
            <w:tcW w:w="611" w:type="dxa"/>
            <w:tcBorders/>
            <w:shd w:fill="auto" w:val="clear"/>
            <w:vAlign w:val="center"/>
          </w:tcPr>
          <w:p>
            <w:pPr>
              <w:pStyle w:val="TableContents"/>
              <w:spacing w:lineRule="auto" w:line="252" w:before="0" w:after="0"/>
              <w:ind w:left="0" w:right="0" w:firstLine="200"/>
              <w:jc w:val="left"/>
              <w:rPr/>
            </w:pPr>
            <w:r>
              <w:rPr/>
              <w:t> </w:t>
            </w:r>
          </w:p>
        </w:tc>
      </w:tr>
      <w:tr>
        <w:trPr/>
        <w:tc>
          <w:tcPr>
            <w:tcW w:w="630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Amortization of premium on marketable securities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566" w:type="dxa"/>
            <w:tcBorders/>
            <w:shd w:fill="auto" w:val="clear"/>
            <w:vAlign w:val="center"/>
          </w:tcPr>
          <w:p>
            <w:pPr>
              <w:pStyle w:val="TableContents"/>
              <w:spacing w:lineRule="auto" w:line="252" w:before="0" w:after="0"/>
              <w:ind w:left="0" w:right="0" w:firstLine="200"/>
              <w:jc w:val="left"/>
              <w:rPr/>
            </w:pPr>
            <w:r>
              <w:rPr/>
              <w:t> </w:t>
            </w:r>
          </w:p>
        </w:tc>
        <w:tc>
          <w:tcPr>
            <w:tcW w:w="346" w:type="dxa"/>
            <w:tcBorders/>
            <w:shd w:fill="auto" w:val="clear"/>
            <w:vAlign w:val="center"/>
          </w:tcPr>
          <w:p>
            <w:pPr>
              <w:pStyle w:val="TableContents"/>
              <w:spacing w:lineRule="auto" w:line="252" w:before="0" w:after="0"/>
              <w:ind w:left="2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w:t>
            </w:r>
          </w:p>
        </w:tc>
        <w:tc>
          <w:tcPr>
            <w:tcW w:w="6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200" w:right="0" w:hanging="0"/>
              <w:jc w:val="left"/>
              <w:rPr>
                <w:rFonts w:ascii="Times New Roman" w:hAnsi="Times New Roman"/>
                <w:b/>
                <w:sz w:val="20"/>
              </w:rPr>
            </w:pPr>
            <w:r>
              <w:rPr>
                <w:rFonts w:ascii="Times New Roman" w:hAnsi="Times New Roman"/>
                <w:b/>
                <w:sz w:val="20"/>
              </w:rPr>
              <w:t>Changes in operating assets and liabilities:</w:t>
            </w:r>
          </w:p>
        </w:tc>
        <w:tc>
          <w:tcPr>
            <w:tcW w:w="346" w:type="dxa"/>
            <w:tcBorders/>
            <w:shd w:fill="auto" w:val="clear"/>
            <w:vAlign w:val="center"/>
          </w:tcPr>
          <w:p>
            <w:pPr>
              <w:pStyle w:val="TableContents"/>
              <w:spacing w:lineRule="auto" w:line="252" w:before="0" w:after="0"/>
              <w:ind w:left="0" w:right="0" w:firstLine="200"/>
              <w:jc w:val="left"/>
              <w:rPr/>
            </w:pPr>
            <w:r>
              <w:rPr/>
              <w:t> </w:t>
            </w:r>
          </w:p>
        </w:tc>
        <w:tc>
          <w:tcPr>
            <w:tcW w:w="887" w:type="dxa"/>
            <w:gridSpan w:val="2"/>
            <w:tcBorders/>
            <w:shd w:fill="auto" w:val="clear"/>
            <w:vAlign w:val="center"/>
          </w:tcPr>
          <w:p>
            <w:pPr>
              <w:pStyle w:val="TableContents"/>
              <w:spacing w:lineRule="auto" w:line="252" w:before="0" w:after="0"/>
              <w:ind w:left="200" w:right="0" w:hanging="0"/>
              <w:jc w:val="left"/>
              <w:rPr/>
            </w:pPr>
            <w:r>
              <w:rPr/>
              <w:t> </w:t>
            </w:r>
          </w:p>
        </w:tc>
        <w:tc>
          <w:tcPr>
            <w:tcW w:w="566" w:type="dxa"/>
            <w:tcBorders/>
            <w:shd w:fill="auto" w:val="clear"/>
            <w:vAlign w:val="center"/>
          </w:tcPr>
          <w:p>
            <w:pPr>
              <w:pStyle w:val="TableContents"/>
              <w:spacing w:lineRule="auto" w:line="252" w:before="0" w:after="0"/>
              <w:ind w:left="0" w:right="0" w:firstLine="200"/>
              <w:jc w:val="left"/>
              <w:rPr/>
            </w:pPr>
            <w:r>
              <w:rPr/>
              <w:t> </w:t>
            </w:r>
          </w:p>
        </w:tc>
        <w:tc>
          <w:tcPr>
            <w:tcW w:w="346" w:type="dxa"/>
            <w:tcBorders/>
            <w:shd w:fill="auto" w:val="clear"/>
            <w:vAlign w:val="center"/>
          </w:tcPr>
          <w:p>
            <w:pPr>
              <w:pStyle w:val="TableContents"/>
              <w:spacing w:lineRule="auto" w:line="252" w:before="0" w:after="0"/>
              <w:ind w:left="0" w:right="0" w:firstLine="200"/>
              <w:jc w:val="left"/>
              <w:rPr/>
            </w:pPr>
            <w:r>
              <w:rPr/>
              <w:t> </w:t>
            </w:r>
          </w:p>
        </w:tc>
        <w:tc>
          <w:tcPr>
            <w:tcW w:w="947" w:type="dxa"/>
            <w:gridSpan w:val="2"/>
            <w:tcBorders/>
            <w:shd w:fill="auto" w:val="clear"/>
            <w:vAlign w:val="center"/>
          </w:tcPr>
          <w:p>
            <w:pPr>
              <w:pStyle w:val="TableContents"/>
              <w:spacing w:lineRule="auto" w:line="252" w:before="0" w:after="0"/>
              <w:ind w:left="200" w:right="0" w:hanging="0"/>
              <w:jc w:val="left"/>
              <w:rPr/>
            </w:pPr>
            <w:r>
              <w:rPr/>
              <w:t> </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3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(208</w:t>
            </w:r>
          </w:p>
        </w:tc>
        <w:tc>
          <w:tcPr>
            <w:tcW w:w="56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c>
          <w:tcPr>
            <w:tcW w:w="346" w:type="dxa"/>
            <w:tcBorders/>
            <w:shd w:fill="auto" w:val="clear"/>
            <w:vAlign w:val="center"/>
          </w:tcPr>
          <w:p>
            <w:pPr>
              <w:pStyle w:val="TableContents"/>
              <w:spacing w:lineRule="auto" w:line="252" w:before="0" w:after="0"/>
              <w:ind w:left="4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625</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3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Accounts payable</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657</w:t>
            </w:r>
          </w:p>
        </w:tc>
        <w:tc>
          <w:tcPr>
            <w:tcW w:w="566" w:type="dxa"/>
            <w:tcBorders/>
            <w:shd w:fill="auto" w:val="clear"/>
            <w:vAlign w:val="center"/>
          </w:tcPr>
          <w:p>
            <w:pPr>
              <w:pStyle w:val="TableContents"/>
              <w:spacing w:lineRule="auto" w:line="252" w:before="0" w:after="0"/>
              <w:ind w:left="0" w:right="0" w:firstLine="400"/>
              <w:jc w:val="left"/>
              <w:rPr/>
            </w:pPr>
            <w:r>
              <w:rPr/>
              <w:t> </w:t>
            </w:r>
          </w:p>
        </w:tc>
        <w:tc>
          <w:tcPr>
            <w:tcW w:w="346" w:type="dxa"/>
            <w:tcBorders/>
            <w:shd w:fill="auto" w:val="clear"/>
            <w:vAlign w:val="center"/>
          </w:tcPr>
          <w:p>
            <w:pPr>
              <w:pStyle w:val="TableContents"/>
              <w:spacing w:lineRule="auto" w:line="252" w:before="0" w:after="0"/>
              <w:ind w:left="4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564</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3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Accrued expenses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(752</w:t>
            </w:r>
          </w:p>
        </w:tc>
        <w:tc>
          <w:tcPr>
            <w:tcW w:w="56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c>
          <w:tcPr>
            <w:tcW w:w="346" w:type="dxa"/>
            <w:tcBorders/>
            <w:shd w:fill="auto" w:val="clear"/>
            <w:vAlign w:val="center"/>
          </w:tcPr>
          <w:p>
            <w:pPr>
              <w:pStyle w:val="TableContents"/>
              <w:spacing w:lineRule="auto" w:line="252" w:before="0" w:after="0"/>
              <w:ind w:left="4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(1,232</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Right-of-use assets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136</w:t>
            </w:r>
          </w:p>
        </w:tc>
        <w:tc>
          <w:tcPr>
            <w:tcW w:w="566" w:type="dxa"/>
            <w:tcBorders/>
            <w:shd w:fill="auto" w:val="clear"/>
            <w:vAlign w:val="center"/>
          </w:tcPr>
          <w:p>
            <w:pPr>
              <w:pStyle w:val="TableContents"/>
              <w:spacing w:lineRule="auto" w:line="252" w:before="0" w:after="0"/>
              <w:ind w:left="0" w:right="0" w:firstLine="400"/>
              <w:jc w:val="left"/>
              <w:rPr/>
            </w:pPr>
            <w:r>
              <w:rPr/>
              <w:t> </w:t>
            </w:r>
          </w:p>
        </w:tc>
        <w:tc>
          <w:tcPr>
            <w:tcW w:w="346" w:type="dxa"/>
            <w:tcBorders/>
            <w:shd w:fill="auto" w:val="clear"/>
            <w:vAlign w:val="center"/>
          </w:tcPr>
          <w:p>
            <w:pPr>
              <w:pStyle w:val="TableContents"/>
              <w:spacing w:lineRule="auto" w:line="252" w:before="0" w:after="0"/>
              <w:ind w:left="4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131</w:t>
            </w:r>
          </w:p>
        </w:tc>
        <w:tc>
          <w:tcPr>
            <w:tcW w:w="611" w:type="dxa"/>
            <w:tcBorders/>
            <w:shd w:fill="auto" w:val="clear"/>
            <w:vAlign w:val="center"/>
          </w:tcPr>
          <w:p>
            <w:pPr>
              <w:pStyle w:val="TableContents"/>
              <w:spacing w:lineRule="auto" w:line="252" w:before="0" w:after="0"/>
              <w:ind w:left="0" w:right="0" w:firstLine="400"/>
              <w:jc w:val="left"/>
              <w:rPr/>
            </w:pPr>
            <w:r>
              <w:rPr/>
              <w:t> </w:t>
            </w:r>
          </w:p>
        </w:tc>
      </w:tr>
      <w:tr>
        <w:trPr/>
        <w:tc>
          <w:tcPr>
            <w:tcW w:w="63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Operating lease liabilities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(141</w:t>
            </w:r>
          </w:p>
        </w:tc>
        <w:tc>
          <w:tcPr>
            <w:tcW w:w="566"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c>
          <w:tcPr>
            <w:tcW w:w="346" w:type="dxa"/>
            <w:tcBorders/>
            <w:shd w:fill="auto" w:val="clear"/>
            <w:vAlign w:val="center"/>
          </w:tcPr>
          <w:p>
            <w:pPr>
              <w:pStyle w:val="TableContents"/>
              <w:spacing w:lineRule="auto" w:line="252" w:before="0" w:after="0"/>
              <w:ind w:left="40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(123</w:t>
            </w:r>
          </w:p>
        </w:tc>
        <w:tc>
          <w:tcPr>
            <w:tcW w:w="611" w:type="dxa"/>
            <w:tcBorders/>
            <w:shd w:fill="auto" w:val="clear"/>
            <w:vAlign w:val="center"/>
          </w:tcPr>
          <w:p>
            <w:pPr>
              <w:pStyle w:val="TableContents"/>
              <w:spacing w:lineRule="auto" w:line="252" w:before="0" w:after="0"/>
              <w:ind w:left="0" w:right="0" w:firstLine="40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Other assets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00"/>
              <w:jc w:val="left"/>
              <w:rPr/>
            </w:pPr>
            <w:r>
              <w:rPr/>
              <w:t> </w:t>
            </w:r>
          </w:p>
        </w:tc>
        <w:tc>
          <w:tcPr>
            <w:tcW w:w="346" w:type="dxa"/>
            <w:tcBorders/>
            <w:shd w:fill="auto" w:val="clear"/>
            <w:vAlign w:val="center"/>
          </w:tcPr>
          <w:p>
            <w:pPr>
              <w:pStyle w:val="TableContents"/>
              <w:spacing w:lineRule="auto" w:line="252" w:before="0" w:after="0"/>
              <w:ind w:left="4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(331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(7,533</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rFonts w:ascii="Times New Roman" w:hAnsi="Times New Roman"/>
                <w:b w:val="false"/>
                <w:sz w:val="20"/>
              </w:rPr>
            </w:pPr>
            <w:r>
              <w:rPr>
                <w:rFonts w:ascii="Times New Roman" w:hAnsi="Times New Roman"/>
                <w:b w:val="false"/>
                <w:sz w:val="20"/>
              </w:rPr>
              <w:t>)</w:t>
            </w:r>
          </w:p>
        </w:tc>
        <w:tc>
          <w:tcPr>
            <w:tcW w:w="3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(11,206</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left"/>
              <w:rPr/>
            </w:pPr>
            <w:r>
              <w:rPr/>
              <w:t> </w:t>
            </w:r>
          </w:p>
        </w:tc>
        <w:tc>
          <w:tcPr>
            <w:tcW w:w="611" w:type="dxa"/>
            <w:tcBorders/>
            <w:shd w:fill="auto" w:val="clear"/>
            <w:vAlign w:val="center"/>
          </w:tcPr>
          <w:p>
            <w:pPr>
              <w:pStyle w:val="TableContents"/>
              <w:spacing w:lineRule="auto" w:line="252" w:before="0" w:after="0"/>
              <w:ind w:left="0" w:right="0" w:hanging="0"/>
              <w:jc w:val="left"/>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Purchase of marketable debt securities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(1,749</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Maturities and sales of marketable debt securities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7,000</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pPr>
            <w:r>
              <w:rPr/>
              <w:t> </w:t>
            </w:r>
          </w:p>
        </w:tc>
      </w:tr>
      <w:tr>
        <w:trPr/>
        <w:tc>
          <w:tcPr>
            <w:tcW w:w="63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Net cash provided by investing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00"/>
              <w:jc w:val="left"/>
              <w:rPr/>
            </w:pPr>
            <w:r>
              <w:rPr/>
              <w:t> </w:t>
            </w:r>
          </w:p>
        </w:tc>
        <w:tc>
          <w:tcPr>
            <w:tcW w:w="346" w:type="dxa"/>
            <w:tcBorders/>
            <w:shd w:fill="auto" w:val="clear"/>
            <w:vAlign w:val="center"/>
          </w:tcPr>
          <w:p>
            <w:pPr>
              <w:pStyle w:val="TableContents"/>
              <w:spacing w:lineRule="auto" w:line="252"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5,251</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pPr>
            <w:r>
              <w:rPr/>
              <w:t>—</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pPr>
            <w:r>
              <w:rPr/>
              <w:t>—</w:t>
            </w:r>
          </w:p>
        </w:tc>
        <w:tc>
          <w:tcPr>
            <w:tcW w:w="611" w:type="dxa"/>
            <w:tcBorders/>
            <w:shd w:fill="auto" w:val="clear"/>
            <w:vAlign w:val="center"/>
          </w:tcPr>
          <w:p>
            <w:pPr>
              <w:pStyle w:val="TableContents"/>
              <w:spacing w:lineRule="auto" w:line="252" w:before="0" w:after="0"/>
              <w:ind w:left="0" w:right="0" w:firstLine="100"/>
              <w:jc w:val="left"/>
              <w:rPr/>
            </w:pPr>
            <w:r>
              <w:rPr/>
              <w:t> </w:t>
            </w:r>
          </w:p>
        </w:tc>
      </w:tr>
      <w:tr>
        <w:trPr/>
        <w:tc>
          <w:tcPr>
            <w:tcW w:w="6301" w:type="dxa"/>
            <w:tcBorders/>
            <w:shd w:fill="auto" w:val="clear"/>
            <w:vAlign w:val="center"/>
          </w:tcPr>
          <w:p>
            <w:pPr>
              <w:pStyle w:val="TableContents"/>
              <w:spacing w:lineRule="auto" w:line="252" w:before="0" w:after="0"/>
              <w:ind w:left="10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56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firstLine="100"/>
              <w:jc w:val="left"/>
              <w:rPr/>
            </w:pPr>
            <w:r>
              <w:rPr/>
              <w:t> </w:t>
            </w:r>
          </w:p>
        </w:tc>
        <w:tc>
          <w:tcPr>
            <w:tcW w:w="346" w:type="dxa"/>
            <w:tcBorders/>
            <w:shd w:fill="auto" w:val="clear"/>
            <w:vAlign w:val="center"/>
          </w:tcPr>
          <w:p>
            <w:pPr>
              <w:pStyle w:val="TableContents"/>
              <w:spacing w:lineRule="auto" w:line="252" w:before="0" w:after="0"/>
              <w:ind w:left="10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73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6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Net increase in cash, cash equivalents and restricted cash</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(7,533</w:t>
            </w:r>
          </w:p>
        </w:tc>
        <w:tc>
          <w:tcPr>
            <w:tcW w:w="5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(5,955</w:t>
            </w:r>
          </w:p>
        </w:tc>
        <w:tc>
          <w:tcPr>
            <w:tcW w:w="6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at beginning of period</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71,436</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69,487</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Cash, cash equivalents and restricted cash at end of period</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63,903</w:t>
            </w:r>
          </w:p>
        </w:tc>
        <w:tc>
          <w:tcPr>
            <w:tcW w:w="5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63,532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Supplemental disclosure of non-cash investing and financing activities: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566" w:type="dxa"/>
            <w:tcBorders/>
            <w:shd w:fill="auto" w:val="clear"/>
            <w:vAlign w:val="center"/>
          </w:tcPr>
          <w:p>
            <w:pPr>
              <w:pStyle w:val="TableContents"/>
              <w:spacing w:lineRule="auto" w:line="252" w:before="0" w:after="0"/>
              <w:ind w:left="0" w:right="0" w:hanging="0"/>
              <w:jc w:val="right"/>
              <w:rPr/>
            </w:pPr>
            <w:r>
              <w:rPr/>
              <w:t> </w:t>
            </w:r>
          </w:p>
        </w:tc>
        <w:tc>
          <w:tcPr>
            <w:tcW w:w="346" w:type="dxa"/>
            <w:tcBorders/>
            <w:shd w:fill="auto" w:val="clear"/>
            <w:vAlign w:val="center"/>
          </w:tcPr>
          <w:p>
            <w:pPr>
              <w:pStyle w:val="TableContents"/>
              <w:spacing w:lineRule="auto" w:line="252" w:before="0" w:after="0"/>
              <w:ind w:left="0" w:right="0" w:hanging="0"/>
              <w:jc w:val="righ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611" w:type="dxa"/>
            <w:tcBorders/>
            <w:shd w:fill="auto" w:val="clear"/>
            <w:vAlign w:val="center"/>
          </w:tcPr>
          <w:p>
            <w:pPr>
              <w:pStyle w:val="TableContents"/>
              <w:spacing w:lineRule="auto" w:line="252" w:before="0" w:after="0"/>
              <w:ind w:left="0" w:right="0" w:hanging="0"/>
              <w:jc w:val="right"/>
              <w:rPr/>
            </w:pPr>
            <w:r>
              <w:rPr/>
              <w:t> </w:t>
            </w:r>
          </w:p>
        </w:tc>
      </w:tr>
      <w:tr>
        <w:trPr/>
        <w:tc>
          <w:tcPr>
            <w:tcW w:w="630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Property and equipment included in accounts payable and accrued expenses</w:t>
            </w:r>
          </w:p>
        </w:tc>
        <w:tc>
          <w:tcPr>
            <w:tcW w:w="3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100</w:t>
            </w:r>
          </w:p>
        </w:tc>
        <w:tc>
          <w:tcPr>
            <w:tcW w:w="566" w:type="dxa"/>
            <w:tcBorders/>
            <w:shd w:fill="auto" w:val="clear"/>
            <w:vAlign w:val="center"/>
          </w:tcPr>
          <w:p>
            <w:pPr>
              <w:pStyle w:val="TableContents"/>
              <w:spacing w:lineRule="auto" w:line="252" w:before="0" w:after="0"/>
              <w:ind w:left="0" w:right="0" w:hanging="0"/>
              <w:jc w:val="left"/>
              <w:rPr/>
            </w:pPr>
            <w:r>
              <w:rPr/>
              <w:t> </w:t>
            </w:r>
          </w:p>
        </w:tc>
        <w:tc>
          <w:tcPr>
            <w:tcW w:w="346" w:type="dxa"/>
            <w:tcBorders/>
            <w:shd w:fill="auto" w:val="clear"/>
            <w:vAlign w:val="center"/>
          </w:tcPr>
          <w:p>
            <w:pPr>
              <w:pStyle w:val="TableContents"/>
              <w:spacing w:lineRule="auto" w:line="252" w:before="0" w:after="0"/>
              <w:ind w:left="0" w:right="0" w:hanging="0"/>
              <w:jc w:val="righ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w:t>
            </w:r>
          </w:p>
        </w:tc>
        <w:tc>
          <w:tcPr>
            <w:tcW w:w="61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val="false"/>
          <w:sz w:val="20"/>
        </w:rPr>
        <w:t>The accompanying notes are an integral part of these condensed consolidated financial statements.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Times New Roman" w:hAnsi="Times New Roman"/>
          <w:b/>
          <w:sz w:val="20"/>
        </w:rPr>
        <w:t>LARIMAR THERAPEUTICS, INC.</w:t>
      </w:r>
      <w:r>
        <w:rPr>
          <w:rFonts w:ascii="Times New Roman" w:hAnsi="Times New Roman"/>
          <w:sz w:val="20"/>
        </w:rPr>
        <w:t xml:space="preserve"> </w:t>
      </w:r>
    </w:p>
    <w:p>
      <w:pPr>
        <w:pStyle w:val="TextBody"/>
        <w:spacing w:lineRule="auto" w:line="273" w:before="240" w:after="0"/>
        <w:jc w:val="center"/>
        <w:rPr>
          <w:rFonts w:ascii="Times New Roman" w:hAnsi="Times New Roman"/>
          <w:sz w:val="20"/>
        </w:rPr>
      </w:pPr>
      <w:bookmarkStart w:id="8" w:name="notes_to_condensed_consolidated_financia"/>
      <w:bookmarkEnd w:id="8"/>
      <w:r>
        <w:rPr>
          <w:rFonts w:ascii="Times New Roman" w:hAnsi="Times New Roman"/>
          <w:b/>
          <w:sz w:val="20"/>
        </w:rPr>
        <w:t>NOTES TO CONDENSED CONSOLIDATED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b/>
          <w:sz w:val="20"/>
        </w:rPr>
      </w:pPr>
      <w:r>
        <w:rPr>
          <w:rFonts w:ascii="Times New Roman" w:hAnsi="Times New Roman"/>
          <w:b/>
          <w:sz w:val="20"/>
        </w:rPr>
        <w:t>(Unaudited)</w:t>
      </w:r>
    </w:p>
    <w:p>
      <w:pPr>
        <w:pStyle w:val="TextBody"/>
        <w:spacing w:lineRule="auto" w:line="273" w:before="240" w:after="0"/>
        <w:jc w:val="left"/>
        <w:rPr>
          <w:rFonts w:ascii="Times New Roman" w:hAnsi="Times New Roman"/>
          <w:b/>
          <w:sz w:val="20"/>
        </w:rPr>
      </w:pPr>
      <w:r>
        <w:rPr>
          <w:rFonts w:ascii="Times New Roman" w:hAnsi="Times New Roman"/>
          <w:b/>
          <w:sz w:val="20"/>
        </w:rPr>
        <w:t>1.</w:t>
      </w:r>
    </w:p>
    <w:p>
      <w:pPr>
        <w:pStyle w:val="TextBody"/>
        <w:spacing w:lineRule="auto" w:line="273" w:before="240" w:after="283"/>
        <w:jc w:val="left"/>
        <w:rPr>
          <w:rFonts w:ascii="Times New Roman" w:hAnsi="Times New Roman"/>
          <w:b/>
          <w:sz w:val="20"/>
        </w:rPr>
      </w:pPr>
      <w:r>
        <w:rPr>
          <w:rFonts w:ascii="Times New Roman" w:hAnsi="Times New Roman"/>
          <w:b/>
          <w:sz w:val="20"/>
        </w:rPr>
        <w:t xml:space="preserve">Organization, Clinical Development, Nature of the Business, COVID-19, Clinical Hold and Basis of Presentation </w:t>
      </w:r>
    </w:p>
    <w:p>
      <w:pPr>
        <w:pStyle w:val="TextBody"/>
        <w:spacing w:lineRule="auto" w:line="242" w:before="120" w:after="0"/>
        <w:jc w:val="left"/>
        <w:rPr>
          <w:rFonts w:ascii="Times New Roman" w:hAnsi="Times New Roman"/>
          <w:sz w:val="20"/>
        </w:rPr>
      </w:pPr>
      <w:r>
        <w:rPr>
          <w:rFonts w:ascii="Times New Roman" w:hAnsi="Times New Roman"/>
          <w:b w:val="false"/>
          <w:sz w:val="20"/>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sufficient FXN due to a genetic abnormality.</w:t>
      </w:r>
      <w:r>
        <w:rPr>
          <w:rFonts w:ascii="Times New Roman" w:hAnsi="Times New Roman"/>
          <w:sz w:val="20"/>
        </w:rPr>
        <w:t xml:space="preserve"> </w:t>
      </w:r>
    </w:p>
    <w:p>
      <w:pPr>
        <w:pStyle w:val="TextBody"/>
        <w:spacing w:lineRule="auto" w:line="242" w:before="120" w:after="0"/>
        <w:jc w:val="left"/>
        <w:rPr>
          <w:rFonts w:ascii="Times New Roman" w:hAnsi="Times New Roman"/>
          <w:b w:val="false"/>
          <w:sz w:val="20"/>
        </w:rPr>
      </w:pPr>
      <w:r>
        <w:rPr>
          <w:rFonts w:ascii="Times New Roman" w:hAnsi="Times New Roman"/>
          <w:b w:val="false"/>
          <w:sz w:val="20"/>
        </w:rPr>
        <w:t>In May 2021, Larimar reported positive topline data from its Phase 1 Friedreich’s ataxia,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MAD or SAD trials.</w:t>
      </w:r>
    </w:p>
    <w:p>
      <w:pPr>
        <w:pStyle w:val="TextBody"/>
        <w:spacing w:lineRule="auto" w:line="242" w:before="120" w:after="0"/>
        <w:jc w:val="left"/>
        <w:rPr>
          <w:rFonts w:ascii="Times New Roman" w:hAnsi="Times New Roman"/>
          <w:b w:val="false"/>
          <w:sz w:val="20"/>
        </w:rPr>
      </w:pPr>
      <w:r>
        <w:rPr>
          <w:rFonts w:ascii="Times New Roman" w:hAnsi="Times New Roman"/>
          <w:b w:val="false"/>
          <w:sz w:val="20"/>
        </w:rPr>
        <w:t>In May 2021, the FDA placed a clinical hold on the Company's CTI-1601 clinical program after the Company notified the agency of mortalities at the highest dose levels of the 26-week non-human primate toxicology study that was designed to support extended dosing of patients with CTI-1601. At the time the hold was placed, Larimar had no interventional clinical trials with patients enrolling or enrolled. In February 2022, in response to the Company submitting a complete response to the FDA, the Agency stated that it was maintaining the clinical hold and that additional data are needed to resolve the clinical hold. Larimar subsequently submitted a request for an FDA Type C meeting. This meeting request has been granted and is scheduled for early in the third quarter of 2022. Throughout the course of the interactions associated with the Type C meeting, Larimar intends to work with the Agency to enable resolution of the clinical hold and to agree on the study design and timing of the next proposed clinical trial. Larimar does not know when, or if the clinical hold will be lifted.</w:t>
      </w:r>
    </w:p>
    <w:p>
      <w:pPr>
        <w:pStyle w:val="TextBody"/>
        <w:spacing w:lineRule="auto" w:line="242" w:before="120" w:after="0"/>
        <w:jc w:val="left"/>
        <w:rPr>
          <w:rFonts w:ascii="Times New Roman" w:hAnsi="Times New Roman"/>
          <w:b w:val="false"/>
          <w:sz w:val="20"/>
        </w:rPr>
      </w:pPr>
      <w:r>
        <w:rPr>
          <w:rFonts w:ascii="Times New Roman" w:hAnsi="Times New Roman"/>
          <w:b w:val="false"/>
          <w:sz w:val="20"/>
        </w:rPr>
        <w:t>The Company is subject to risks and uncertainties common to pre-commercial companies in the biotechnology industry, including, but not limited 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our drug development efforts are successful, it is uncertain when, if ever, we will realize significant revenue from product sales.</w:t>
      </w:r>
    </w:p>
    <w:p>
      <w:pPr>
        <w:pStyle w:val="TextBody"/>
        <w:spacing w:lineRule="auto" w:line="242" w:before="120" w:after="0"/>
        <w:jc w:val="left"/>
        <w:rPr>
          <w:rFonts w:ascii="Times New Roman" w:hAnsi="Times New Roman"/>
          <w:sz w:val="20"/>
        </w:rPr>
      </w:pPr>
      <w:r>
        <w:rPr>
          <w:rFonts w:ascii="Times New Roman" w:hAnsi="Times New Roman"/>
          <w:b w:val="false"/>
          <w:sz w:val="20"/>
        </w:rPr>
        <w:t>In March 2020, the World Health Organization ("WHO"), declared the outbreak of COVID-19, a novel strain of Coronavirus, a global pandemic. The pandemic resulted in the temporary stoppage of the Company’s CTI-1601 Phase 1 clinical trials in patients with Friedreich’s ataxia in March 2020. In July 2020, the Company resumed these clinical trials, and has since completed both of the Company's SAD and MAD clinical trials. Since being discovered, new variants of COVID-19 have emerged. In November 2021, the Omicron variant was identified in South Africa, and has been deemed a variant of concern by the WHO. In addition to the Omicron variant, the WHO has deemed four other variants to be variants of concern: the Alpha variant, the Beta variant, the Gamma variant, and the Delta variant. All of the aforementioned variants have at least one of the following characteristics resulting in the WHO deeming them variants of concern: an increase in transmissibility or detrimental change in COVID-19 epidemiology, an increase in virulence or change in clinical disease presentation, or a decrease in effectiveness of public health and social measures or available diagnostics, vaccines, or therapeutics.</w:t>
      </w:r>
      <w:r>
        <w:rPr>
          <w:rFonts w:ascii="Times New Roman" w:hAnsi="Times New Roman"/>
          <w:sz w:val="20"/>
        </w:rPr>
        <w:t xml:space="preserve"> </w:t>
      </w:r>
    </w:p>
    <w:p>
      <w:pPr>
        <w:pStyle w:val="TextBody"/>
        <w:spacing w:lineRule="auto" w:line="242" w:before="120" w:after="0"/>
        <w:jc w:val="left"/>
        <w:rPr>
          <w:rFonts w:ascii="Times New Roman" w:hAnsi="Times New Roman"/>
          <w:b w:val="false"/>
          <w:sz w:val="20"/>
        </w:rPr>
      </w:pPr>
      <w:r>
        <w:rPr>
          <w:rFonts w:ascii="Times New Roman" w:hAnsi="Times New Roman"/>
          <w:b w:val="false"/>
          <w:sz w:val="20"/>
        </w:rPr>
        <w:t>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has not reached the level required for herd immunity in some areas of the country. Further, additional doses of vaccines have been and may continue to be required and individuals may refuse or fail to receive one or more such doses. The incidence of variants of COVID-19 has been increasing, particularly among unvaccinated individuals, and the Omicron variant has proven to be more easily spread than earlier variants.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42" w:before="120" w:after="0"/>
        <w:jc w:val="left"/>
        <w:rPr>
          <w:rFonts w:ascii="Times New Roman" w:hAnsi="Times New Roman"/>
          <w:b w:val="false"/>
          <w:sz w:val="20"/>
        </w:rPr>
      </w:pPr>
      <w:r>
        <w:rPr>
          <w:rFonts w:ascii="Times New Roman" w:hAnsi="Times New Roman"/>
          <w:b w:val="false"/>
          <w:sz w:val="20"/>
        </w:rPr>
        <w:t>The low vaccination rate, the spread of the variants and the evolution of additional mutations against which the current vaccines may prove ineffective could again result in major disruptions to businesses and markets worldwide. Furthermore, the incidence of "breakthrough" infections even among vaccinated individuals have been increasing, resulting in the need for booster doses which could make COVID-19 a long-term infectious disease concern. The Company’s business, results of operations, financial condition and cash flows could be materially and adversely affected. Specifically, the Company could experience additional delays in future clinical trial timelines as a result of additional travel and hospital restrictions related to the COVID-19 pandemic and the efforts to mitigate it which may be imposed or could experience supply shortages or manufacturer shutdowns impacting the manufacture of drug substance or drug product, which could also impact clinical trial timelines. The condensed consolidated financial statements do not reflect any adjustments as a result of the pandemic.</w:t>
      </w:r>
    </w:p>
    <w:p>
      <w:pPr>
        <w:pStyle w:val="TextBody"/>
        <w:spacing w:lineRule="auto" w:line="242" w:before="120" w:after="0"/>
        <w:jc w:val="left"/>
        <w:rPr>
          <w:rFonts w:ascii="Times New Roman" w:hAnsi="Times New Roman"/>
          <w:b/>
          <w:i/>
          <w:sz w:val="20"/>
        </w:rPr>
      </w:pPr>
      <w:r>
        <w:rPr>
          <w:rFonts w:ascii="Times New Roman" w:hAnsi="Times New Roman"/>
          <w:b/>
          <w:i/>
          <w:sz w:val="20"/>
        </w:rPr>
        <w:t>Basis of Presentation</w:t>
      </w:r>
    </w:p>
    <w:p>
      <w:pPr>
        <w:pStyle w:val="TextBody"/>
        <w:spacing w:lineRule="auto" w:line="242" w:before="120" w:after="0"/>
        <w:jc w:val="left"/>
        <w:rPr>
          <w:rFonts w:ascii="Times New Roman" w:hAnsi="Times New Roman"/>
          <w:b w:val="false"/>
          <w:sz w:val="20"/>
        </w:rPr>
      </w:pPr>
      <w:r>
        <w:rPr>
          <w:rFonts w:ascii="Times New Roman" w:hAnsi="Times New Roman"/>
          <w:b w:val="false"/>
          <w:sz w:val="20"/>
        </w:rPr>
        <w:t>The condensed consolidated financial statements include the accounts of Larimar and its wholly owned subsidiaries. All intercompany balances and transactions have been eliminated. The accompanying condensed consolidated financial statements have been prepared in conformity with GAAP.</w:t>
      </w:r>
    </w:p>
    <w:p>
      <w:pPr>
        <w:pStyle w:val="TextBody"/>
        <w:spacing w:lineRule="auto" w:line="273" w:before="120" w:after="0"/>
        <w:jc w:val="left"/>
        <w:rPr>
          <w:rFonts w:ascii="Times New Roman" w:hAnsi="Times New Roman"/>
          <w:b/>
          <w:i/>
          <w:sz w:val="20"/>
        </w:rPr>
      </w:pPr>
      <w:r>
        <w:rPr>
          <w:rFonts w:ascii="Times New Roman" w:hAnsi="Times New Roman"/>
          <w:b/>
          <w:i/>
          <w:sz w:val="20"/>
        </w:rPr>
        <w:t>Going Concern Assessment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Company’s condensed consolidated financial statements have been presented on the basis that it will continue as a going concern, which contemplates the realization of assets and satisfaction of liabilities in the normal course of business.</w:t>
      </w:r>
    </w:p>
    <w:p>
      <w:pPr>
        <w:pStyle w:val="TextBody"/>
        <w:spacing w:lineRule="auto" w:line="273" w:before="120" w:after="0"/>
        <w:jc w:val="left"/>
        <w:rPr>
          <w:rFonts w:ascii="Times New Roman" w:hAnsi="Times New Roman"/>
          <w:sz w:val="20"/>
        </w:rPr>
      </w:pPr>
      <w:r>
        <w:rPr>
          <w:rFonts w:ascii="Times New Roman" w:hAnsi="Times New Roman"/>
          <w:b w:val="false"/>
          <w:sz w:val="20"/>
        </w:rPr>
        <w:t>Since its inception, the Company has incurred significant recurring operating losses and negative cash flows from operations. The Company has incurred net losses of $8.9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and $12.1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for the three months ended March 31, 2022 and 2021, respectively. In addition, as of March 31, 2022, the Company had an accumulated deficit of $125.2</w:t>
      </w:r>
      <w:r>
        <w:rPr>
          <w:rFonts w:ascii="Times New Roman" w:hAnsi="Times New Roman"/>
          <w:sz w:val="20"/>
        </w:rPr>
        <w:t xml:space="preserve"> </w:t>
      </w:r>
      <w:r>
        <w:rPr>
          <w:rFonts w:ascii="Times New Roman" w:hAnsi="Times New Roman"/>
          <w:b w:val="false"/>
          <w:sz w:val="20"/>
        </w:rPr>
        <w:t>million. The Company expects to continue to generate operating losses for the foreseeable future. As of March 31, 2022, the Company had approximately $62.6</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of cash and cash equivalents available for use to fund its operations and capital requirements.</w:t>
      </w:r>
    </w:p>
    <w:p>
      <w:pPr>
        <w:pStyle w:val="TextBody"/>
        <w:spacing w:lineRule="auto" w:line="273" w:before="120" w:after="0"/>
        <w:jc w:val="left"/>
        <w:rPr>
          <w:rFonts w:ascii="Times New Roman" w:hAnsi="Times New Roman"/>
          <w:sz w:val="20"/>
        </w:rPr>
      </w:pPr>
      <w:r>
        <w:rPr>
          <w:rFonts w:ascii="Times New Roman" w:hAnsi="Times New Roman"/>
          <w:b w:val="false"/>
          <w:sz w:val="20"/>
        </w:rPr>
        <w:t>In August 2020, the Company entered into an Equity Distribution Agreement (the “ATM Agreement”) with an investment bank in connection with the establishment of an “at-the-market” offering program under which the Company could sell up to an aggregate of $50,000,000</w:t>
      </w:r>
      <w:r>
        <w:rPr>
          <w:rFonts w:ascii="Times New Roman" w:hAnsi="Times New Roman"/>
          <w:sz w:val="20"/>
        </w:rPr>
        <w:t xml:space="preserve"> </w:t>
      </w:r>
      <w:r>
        <w:rPr>
          <w:rFonts w:ascii="Times New Roman" w:hAnsi="Times New Roman"/>
          <w:b w:val="false"/>
          <w:sz w:val="20"/>
        </w:rPr>
        <w:t>of shares of its common stock from time to time through this investment bank as sales agent. In 2021, the Company sold 2,342,720</w:t>
      </w:r>
      <w:r>
        <w:rPr>
          <w:rFonts w:ascii="Times New Roman" w:hAnsi="Times New Roman"/>
          <w:sz w:val="20"/>
        </w:rPr>
        <w:t xml:space="preserve"> </w:t>
      </w:r>
      <w:r>
        <w:rPr>
          <w:rFonts w:ascii="Times New Roman" w:hAnsi="Times New Roman"/>
          <w:b w:val="false"/>
          <w:sz w:val="20"/>
        </w:rPr>
        <w:t>shares pursuant to the ATM Agreement for gross proceeds of $20.5</w:t>
      </w:r>
      <w:r>
        <w:rPr>
          <w:rFonts w:ascii="Times New Roman" w:hAnsi="Times New Roman"/>
          <w:sz w:val="20"/>
        </w:rPr>
        <w:t xml:space="preserve"> </w:t>
      </w:r>
      <w:r>
        <w:rPr>
          <w:rFonts w:ascii="Times New Roman" w:hAnsi="Times New Roman"/>
          <w:b w:val="false"/>
          <w:sz w:val="20"/>
        </w:rPr>
        <w:t>million. As of May 10, 2022, $29.2</w:t>
      </w:r>
      <w:r>
        <w:rPr>
          <w:rFonts w:ascii="Times New Roman" w:hAnsi="Times New Roman"/>
          <w:sz w:val="20"/>
        </w:rPr>
        <w:t xml:space="preserve"> </w:t>
      </w:r>
      <w:r>
        <w:rPr>
          <w:rFonts w:ascii="Times New Roman" w:hAnsi="Times New Roman"/>
          <w:b w:val="false"/>
          <w:sz w:val="20"/>
        </w:rPr>
        <w:t>million of additional shares of common stock remained available for sale by the Company under the ATM Agreement. See Note 7 for a further discussion of the ATM Agreement.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 consolidated financial statements are issued. As of the issuance date of these condensed consolidated financial statements, the Company expects its cash and cash equivalents will be sufficient to fund its forecasted operating expenses and capital expenditure requirements, for at least the next twelve months from the issuance of these financial statements. If the timing of our clinical assumptions were delayed or if there were other forecasted assumption changes that negatively impact our operating plan, the Company could reduce expenditures in order to further extend cash resources.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will need additional capital to fund its future operating and capital requirements. Management is currently evaluating different strategies to obtain the required funding for future operations. Until the Company can generate substantial revenue, if ever, the Company expects to seek additional funding through a combination of public or private equity offerings, debt financings, collaborations and licensing arrangements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and other operating restrictions that could adversely impact the Company's ability to conduct our business. Any additional fundraising efforts may divert the Company's management from their day-to-day activities, which may adversely affect its ability to develop and commercialize our product candidates.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can be no assurance that the Company will be able to raise sufficient additional capital on acceptable terms or at all. If such additional financing is not available on satisfactory terms, or is not available in sufficient amounts, or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unrest including the potential impact of the Russian invasion of Ukraine, the possibility that the conflict could expand beyond eastern Europe, the impact of the COVID-19 pandemic and/or other health crises on the global financial markets may reduce the Company's ability to access capital, which could negatively affect its liquidity and ability to continue as a going concern.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If the Company is unable to obtain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pStyle w:val="TextBody"/>
        <w:spacing w:lineRule="auto" w:line="273" w:before="240" w:after="0"/>
        <w:jc w:val="left"/>
        <w:rPr>
          <w:rFonts w:ascii="Times New Roman" w:hAnsi="Times New Roman"/>
          <w:b/>
          <w:sz w:val="20"/>
        </w:rPr>
      </w:pPr>
      <w:r>
        <w:rPr>
          <w:rFonts w:ascii="Times New Roman" w:hAnsi="Times New Roman"/>
          <w:b/>
          <w:sz w:val="20"/>
        </w:rPr>
        <w:t>2.</w:t>
      </w:r>
    </w:p>
    <w:p>
      <w:pPr>
        <w:pStyle w:val="TextBody"/>
        <w:spacing w:lineRule="auto" w:line="273" w:before="240" w:after="283"/>
        <w:jc w:val="left"/>
        <w:rPr>
          <w:rFonts w:ascii="Times New Roman" w:hAnsi="Times New Roman"/>
          <w:b/>
          <w:sz w:val="20"/>
        </w:rPr>
      </w:pPr>
      <w:r>
        <w:rPr>
          <w:rFonts w:ascii="Times New Roman" w:hAnsi="Times New Roman"/>
          <w:b/>
          <w:sz w:val="20"/>
        </w:rPr>
        <w:t>Summary of Significant Accounting Policies</w:t>
      </w:r>
    </w:p>
    <w:p>
      <w:pPr>
        <w:pStyle w:val="TextBody"/>
        <w:spacing w:lineRule="auto" w:line="273" w:before="120" w:after="0"/>
        <w:jc w:val="left"/>
        <w:rPr>
          <w:rFonts w:ascii="Times New Roman" w:hAnsi="Times New Roman"/>
          <w:b/>
          <w:i/>
          <w:sz w:val="20"/>
        </w:rPr>
      </w:pPr>
      <w:r>
        <w:rPr>
          <w:rFonts w:ascii="Times New Roman" w:hAnsi="Times New Roman"/>
          <w:b/>
          <w:i/>
          <w:sz w:val="20"/>
        </w:rPr>
        <w:t>Unaudited Interim Financial Information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condensed consolidated balance sheet as of December 31, 2021 was derived from the Company’s audited financial statements but does not include all disclosures required by GAAP. The accompanying unaudited condensed consolidated financial statements as of March 31, 2022 and for the three months ended March 31, 2022 and 2021,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2021 included in the Company’s Annual Report on Form 10-K filed on March 25, 2022.</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the opinion of management, all adjustments, consisting only of normal recurring adjustments necessary for a fair statement of the Company’s condensed consolidated financial position as of March 31, 2022 and condensed consolidated results of operations and cash flows for the three months ended March 31, 2022 and 2021 have been made. The results of operations for the three months ended March 31, 2022 are not necessarily indicative of the results of operations that may be expected for the year ending December 31, 2022.</w:t>
      </w:r>
    </w:p>
    <w:p>
      <w:pPr>
        <w:pStyle w:val="TextBody"/>
        <w:spacing w:lineRule="auto" w:line="273" w:before="120" w:after="0"/>
        <w:jc w:val="left"/>
        <w:rPr>
          <w:rFonts w:ascii="Times New Roman" w:hAnsi="Times New Roman"/>
          <w:b/>
          <w:i/>
          <w:sz w:val="20"/>
        </w:rPr>
      </w:pPr>
      <w:r>
        <w:rPr>
          <w:rFonts w:ascii="Times New Roman" w:hAnsi="Times New Roman"/>
          <w:b/>
          <w:i/>
          <w:sz w:val="20"/>
        </w:rPr>
        <w:t>Use of Estimates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pStyle w:val="TextBody"/>
        <w:spacing w:lineRule="auto" w:line="273" w:before="120" w:after="0"/>
        <w:jc w:val="left"/>
        <w:rPr>
          <w:rFonts w:ascii="Times New Roman" w:hAnsi="Times New Roman"/>
          <w:b/>
          <w:i/>
          <w:sz w:val="20"/>
        </w:rPr>
      </w:pPr>
      <w:r>
        <w:rPr>
          <w:rFonts w:ascii="Times New Roman" w:hAnsi="Times New Roman"/>
          <w:b/>
          <w:i/>
          <w:sz w:val="20"/>
        </w:rPr>
        <w:t>Research and Development Costs</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service providers.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Upfront payments, milestone payments and annual maintenance fees under license agreements are currently expensed in the period in which they are incurred.</w:t>
      </w:r>
    </w:p>
    <w:p>
      <w:pPr>
        <w:pStyle w:val="TextBody"/>
        <w:spacing w:lineRule="auto" w:line="247" w:before="120" w:after="0"/>
        <w:jc w:val="left"/>
        <w:rPr>
          <w:rFonts w:ascii="Times New Roman" w:hAnsi="Times New Roman"/>
          <w:b/>
          <w:i/>
          <w:sz w:val="20"/>
        </w:rPr>
      </w:pPr>
      <w:r>
        <w:rPr>
          <w:rFonts w:ascii="Times New Roman" w:hAnsi="Times New Roman"/>
          <w:b/>
          <w:i/>
          <w:sz w:val="20"/>
        </w:rPr>
        <w:t>Patent Costs</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spacing w:lineRule="auto" w:line="247" w:before="120" w:after="0"/>
        <w:jc w:val="left"/>
        <w:rPr>
          <w:rFonts w:ascii="Times New Roman" w:hAnsi="Times New Roman"/>
          <w:b/>
          <w:i/>
          <w:sz w:val="20"/>
        </w:rPr>
      </w:pPr>
      <w:r>
        <w:rPr>
          <w:rFonts w:ascii="Times New Roman" w:hAnsi="Times New Roman"/>
          <w:b/>
          <w:i/>
          <w:sz w:val="20"/>
        </w:rPr>
        <w:t>Stock-Based Compensation</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and market-based vesting conditions and records the expense for these awards using the straight-line method. The Company accounts for forfeitures as they occur.</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 or in which the award recipient's service payments are classified.</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pStyle w:val="TextBody"/>
        <w:spacing w:lineRule="auto" w:line="273" w:before="120" w:after="0"/>
        <w:jc w:val="left"/>
        <w:rPr>
          <w:rFonts w:ascii="Times New Roman" w:hAnsi="Times New Roman"/>
          <w:b/>
          <w:i/>
          <w:sz w:val="20"/>
        </w:rPr>
      </w:pPr>
      <w:r>
        <w:rPr>
          <w:rFonts w:ascii="Times New Roman" w:hAnsi="Times New Roman"/>
          <w:b/>
          <w:i/>
          <w:sz w:val="20"/>
        </w:rPr>
        <w:t>Net Loss Per Share</w:t>
      </w:r>
    </w:p>
    <w:p>
      <w:pPr>
        <w:pStyle w:val="TextBody"/>
        <w:spacing w:lineRule="auto" w:line="247" w:before="120" w:after="0"/>
        <w:jc w:val="left"/>
        <w:rPr>
          <w:rFonts w:ascii="Times New Roman" w:hAnsi="Times New Roman"/>
          <w:sz w:val="20"/>
        </w:rPr>
      </w:pPr>
      <w:r>
        <w:rPr>
          <w:rFonts w:ascii="Times New Roman" w:hAnsi="Times New Roman"/>
          <w:b w:val="false"/>
          <w:sz w:val="20"/>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months ended March 31, 2022 and 2021</w:t>
      </w:r>
      <w:r>
        <w:rPr>
          <w:rFonts w:ascii="Times New Roman" w:hAnsi="Times New Roman"/>
          <w:sz w:val="20"/>
        </w:rPr>
        <w:t xml:space="preserve"> </w:t>
      </w:r>
      <w:r>
        <w:rPr>
          <w:rFonts w:ascii="Times New Roman" w:hAnsi="Times New Roman"/>
          <w:b w:val="false"/>
          <w:sz w:val="20"/>
        </w:rPr>
        <w:t>includes the weighted average effect of 628,403</w:t>
      </w:r>
      <w:r>
        <w:rPr>
          <w:rFonts w:ascii="Times New Roman" w:hAnsi="Times New Roman"/>
          <w:sz w:val="20"/>
        </w:rPr>
        <w:t xml:space="preserve"> </w:t>
      </w:r>
      <w:r>
        <w:rPr>
          <w:rFonts w:ascii="Times New Roman" w:hAnsi="Times New Roman"/>
          <w:b w:val="false"/>
          <w:sz w:val="20"/>
        </w:rPr>
        <w:t>prefunded warrants for the purchase of shares of common stock, for which the remaining unfunded exercise price is $0.01</w:t>
      </w:r>
      <w:r>
        <w:rPr>
          <w:rFonts w:ascii="Times New Roman" w:hAnsi="Times New Roman"/>
          <w:sz w:val="20"/>
        </w:rPr>
        <w:t xml:space="preserve"> </w:t>
      </w:r>
      <w:r>
        <w:rPr>
          <w:rFonts w:ascii="Times New Roman" w:hAnsi="Times New Roman"/>
          <w:b w:val="false"/>
          <w:sz w:val="20"/>
        </w:rPr>
        <w:t>per share.</w:t>
      </w:r>
      <w:r>
        <w:rPr>
          <w:rFonts w:ascii="Times New Roman" w:hAnsi="Times New Roman"/>
          <w:sz w:val="20"/>
        </w:rPr>
        <w:t xml:space="preserve"> </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pStyle w:val="TextBody"/>
        <w:spacing w:lineRule="auto" w:line="247" w:before="120" w:after="0"/>
        <w:jc w:val="left"/>
        <w:rPr>
          <w:rFonts w:ascii="Times New Roman" w:hAnsi="Times New Roman"/>
          <w:sz w:val="20"/>
        </w:rPr>
      </w:pPr>
      <w:r>
        <w:rPr>
          <w:rFonts w:ascii="Times New Roman" w:hAnsi="Times New Roman"/>
          <w:b w:val="false"/>
          <w:sz w:val="20"/>
        </w:rPr>
        <w:t>The Company excluded 3,078,511</w:t>
      </w:r>
      <w:r>
        <w:rPr>
          <w:rFonts w:ascii="Times New Roman" w:hAnsi="Times New Roman"/>
          <w:sz w:val="20"/>
        </w:rPr>
        <w:t xml:space="preserve"> </w:t>
      </w:r>
      <w:r>
        <w:rPr>
          <w:rFonts w:ascii="Times New Roman" w:hAnsi="Times New Roman"/>
          <w:b w:val="false"/>
          <w:sz w:val="20"/>
        </w:rPr>
        <w:t>and 2,397,152</w:t>
      </w:r>
      <w:r>
        <w:rPr>
          <w:rFonts w:ascii="Times New Roman" w:hAnsi="Times New Roman"/>
          <w:sz w:val="20"/>
        </w:rPr>
        <w:t xml:space="preserve"> </w:t>
      </w:r>
      <w:r>
        <w:rPr>
          <w:rFonts w:ascii="Times New Roman" w:hAnsi="Times New Roman"/>
          <w:b w:val="false"/>
          <w:sz w:val="20"/>
        </w:rPr>
        <w:t>common stock equivalents outstanding as of March 31, 2022 and 2021, respectively, from the computation of diluted net loss per share for the three months ended March 31, 2022 and 2021</w:t>
      </w:r>
      <w:r>
        <w:rPr>
          <w:rFonts w:ascii="Times New Roman" w:hAnsi="Times New Roman"/>
          <w:sz w:val="20"/>
        </w:rPr>
        <w:t xml:space="preserve"> </w:t>
      </w:r>
      <w:r>
        <w:rPr>
          <w:rFonts w:ascii="Times New Roman" w:hAnsi="Times New Roman"/>
          <w:b w:val="false"/>
          <w:sz w:val="20"/>
        </w:rPr>
        <w:t xml:space="preserve">because they had an anti-dilutive impact due to the net loss incurred for the periods presented. </w:t>
      </w:r>
    </w:p>
    <w:p>
      <w:pPr>
        <w:pStyle w:val="TextBody"/>
        <w:spacing w:lineRule="auto" w:line="273" w:before="120" w:after="0"/>
        <w:jc w:val="left"/>
        <w:rPr>
          <w:rFonts w:ascii="Times New Roman" w:hAnsi="Times New Roman"/>
          <w:sz w:val="20"/>
        </w:rPr>
      </w:pPr>
      <w:r>
        <w:rPr>
          <w:rFonts w:ascii="Times New Roman" w:hAnsi="Times New Roman"/>
          <w:b/>
          <w:i/>
          <w:sz w:val="20"/>
        </w:rPr>
        <w:t>Recently Issued and Adopted Accounting Pronouncements</w:t>
      </w:r>
      <w:r>
        <w:rPr>
          <w:rFonts w:ascii="Times New Roman" w:hAnsi="Times New Roman"/>
          <w:sz w:val="20"/>
        </w:rPr>
        <w:t xml:space="preserve"> </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3.</w:t>
      </w:r>
    </w:p>
    <w:p>
      <w:pPr>
        <w:pStyle w:val="TextBody"/>
        <w:spacing w:lineRule="auto" w:line="273" w:before="120" w:after="283"/>
        <w:jc w:val="left"/>
        <w:rPr>
          <w:rFonts w:ascii="Times New Roman" w:hAnsi="Times New Roman"/>
          <w:b/>
          <w:sz w:val="20"/>
        </w:rPr>
      </w:pPr>
      <w:r>
        <w:rPr>
          <w:rFonts w:ascii="Times New Roman" w:hAnsi="Times New Roman"/>
          <w:b/>
          <w:sz w:val="20"/>
        </w:rPr>
        <w:t>Fair Value Measurements and Marketable Debt Securities</w:t>
      </w:r>
    </w:p>
    <w:p>
      <w:pPr>
        <w:pStyle w:val="TextBody"/>
        <w:spacing w:lineRule="auto" w:line="273" w:before="120" w:after="0"/>
        <w:jc w:val="left"/>
        <w:rPr>
          <w:rFonts w:ascii="Times New Roman" w:hAnsi="Times New Roman"/>
          <w:b/>
          <w:i/>
          <w:sz w:val="20"/>
        </w:rPr>
      </w:pPr>
      <w:r>
        <w:rPr>
          <w:rFonts w:ascii="Times New Roman" w:hAnsi="Times New Roman"/>
          <w:b/>
          <w:i/>
          <w:sz w:val="20"/>
        </w:rPr>
        <w:t>Fair Value Measurements</w:t>
      </w:r>
    </w:p>
    <w:p>
      <w:pPr>
        <w:pStyle w:val="TextBody"/>
        <w:spacing w:lineRule="auto" w:line="273" w:before="120" w:after="0"/>
        <w:jc w:val="left"/>
        <w:rPr>
          <w:rFonts w:ascii="Times New Roman" w:hAnsi="Times New Roman"/>
          <w:sz w:val="20"/>
        </w:rPr>
      </w:pPr>
      <w:r>
        <w:rPr>
          <w:rFonts w:ascii="Times New Roman" w:hAnsi="Times New Roman"/>
          <w:b w:val="false"/>
          <w:sz w:val="20"/>
        </w:rPr>
        <w:t xml:space="preserve">The Company’s assets and liabilities that are measured at fair value on a recurring basis as of March 31, 2022 and December 31, 2021 are measured in accordance with the standards of ASC 820, </w:t>
      </w:r>
      <w:r>
        <w:rPr>
          <w:rFonts w:ascii="Times New Roman" w:hAnsi="Times New Roman"/>
          <w:b w:val="false"/>
          <w:i/>
          <w:sz w:val="20"/>
        </w:rPr>
        <w:t>Fair Value Measurements and Disclosures</w:t>
      </w:r>
      <w:r>
        <w:rPr>
          <w:rFonts w:ascii="Times New Roman" w:hAnsi="Times New Roman"/>
          <w:b w:val="false"/>
          <w:sz w:val="20"/>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715"/>
        <w:gridCol w:w="9490"/>
      </w:tblGrid>
      <w:tr>
        <w:trPr/>
        <w:tc>
          <w:tcPr>
            <w:tcW w:w="715" w:type="dxa"/>
            <w:tcBorders/>
            <w:shd w:fill="auto" w:val="clear"/>
            <w:vAlign w:val="center"/>
          </w:tcPr>
          <w:p>
            <w:pPr>
              <w:pStyle w:val="TableContents"/>
              <w:spacing w:before="0" w:after="283"/>
              <w:rPr>
                <w:sz w:val="4"/>
                <w:szCs w:val="4"/>
              </w:rPr>
            </w:pPr>
            <w:r>
              <w:rPr>
                <w:sz w:val="4"/>
                <w:szCs w:val="4"/>
              </w:rPr>
            </w:r>
          </w:p>
        </w:tc>
        <w:tc>
          <w:tcPr>
            <w:tcW w:w="9490" w:type="dxa"/>
            <w:tcBorders/>
            <w:shd w:fill="auto" w:val="clear"/>
            <w:vAlign w:val="center"/>
          </w:tcPr>
          <w:p>
            <w:pPr>
              <w:pStyle w:val="TableContents"/>
              <w:spacing w:before="0" w:after="283"/>
              <w:rPr>
                <w:sz w:val="4"/>
                <w:szCs w:val="4"/>
              </w:rPr>
            </w:pPr>
            <w:r>
              <w:rPr>
                <w:sz w:val="4"/>
                <w:szCs w:val="4"/>
              </w:rPr>
            </w:r>
          </w:p>
        </w:tc>
      </w:tr>
      <w:tr>
        <w:trPr/>
        <w:tc>
          <w:tcPr>
            <w:tcW w:w="71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Level – 1</w:t>
            </w:r>
          </w:p>
        </w:tc>
        <w:tc>
          <w:tcPr>
            <w:tcW w:w="94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Inputs to the valuation methodology are quoted prices (unadjusted) for identical assets or liabilities in active markets.</w:t>
            </w:r>
          </w:p>
        </w:tc>
      </w:tr>
      <w:tr>
        <w:trPr/>
        <w:tc>
          <w:tcPr>
            <w:tcW w:w="715" w:type="dxa"/>
            <w:tcBorders/>
            <w:shd w:fill="auto" w:val="clear"/>
            <w:vAlign w:val="center"/>
          </w:tcPr>
          <w:p>
            <w:pPr>
              <w:pStyle w:val="TableContents"/>
              <w:spacing w:lineRule="auto" w:line="252" w:before="0" w:after="0"/>
              <w:ind w:left="0" w:right="0" w:hanging="0"/>
              <w:jc w:val="left"/>
              <w:rPr/>
            </w:pPr>
            <w:r>
              <w:rPr/>
              <w:t> </w:t>
            </w:r>
          </w:p>
        </w:tc>
        <w:tc>
          <w:tcPr>
            <w:tcW w:w="9490" w:type="dxa"/>
            <w:tcBorders/>
            <w:shd w:fill="auto" w:val="clear"/>
            <w:vAlign w:val="center"/>
          </w:tcPr>
          <w:p>
            <w:pPr>
              <w:pStyle w:val="TableContents"/>
              <w:spacing w:lineRule="auto" w:line="252" w:before="0" w:after="0"/>
              <w:ind w:left="0" w:right="0" w:hanging="0"/>
              <w:jc w:val="left"/>
              <w:rPr/>
            </w:pPr>
            <w:r>
              <w:rPr/>
              <w:t> </w:t>
            </w:r>
          </w:p>
        </w:tc>
      </w:tr>
      <w:tr>
        <w:trPr/>
        <w:tc>
          <w:tcPr>
            <w:tcW w:w="71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Level – 2</w:t>
            </w:r>
          </w:p>
        </w:tc>
        <w:tc>
          <w:tcPr>
            <w:tcW w:w="94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Inputs to the valuation methodology include quoted prices for similar assets and liabilities in active markets, and inputs that are observable for the asset or liability, either directly or indirectly, for substantially the full term of the financial instrument.</w:t>
            </w:r>
          </w:p>
        </w:tc>
      </w:tr>
      <w:tr>
        <w:trPr/>
        <w:tc>
          <w:tcPr>
            <w:tcW w:w="715" w:type="dxa"/>
            <w:tcBorders/>
            <w:shd w:fill="auto" w:val="clear"/>
            <w:vAlign w:val="center"/>
          </w:tcPr>
          <w:p>
            <w:pPr>
              <w:pStyle w:val="TableContents"/>
              <w:spacing w:lineRule="auto" w:line="252" w:before="0" w:after="0"/>
              <w:ind w:left="0" w:right="0" w:hanging="0"/>
              <w:jc w:val="left"/>
              <w:rPr/>
            </w:pPr>
            <w:r>
              <w:rPr/>
              <w:t> </w:t>
            </w:r>
          </w:p>
        </w:tc>
        <w:tc>
          <w:tcPr>
            <w:tcW w:w="9490" w:type="dxa"/>
            <w:tcBorders/>
            <w:shd w:fill="auto" w:val="clear"/>
            <w:vAlign w:val="center"/>
          </w:tcPr>
          <w:p>
            <w:pPr>
              <w:pStyle w:val="TableContents"/>
              <w:spacing w:lineRule="auto" w:line="252" w:before="0" w:after="0"/>
              <w:ind w:left="0" w:right="0" w:hanging="0"/>
              <w:jc w:val="left"/>
              <w:rPr/>
            </w:pPr>
            <w:r>
              <w:rPr/>
              <w:t> </w:t>
            </w:r>
          </w:p>
        </w:tc>
      </w:tr>
      <w:tr>
        <w:trPr/>
        <w:tc>
          <w:tcPr>
            <w:tcW w:w="71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Level – 3</w:t>
            </w:r>
          </w:p>
        </w:tc>
        <w:tc>
          <w:tcPr>
            <w:tcW w:w="949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Inputs to the valuation methodology are unobservable and significant to the fair value measurement.</w:t>
            </w:r>
          </w:p>
        </w:tc>
      </w:tr>
    </w:tbl>
    <w:p>
      <w:pPr>
        <w:pStyle w:val="TextBody"/>
        <w:spacing w:lineRule="auto" w:line="273" w:before="120" w:after="0"/>
        <w:jc w:val="left"/>
        <w:rPr>
          <w:rFonts w:ascii="Times New Roman" w:hAnsi="Times New Roman"/>
          <w:sz w:val="20"/>
        </w:rPr>
      </w:pPr>
      <w:r>
        <w:rPr>
          <w:rFonts w:ascii="Times New Roman" w:hAnsi="Times New Roman"/>
          <w:b w:val="false"/>
          <w:sz w:val="20"/>
        </w:rPr>
        <w:t>The Company’s financial instruments consist primarily of cash, cash equivalents, marketable debt securities, accounts payable and accrued liabilities. For accounts payable and accrued liabilities, the carrying amounts of these financial instruments as of March 31, 2022 and December 31, 2021 were considered representative of their fair values due to their short term to maturity.</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tables summarize the Company’s cash equivalents as of March 31, 2022 and December 31, 2021:</w:t>
      </w:r>
    </w:p>
    <w:p>
      <w:pPr>
        <w:pStyle w:val="TextBody"/>
        <w:spacing w:lineRule="auto" w:line="273" w:before="0" w:after="0"/>
        <w:jc w:val="left"/>
        <w:rPr/>
      </w:pPr>
      <w:r>
        <w:rPr/>
        <w:t> </w:t>
      </w:r>
    </w:p>
    <w:tbl>
      <w:tblPr>
        <w:tblW w:w="7945" w:type="dxa"/>
        <w:jc w:val="left"/>
        <w:tblInd w:w="0" w:type="dxa"/>
        <w:tblCellMar>
          <w:top w:w="28" w:type="dxa"/>
          <w:left w:w="28" w:type="dxa"/>
          <w:bottom w:w="28" w:type="dxa"/>
          <w:right w:w="28" w:type="dxa"/>
        </w:tblCellMar>
      </w:tblPr>
      <w:tblGrid>
        <w:gridCol w:w="2731"/>
        <w:gridCol w:w="146"/>
        <w:gridCol w:w="211"/>
        <w:gridCol w:w="676"/>
        <w:gridCol w:w="146"/>
        <w:gridCol w:w="146"/>
        <w:gridCol w:w="211"/>
        <w:gridCol w:w="676"/>
        <w:gridCol w:w="146"/>
        <w:gridCol w:w="146"/>
        <w:gridCol w:w="352"/>
        <w:gridCol w:w="579"/>
        <w:gridCol w:w="146"/>
        <w:gridCol w:w="146"/>
        <w:gridCol w:w="415"/>
        <w:gridCol w:w="681"/>
        <w:gridCol w:w="39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Total</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87"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Quoted</w:t>
              <w:br/>
              <w:t>Prices in</w:t>
              <w:br/>
              <w:t>Active</w:t>
              <w:br/>
              <w:t xml:space="preserve">Markets </w:t>
              <w:br/>
              <w:t>(Level 1)</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931"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Significant</w:t>
              <w:br/>
              <w:t>Other</w:t>
              <w:br/>
              <w:t>Observable</w:t>
              <w:br/>
              <w:t xml:space="preserve">Inputs </w:t>
              <w:br/>
              <w:t>(Level 2)</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096" w:type="dxa"/>
            <w:gridSpan w:val="2"/>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Significant</w:t>
              <w:br/>
              <w:t>Unobservable</w:t>
              <w:br/>
              <w:t xml:space="preserve">Inputs </w:t>
              <w:br/>
              <w:t>(Level 3)</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77" w:type="dxa"/>
            <w:gridSpan w:val="14"/>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391" w:type="dxa"/>
            <w:tcBorders/>
            <w:shd w:fill="auto" w:val="cle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27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Total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7,423</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67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7,423</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579"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68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pPr>
            <w:r>
              <w:rPr/>
              <w:t>—</w:t>
            </w:r>
          </w:p>
        </w:tc>
        <w:tc>
          <w:tcPr>
            <w:tcW w:w="39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hanging="0"/>
              <w:jc w:val="righ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left"/>
              <w:rPr/>
            </w:pPr>
            <w:r>
              <w:rPr/>
              <w:t> </w:t>
            </w:r>
          </w:p>
        </w:tc>
        <w:tc>
          <w:tcPr>
            <w:tcW w:w="39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87"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6" w:type="dxa"/>
            <w:gridSpan w:val="2"/>
            <w:tcBorders/>
            <w:shd w:fill="auto" w:val="clear"/>
            <w:vAlign w:val="center"/>
          </w:tcPr>
          <w:p>
            <w:pPr>
              <w:pStyle w:val="TableContents"/>
              <w:spacing w:lineRule="auto" w:line="252" w:before="0" w:after="0"/>
              <w:ind w:left="0" w:right="0" w:hanging="0"/>
              <w:jc w:val="right"/>
              <w:rPr/>
            </w:pPr>
            <w:r>
              <w:rPr/>
              <w:t> </w:t>
            </w:r>
          </w:p>
        </w:tc>
        <w:tc>
          <w:tcPr>
            <w:tcW w:w="391" w:type="dxa"/>
            <w:tcBorders/>
            <w:shd w:fill="auto" w:val="clear"/>
            <w:vAlign w:val="center"/>
          </w:tcPr>
          <w:p>
            <w:pPr>
              <w:pStyle w:val="TableContents"/>
              <w:spacing w:lineRule="auto" w:line="252" w:before="0" w:after="0"/>
              <w:ind w:left="0" w:right="0" w:firstLine="200"/>
              <w:jc w:val="right"/>
              <w:rPr/>
            </w:pPr>
            <w:r>
              <w:rPr/>
              <w:t> </w:t>
            </w:r>
          </w:p>
        </w:tc>
      </w:tr>
      <w:tr>
        <w:trPr/>
        <w:tc>
          <w:tcPr>
            <w:tcW w:w="27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Money market funds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6,137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7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7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Commercial paper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7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shd w:fill="auto" w:val="clear"/>
            <w:vAlign w:val="center"/>
          </w:tcPr>
          <w:p>
            <w:pPr>
              <w:pStyle w:val="TableContents"/>
              <w:spacing w:lineRule="auto" w:line="252" w:before="0" w:after="0"/>
              <w:ind w:left="0" w:right="0" w:hanging="0"/>
              <w:jc w:val="left"/>
              <w:rPr/>
            </w:pPr>
            <w:r>
              <w:rPr/>
              <w:t> </w:t>
            </w:r>
          </w:p>
        </w:tc>
        <w:tc>
          <w:tcPr>
            <w:tcW w:w="57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shd w:fill="auto" w:val="clear"/>
            <w:vAlign w:val="center"/>
          </w:tcPr>
          <w:p>
            <w:pPr>
              <w:pStyle w:val="TableContents"/>
              <w:spacing w:lineRule="auto" w:line="252" w:before="0" w:after="0"/>
              <w:ind w:left="0" w:right="0" w:hanging="0"/>
              <w:jc w:val="left"/>
              <w:rPr/>
            </w:pPr>
            <w:r>
              <w:rPr/>
              <w:t> </w:t>
            </w:r>
          </w:p>
        </w:tc>
        <w:tc>
          <w:tcPr>
            <w:tcW w:w="681" w:type="dxa"/>
            <w:tcBorders/>
            <w:shd w:fill="auto" w:val="clear"/>
            <w:vAlign w:val="center"/>
          </w:tcPr>
          <w:p>
            <w:pPr>
              <w:pStyle w:val="TableContents"/>
              <w:spacing w:lineRule="auto" w:line="252" w:before="0" w:after="0"/>
              <w:ind w:left="0" w:right="0" w:hanging="0"/>
              <w:jc w:val="right"/>
              <w:rPr/>
            </w:pPr>
            <w:r>
              <w:rPr/>
              <w:t>—</w:t>
            </w:r>
          </w:p>
        </w:tc>
        <w:tc>
          <w:tcPr>
            <w:tcW w:w="391" w:type="dxa"/>
            <w:tcBorders/>
            <w:shd w:fill="auto" w:val="clear"/>
            <w:vAlign w:val="center"/>
          </w:tcPr>
          <w:p>
            <w:pPr>
              <w:pStyle w:val="TableContents"/>
              <w:spacing w:lineRule="auto" w:line="252" w:before="0" w:after="0"/>
              <w:ind w:left="0" w:right="0" w:firstLine="200"/>
              <w:jc w:val="left"/>
              <w:rPr/>
            </w:pPr>
            <w:r>
              <w:rPr/>
              <w:t> </w:t>
            </w:r>
          </w:p>
        </w:tc>
      </w:tr>
      <w:tr>
        <w:trPr/>
        <w:tc>
          <w:tcPr>
            <w:tcW w:w="273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Corporate bonds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Total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14,905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14,905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4.</w:t>
      </w:r>
    </w:p>
    <w:p>
      <w:pPr>
        <w:pStyle w:val="TextBody"/>
        <w:spacing w:lineRule="auto" w:line="273" w:before="120" w:after="283"/>
        <w:jc w:val="left"/>
        <w:rPr>
          <w:rFonts w:ascii="Times New Roman" w:hAnsi="Times New Roman"/>
          <w:b/>
          <w:sz w:val="20"/>
        </w:rPr>
      </w:pPr>
      <w:r>
        <w:rPr>
          <w:rFonts w:ascii="Times New Roman" w:hAnsi="Times New Roman"/>
          <w:b/>
          <w:sz w:val="20"/>
        </w:rPr>
        <w:t>Prepaid Expenses and Other Current Assets</w:t>
      </w:r>
    </w:p>
    <w:p>
      <w:pPr>
        <w:pStyle w:val="TextBody"/>
        <w:spacing w:lineRule="auto" w:line="273" w:before="120" w:after="0"/>
        <w:jc w:val="left"/>
        <w:rPr>
          <w:rFonts w:ascii="Times New Roman" w:hAnsi="Times New Roman"/>
          <w:sz w:val="20"/>
        </w:rPr>
      </w:pPr>
      <w:r>
        <w:rPr>
          <w:rFonts w:ascii="Times New Roman" w:hAnsi="Times New Roman"/>
          <w:b w:val="false"/>
          <w:sz w:val="20"/>
        </w:rPr>
        <w:t>Prepaid expenses and other current assets consisted of the following:</w:t>
      </w:r>
      <w:r>
        <w:rPr>
          <w:rFonts w:ascii="Times New Roman" w:hAnsi="Times New Roman"/>
          <w:sz w:val="20"/>
        </w:rPr>
        <w:t xml:space="preserve"> </w:t>
      </w:r>
    </w:p>
    <w:p>
      <w:pPr>
        <w:pStyle w:val="TextBody"/>
        <w:spacing w:lineRule="auto" w:line="273" w:before="0" w:after="0"/>
        <w:jc w:val="left"/>
        <w:rPr/>
      </w:pPr>
      <w:r>
        <w:rPr/>
        <w:t> </w:t>
      </w:r>
    </w:p>
    <w:tbl>
      <w:tblPr>
        <w:tblW w:w="6255" w:type="dxa"/>
        <w:jc w:val="left"/>
        <w:tblInd w:w="0" w:type="dxa"/>
        <w:tblCellMar>
          <w:top w:w="28" w:type="dxa"/>
          <w:left w:w="28" w:type="dxa"/>
          <w:bottom w:w="28" w:type="dxa"/>
          <w:right w:w="28" w:type="dxa"/>
        </w:tblCellMar>
      </w:tblPr>
      <w:tblGrid>
        <w:gridCol w:w="3676"/>
        <w:gridCol w:w="146"/>
        <w:gridCol w:w="230"/>
        <w:gridCol w:w="625"/>
        <w:gridCol w:w="146"/>
        <w:gridCol w:w="146"/>
        <w:gridCol w:w="294"/>
        <w:gridCol w:w="801"/>
        <w:gridCol w:w="191"/>
      </w:tblGrid>
      <w:tr>
        <w:trPr/>
        <w:tc>
          <w:tcPr>
            <w:tcW w:w="3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6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6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2"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6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Prepaid insurance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944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Payroll tax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208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67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Other prepaid expenses and 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293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6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2,315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2,107</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5.</w:t>
      </w:r>
    </w:p>
    <w:p>
      <w:pPr>
        <w:pStyle w:val="TextBody"/>
        <w:spacing w:lineRule="auto" w:line="273" w:before="120" w:after="283"/>
        <w:jc w:val="left"/>
        <w:rPr>
          <w:rFonts w:ascii="Times New Roman" w:hAnsi="Times New Roman"/>
          <w:b/>
          <w:sz w:val="20"/>
        </w:rPr>
      </w:pPr>
      <w:r>
        <w:rPr>
          <w:rFonts w:ascii="Times New Roman" w:hAnsi="Times New Roman"/>
          <w:b/>
          <w:sz w:val="20"/>
        </w:rPr>
        <w:t>Fixed Assets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Fixed assets, net consisted of the following:</w:t>
      </w:r>
    </w:p>
    <w:p>
      <w:pPr>
        <w:pStyle w:val="TextBody"/>
        <w:spacing w:lineRule="auto" w:line="273" w:before="0" w:after="0"/>
        <w:jc w:val="left"/>
        <w:rPr/>
      </w:pPr>
      <w:r>
        <w:rPr/>
        <w:t> </w:t>
      </w:r>
    </w:p>
    <w:tbl>
      <w:tblPr>
        <w:tblW w:w="6412" w:type="dxa"/>
        <w:jc w:val="left"/>
        <w:tblInd w:w="0" w:type="dxa"/>
        <w:tblCellMar>
          <w:top w:w="28" w:type="dxa"/>
          <w:left w:w="28" w:type="dxa"/>
          <w:bottom w:w="28" w:type="dxa"/>
          <w:right w:w="28" w:type="dxa"/>
        </w:tblCellMar>
      </w:tblPr>
      <w:tblGrid>
        <w:gridCol w:w="2731"/>
        <w:gridCol w:w="146"/>
        <w:gridCol w:w="916"/>
        <w:gridCol w:w="146"/>
        <w:gridCol w:w="230"/>
        <w:gridCol w:w="625"/>
        <w:gridCol w:w="166"/>
        <w:gridCol w:w="146"/>
        <w:gridCol w:w="294"/>
        <w:gridCol w:w="801"/>
        <w:gridCol w:w="21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Useful Life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62"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Computer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Lab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5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1,092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7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lease term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1,745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1,645</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Accumulated depreciation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(678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7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1,049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Depreciation expense during the three months ended March 31, 2022 and 2021</w:t>
      </w:r>
      <w:r>
        <w:rPr>
          <w:rFonts w:ascii="Times New Roman" w:hAnsi="Times New Roman"/>
          <w:sz w:val="20"/>
        </w:rPr>
        <w:t xml:space="preserve"> </w:t>
      </w:r>
      <w:r>
        <w:rPr>
          <w:rFonts w:ascii="Times New Roman" w:hAnsi="Times New Roman"/>
          <w:b w:val="false"/>
          <w:sz w:val="20"/>
        </w:rPr>
        <w:t>was $0.1</w:t>
      </w:r>
      <w:r>
        <w:rPr>
          <w:rFonts w:ascii="Times New Roman" w:hAnsi="Times New Roman"/>
          <w:sz w:val="20"/>
        </w:rPr>
        <w:t xml:space="preserve"> </w:t>
      </w:r>
      <w:r>
        <w:rPr>
          <w:rFonts w:ascii="Times New Roman" w:hAnsi="Times New Roman"/>
          <w:b w:val="false"/>
          <w:sz w:val="20"/>
        </w:rPr>
        <w:t>million, respectively.</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sz w:val="20"/>
        </w:rPr>
      </w:pPr>
      <w:r>
        <w:rPr>
          <w:rFonts w:ascii="Times New Roman" w:hAnsi="Times New Roman"/>
          <w:b/>
          <w:sz w:val="20"/>
        </w:rPr>
        <w:t>6.</w:t>
      </w:r>
    </w:p>
    <w:p>
      <w:pPr>
        <w:pStyle w:val="TextBody"/>
        <w:spacing w:lineRule="auto" w:line="273"/>
        <w:jc w:val="left"/>
        <w:rPr>
          <w:rFonts w:ascii="Times New Roman" w:hAnsi="Times New Roman"/>
          <w:b/>
          <w:sz w:val="20"/>
        </w:rPr>
      </w:pPr>
      <w:r>
        <w:rPr>
          <w:rFonts w:ascii="Times New Roman" w:hAnsi="Times New Roman"/>
          <w:b/>
          <w:sz w:val="20"/>
        </w:rPr>
        <w:t>Accrued Expenses</w:t>
      </w:r>
    </w:p>
    <w:p>
      <w:pPr>
        <w:pStyle w:val="TextBody"/>
        <w:spacing w:lineRule="auto" w:line="273" w:before="0" w:after="0"/>
        <w:jc w:val="left"/>
        <w:rPr/>
      </w:pPr>
      <w:r>
        <w:rPr/>
        <w:t> </w:t>
      </w:r>
    </w:p>
    <w:tbl>
      <w:tblPr>
        <w:tblW w:w="6315" w:type="dxa"/>
        <w:jc w:val="left"/>
        <w:tblInd w:w="0" w:type="dxa"/>
        <w:tblCellMar>
          <w:top w:w="28" w:type="dxa"/>
          <w:left w:w="28" w:type="dxa"/>
          <w:bottom w:w="28" w:type="dxa"/>
          <w:right w:w="28" w:type="dxa"/>
        </w:tblCellMar>
      </w:tblPr>
      <w:tblGrid>
        <w:gridCol w:w="3736"/>
        <w:gridCol w:w="146"/>
        <w:gridCol w:w="230"/>
        <w:gridCol w:w="625"/>
        <w:gridCol w:w="146"/>
        <w:gridCol w:w="146"/>
        <w:gridCol w:w="294"/>
        <w:gridCol w:w="801"/>
        <w:gridCol w:w="191"/>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7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242"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research and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4,775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5,042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payroll and related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553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1,098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Accrued 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7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5,840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6,592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7.</w:t>
      </w:r>
    </w:p>
    <w:p>
      <w:pPr>
        <w:pStyle w:val="TextBody"/>
        <w:spacing w:lineRule="auto" w:line="273" w:before="120" w:after="283"/>
        <w:jc w:val="left"/>
        <w:rPr>
          <w:rFonts w:ascii="Times New Roman" w:hAnsi="Times New Roman"/>
          <w:b/>
          <w:sz w:val="20"/>
        </w:rPr>
      </w:pPr>
      <w:r>
        <w:rPr>
          <w:rFonts w:ascii="Times New Roman" w:hAnsi="Times New Roman"/>
          <w:b/>
          <w:sz w:val="20"/>
        </w:rPr>
        <w:t>Stockholders’ Equity and Stock Options</w:t>
      </w:r>
    </w:p>
    <w:p>
      <w:pPr>
        <w:pStyle w:val="TextBody"/>
        <w:spacing w:lineRule="auto" w:line="242" w:before="120" w:after="0"/>
        <w:jc w:val="left"/>
        <w:rPr>
          <w:rFonts w:ascii="Times New Roman" w:hAnsi="Times New Roman"/>
          <w:b/>
          <w:i/>
          <w:sz w:val="20"/>
        </w:rPr>
      </w:pPr>
      <w:r>
        <w:rPr>
          <w:rFonts w:ascii="Times New Roman" w:hAnsi="Times New Roman"/>
          <w:b/>
          <w:i/>
          <w:sz w:val="20"/>
        </w:rPr>
        <w:t>Common Stock and Prefunded warrants</w:t>
      </w:r>
    </w:p>
    <w:p>
      <w:pPr>
        <w:pStyle w:val="TextBody"/>
        <w:spacing w:lineRule="auto" w:line="242" w:before="120" w:after="0"/>
        <w:jc w:val="left"/>
        <w:rPr>
          <w:rFonts w:ascii="Times New Roman" w:hAnsi="Times New Roman"/>
          <w:sz w:val="20"/>
        </w:rPr>
      </w:pPr>
      <w:r>
        <w:rPr>
          <w:rFonts w:ascii="Times New Roman" w:hAnsi="Times New Roman"/>
          <w:b w:val="false"/>
          <w:sz w:val="20"/>
        </w:rPr>
        <w:t>As of March 31, 2022, the Company’s Certificate of Incorporation, as amended and restated, authorized the Company to issue up to 115,000,000</w:t>
      </w:r>
      <w:r>
        <w:rPr>
          <w:rFonts w:ascii="Times New Roman" w:hAnsi="Times New Roman"/>
          <w:sz w:val="20"/>
        </w:rPr>
        <w:t xml:space="preserve"> </w:t>
      </w:r>
      <w:r>
        <w:rPr>
          <w:rFonts w:ascii="Times New Roman" w:hAnsi="Times New Roman"/>
          <w:b w:val="false"/>
          <w:sz w:val="20"/>
        </w:rPr>
        <w:t>shares of $0.001</w:t>
      </w:r>
      <w:r>
        <w:rPr>
          <w:rFonts w:ascii="Times New Roman" w:hAnsi="Times New Roman"/>
          <w:sz w:val="20"/>
        </w:rPr>
        <w:t xml:space="preserve"> </w:t>
      </w:r>
      <w:r>
        <w:rPr>
          <w:rFonts w:ascii="Times New Roman" w:hAnsi="Times New Roman"/>
          <w:b w:val="false"/>
          <w:sz w:val="20"/>
        </w:rPr>
        <w:t>par value common stock, of which 17,710,450</w:t>
      </w:r>
      <w:r>
        <w:rPr>
          <w:rFonts w:ascii="Times New Roman" w:hAnsi="Times New Roman"/>
          <w:sz w:val="20"/>
        </w:rPr>
        <w:t xml:space="preserve"> </w:t>
      </w:r>
      <w:r>
        <w:rPr>
          <w:rFonts w:ascii="Times New Roman" w:hAnsi="Times New Roman"/>
          <w:b w:val="false"/>
          <w:sz w:val="20"/>
        </w:rPr>
        <w:t>shares were issued and outstanding, and up to 5,000,000</w:t>
      </w:r>
      <w:r>
        <w:rPr>
          <w:rFonts w:ascii="Times New Roman" w:hAnsi="Times New Roman"/>
          <w:sz w:val="20"/>
        </w:rPr>
        <w:t xml:space="preserve"> </w:t>
      </w:r>
      <w:r>
        <w:rPr>
          <w:rFonts w:ascii="Times New Roman" w:hAnsi="Times New Roman"/>
          <w:b w:val="false"/>
          <w:sz w:val="20"/>
        </w:rPr>
        <w:t>shares of $0.001</w:t>
      </w:r>
      <w:r>
        <w:rPr>
          <w:rFonts w:ascii="Times New Roman" w:hAnsi="Times New Roman"/>
          <w:sz w:val="20"/>
        </w:rPr>
        <w:t xml:space="preserve"> </w:t>
      </w:r>
      <w:r>
        <w:rPr>
          <w:rFonts w:ascii="Times New Roman" w:hAnsi="Times New Roman"/>
          <w:b w:val="false"/>
          <w:sz w:val="20"/>
        </w:rPr>
        <w:t>par value undesignated preferred stock, of which no</w:t>
      </w:r>
      <w:r>
        <w:rPr>
          <w:rFonts w:ascii="Times New Roman" w:hAnsi="Times New Roman"/>
          <w:sz w:val="20"/>
        </w:rPr>
        <w:t xml:space="preserve"> </w:t>
      </w:r>
      <w:r>
        <w:rPr>
          <w:rFonts w:ascii="Times New Roman" w:hAnsi="Times New Roman"/>
          <w:b w:val="false"/>
          <w:sz w:val="20"/>
        </w:rPr>
        <w:t>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w:t>
      </w:r>
      <w:r>
        <w:rPr>
          <w:rFonts w:ascii="Times New Roman" w:hAnsi="Times New Roman"/>
          <w:sz w:val="20"/>
        </w:rPr>
        <w:t xml:space="preserve"> </w:t>
      </w:r>
      <w:r>
        <w:rPr>
          <w:rFonts w:ascii="Times New Roman" w:hAnsi="Times New Roman"/>
          <w:b w:val="false"/>
          <w:sz w:val="20"/>
        </w:rPr>
        <w:t>cash dividends have been declared or paid to date.</w:t>
      </w:r>
    </w:p>
    <w:p>
      <w:pPr>
        <w:pStyle w:val="TextBody"/>
        <w:spacing w:lineRule="auto" w:line="242" w:before="120" w:after="0"/>
        <w:jc w:val="left"/>
        <w:rPr>
          <w:rFonts w:ascii="Times New Roman" w:hAnsi="Times New Roman"/>
          <w:b/>
          <w:i/>
          <w:sz w:val="20"/>
        </w:rPr>
      </w:pPr>
      <w:r>
        <w:rPr>
          <w:rFonts w:ascii="Times New Roman" w:hAnsi="Times New Roman"/>
          <w:b/>
          <w:i/>
          <w:sz w:val="20"/>
        </w:rPr>
        <w:t>Equity Distribution Agreement</w:t>
      </w:r>
    </w:p>
    <w:p>
      <w:pPr>
        <w:pStyle w:val="TextBody"/>
        <w:spacing w:lineRule="auto" w:line="242" w:before="120" w:after="0"/>
        <w:jc w:val="left"/>
        <w:rPr>
          <w:rFonts w:ascii="Times New Roman" w:hAnsi="Times New Roman"/>
          <w:sz w:val="20"/>
        </w:rPr>
      </w:pPr>
      <w:r>
        <w:rPr>
          <w:rFonts w:ascii="Times New Roman" w:hAnsi="Times New Roman"/>
          <w:b w:val="false"/>
          <w:sz w:val="20"/>
        </w:rPr>
        <w:t>On August 14, 2020, the Company entered into the ATM Agreement with an investment bank in connection with the establishment of an “at-the-market” offering program under which the Company may sell up to an aggregate of $50,000,000</w:t>
      </w:r>
      <w:r>
        <w:rPr>
          <w:rFonts w:ascii="Times New Roman" w:hAnsi="Times New Roman"/>
          <w:sz w:val="20"/>
        </w:rPr>
        <w:t xml:space="preserve"> </w:t>
      </w:r>
      <w:r>
        <w:rPr>
          <w:rFonts w:ascii="Times New Roman" w:hAnsi="Times New Roman"/>
          <w:b w:val="false"/>
          <w:sz w:val="20"/>
        </w:rPr>
        <w:t>of shares of common stock (the “ATM Shares”) from time to time (the “Offering”).</w:t>
      </w:r>
    </w:p>
    <w:p>
      <w:pPr>
        <w:pStyle w:val="TextBody"/>
        <w:spacing w:lineRule="auto" w:line="242" w:before="120" w:after="0"/>
        <w:jc w:val="left"/>
        <w:rPr>
          <w:rFonts w:ascii="Times New Roman" w:hAnsi="Times New Roman"/>
          <w:sz w:val="20"/>
        </w:rPr>
      </w:pPr>
      <w:r>
        <w:rPr>
          <w:rFonts w:ascii="Times New Roman" w:hAnsi="Times New Roman"/>
          <w:b w:val="false"/>
          <w:sz w:val="20"/>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 to be “at-the-market offerings” as defined in Rule 415 under the Securities Act. The Company pays its investment bank a commission equal to 3.0% of the gross proceeds of any ATM Shares sold through its investment bank under the ATM Agreement and reimburses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ATM Agreement.</w:t>
      </w:r>
      <w:r>
        <w:rPr>
          <w:rFonts w:ascii="Times New Roman" w:hAnsi="Times New Roman"/>
          <w:sz w:val="20"/>
        </w:rPr>
        <w:t xml:space="preserve"> </w:t>
      </w:r>
    </w:p>
    <w:p>
      <w:pPr>
        <w:pStyle w:val="TextBody"/>
        <w:spacing w:lineRule="auto" w:line="242" w:before="120" w:after="0"/>
        <w:jc w:val="left"/>
        <w:rPr>
          <w:rFonts w:ascii="Times New Roman" w:hAnsi="Times New Roman"/>
          <w:sz w:val="20"/>
        </w:rPr>
      </w:pPr>
      <w:r>
        <w:rPr>
          <w:rFonts w:ascii="Times New Roman" w:hAnsi="Times New Roman"/>
          <w:b w:val="false"/>
          <w:sz w:val="20"/>
        </w:rPr>
        <w:t>In 2021, the Company sold 2,342,720</w:t>
      </w:r>
      <w:r>
        <w:rPr>
          <w:rFonts w:ascii="Times New Roman" w:hAnsi="Times New Roman"/>
          <w:sz w:val="20"/>
        </w:rPr>
        <w:t xml:space="preserve"> </w:t>
      </w:r>
      <w:r>
        <w:rPr>
          <w:rFonts w:ascii="Times New Roman" w:hAnsi="Times New Roman"/>
          <w:b w:val="false"/>
          <w:sz w:val="20"/>
        </w:rPr>
        <w:t>shares under the ATM Agreement for net proceeds of $19.9</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p>
    <w:p>
      <w:pPr>
        <w:pStyle w:val="TextBody"/>
        <w:spacing w:lineRule="auto" w:line="242" w:before="120" w:after="0"/>
        <w:jc w:val="left"/>
        <w:rPr>
          <w:rFonts w:ascii="Times New Roman" w:hAnsi="Times New Roman"/>
          <w:sz w:val="20"/>
        </w:rPr>
      </w:pPr>
      <w:r>
        <w:rPr>
          <w:rFonts w:ascii="Times New Roman" w:hAnsi="Times New Roman"/>
          <w:b w:val="false"/>
          <w:sz w:val="20"/>
        </w:rPr>
        <w:t>As of March 31, 2022, 2,354,244</w:t>
      </w:r>
      <w:r>
        <w:rPr>
          <w:rFonts w:ascii="Times New Roman" w:hAnsi="Times New Roman"/>
          <w:sz w:val="20"/>
        </w:rPr>
        <w:t xml:space="preserve"> </w:t>
      </w:r>
      <w:r>
        <w:rPr>
          <w:rFonts w:ascii="Times New Roman" w:hAnsi="Times New Roman"/>
          <w:b w:val="false"/>
          <w:sz w:val="20"/>
        </w:rPr>
        <w:t>shares of Common Stock have been sold under the ATM Agreement for net proceeds of $20.1</w:t>
      </w:r>
      <w:r>
        <w:rPr>
          <w:rFonts w:ascii="Times New Roman" w:hAnsi="Times New Roman"/>
          <w:sz w:val="20"/>
        </w:rPr>
        <w:t xml:space="preserve"> </w:t>
      </w:r>
      <w:r>
        <w:rPr>
          <w:rFonts w:ascii="Times New Roman" w:hAnsi="Times New Roman"/>
          <w:b w:val="false"/>
          <w:sz w:val="20"/>
        </w:rPr>
        <w:t>million. As of May 10, 2022, approximately $29.2</w:t>
      </w:r>
      <w:r>
        <w:rPr>
          <w:rFonts w:ascii="Times New Roman" w:hAnsi="Times New Roman"/>
          <w:sz w:val="20"/>
        </w:rPr>
        <w:t xml:space="preserve"> </w:t>
      </w:r>
      <w:r>
        <w:rPr>
          <w:rFonts w:ascii="Times New Roman" w:hAnsi="Times New Roman"/>
          <w:b w:val="false"/>
          <w:sz w:val="20"/>
        </w:rPr>
        <w:t>million shares of common stock still remained available for sale by the Company under the ATM Agreement.</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i/>
          <w:sz w:val="20"/>
        </w:rPr>
      </w:pPr>
      <w:r>
        <w:rPr>
          <w:rFonts w:ascii="Times New Roman" w:hAnsi="Times New Roman"/>
          <w:b/>
          <w:i/>
          <w:sz w:val="20"/>
        </w:rPr>
        <w:t>2020 Equity Incentive Plan</w:t>
      </w:r>
    </w:p>
    <w:p>
      <w:pPr>
        <w:pStyle w:val="TextBody"/>
        <w:spacing w:lineRule="auto" w:line="273" w:before="120" w:after="0"/>
        <w:jc w:val="left"/>
        <w:rPr>
          <w:rFonts w:ascii="Times New Roman" w:hAnsi="Times New Roman"/>
          <w:sz w:val="20"/>
        </w:rPr>
      </w:pPr>
      <w:r>
        <w:rPr>
          <w:rFonts w:ascii="Times New Roman" w:hAnsi="Times New Roman"/>
          <w:b w:val="false"/>
          <w:sz w:val="20"/>
        </w:rPr>
        <w:t>The Board adopted the 2020 Equity Incentive Plan (the "2020 Plan") on July 16, 2020 and the stockholders of the Company approved the 2020 Plan on September 29, 2020. The 2020 Plan replaces the predecessor plans (the "Prior Plans") that the Company assumed following its merger with Zafgen, Inc.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pStyle w:val="TextBody"/>
        <w:spacing w:lineRule="auto" w:line="273" w:before="120" w:after="0"/>
        <w:jc w:val="left"/>
        <w:rPr>
          <w:rFonts w:ascii="Times New Roman" w:hAnsi="Times New Roman"/>
          <w:sz w:val="20"/>
        </w:rPr>
      </w:pPr>
      <w:r>
        <w:rPr>
          <w:rFonts w:ascii="Times New Roman" w:hAnsi="Times New Roman"/>
          <w:b w:val="false"/>
          <w:sz w:val="20"/>
        </w:rPr>
        <w:t>The maximum number of shares that may be issued in respect of any awards under the 2020 Plan is the sum of: (i) 1,700,000</w:t>
      </w:r>
      <w:r>
        <w:rPr>
          <w:rFonts w:ascii="Times New Roman" w:hAnsi="Times New Roman"/>
          <w:sz w:val="20"/>
        </w:rPr>
        <w:t xml:space="preserve"> </w:t>
      </w:r>
      <w:r>
        <w:rPr>
          <w:rFonts w:ascii="Times New Roman" w:hAnsi="Times New Roman"/>
          <w:b w:val="false"/>
          <w:sz w:val="20"/>
        </w:rPr>
        <w:t>shares plus (ii) an annual increase on January 1, 2021 and each anniversary of such date thereafter through January 1, 2030, equal to the lesser of (A) 4% of the shares issued and outstanding on the last day of the immediately preceding fiscal year, and (B) such smaller number of shares as determined by the Board (collectively, the “Plan Limit”).</w:t>
      </w:r>
      <w:r>
        <w:rPr>
          <w:rFonts w:ascii="Times New Roman" w:hAnsi="Times New Roman"/>
          <w:sz w:val="20"/>
        </w:rPr>
        <w:t xml:space="preserve"> </w:t>
      </w:r>
      <w:r>
        <w:rPr>
          <w:rFonts w:ascii="Times New Roman" w:hAnsi="Times New Roman"/>
          <w:b w:val="false"/>
          <w:sz w:val="20"/>
        </w:rPr>
        <w:t>The maximum aggregate number of shares that may be issued under the 2020 Plan is 8,000,000</w:t>
      </w:r>
      <w:r>
        <w:rPr>
          <w:rFonts w:ascii="Times New Roman" w:hAnsi="Times New Roman"/>
          <w:sz w:val="20"/>
        </w:rPr>
        <w:t xml:space="preserve"> </w:t>
      </w:r>
      <w:r>
        <w:rPr>
          <w:rFonts w:ascii="Times New Roman" w:hAnsi="Times New Roman"/>
          <w:b w:val="false"/>
          <w:sz w:val="20"/>
        </w:rPr>
        <w:t>over the ten-year</w:t>
      </w:r>
      <w:r>
        <w:rPr>
          <w:rFonts w:ascii="Times New Roman" w:hAnsi="Times New Roman"/>
          <w:sz w:val="20"/>
        </w:rPr>
        <w:t xml:space="preserve"> </w:t>
      </w:r>
      <w:r>
        <w:rPr>
          <w:rFonts w:ascii="Times New Roman" w:hAnsi="Times New Roman"/>
          <w:b w:val="false"/>
          <w:sz w:val="20"/>
        </w:rPr>
        <w:t>term of the 2020 Plan. In 2022 and 2021, respectively, options to purchase 450</w:t>
      </w:r>
      <w:r>
        <w:rPr>
          <w:rFonts w:ascii="Times New Roman" w:hAnsi="Times New Roman"/>
          <w:sz w:val="20"/>
        </w:rPr>
        <w:t xml:space="preserve"> </w:t>
      </w:r>
      <w:r>
        <w:rPr>
          <w:rFonts w:ascii="Times New Roman" w:hAnsi="Times New Roman"/>
          <w:b w:val="false"/>
          <w:sz w:val="20"/>
        </w:rPr>
        <w:t>and 56,966</w:t>
      </w:r>
      <w:r>
        <w:rPr>
          <w:rFonts w:ascii="Times New Roman" w:hAnsi="Times New Roman"/>
          <w:sz w:val="20"/>
        </w:rPr>
        <w:t xml:space="preserve"> </w:t>
      </w:r>
      <w:r>
        <w:rPr>
          <w:rFonts w:ascii="Times New Roman" w:hAnsi="Times New Roman"/>
          <w:b w:val="false"/>
          <w:sz w:val="20"/>
        </w:rPr>
        <w:t>shares issued under the Prior Plans were cancelled and became available for grant under the 2020 Plan.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As permitted by the 2020 Plan, the Company added 708,418</w:t>
      </w:r>
      <w:r>
        <w:rPr>
          <w:rFonts w:ascii="Times New Roman" w:hAnsi="Times New Roman"/>
          <w:sz w:val="20"/>
        </w:rPr>
        <w:t xml:space="preserve"> </w:t>
      </w:r>
      <w:r>
        <w:rPr>
          <w:rFonts w:ascii="Times New Roman" w:hAnsi="Times New Roman"/>
          <w:b w:val="false"/>
          <w:sz w:val="20"/>
        </w:rPr>
        <w:t>shares available for grant under the 2020 Plan on January 1, 2022. As of March 31, 2022, 1,114,743</w:t>
      </w:r>
      <w:r>
        <w:rPr>
          <w:rFonts w:ascii="Times New Roman" w:hAnsi="Times New Roman"/>
          <w:sz w:val="20"/>
        </w:rPr>
        <w:t xml:space="preserve"> </w:t>
      </w:r>
      <w:r>
        <w:rPr>
          <w:rFonts w:ascii="Times New Roman" w:hAnsi="Times New Roman"/>
          <w:b w:val="false"/>
          <w:sz w:val="20"/>
        </w:rPr>
        <w:t>shares of common stock were available for grant under the 2020 Plan.</w:t>
      </w:r>
    </w:p>
    <w:p>
      <w:pPr>
        <w:pStyle w:val="TextBody"/>
        <w:spacing w:lineRule="auto" w:line="273" w:before="120" w:after="0"/>
        <w:jc w:val="left"/>
        <w:rPr>
          <w:rFonts w:ascii="Times New Roman" w:hAnsi="Times New Roman"/>
          <w:b/>
          <w:i/>
          <w:sz w:val="20"/>
        </w:rPr>
      </w:pPr>
      <w:r>
        <w:rPr>
          <w:rFonts w:ascii="Times New Roman" w:hAnsi="Times New Roman"/>
          <w:b/>
          <w:i/>
          <w:sz w:val="20"/>
        </w:rPr>
        <w:t>Stock Valuation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presents, on a weighted average basis, the assumptions used in the Black-Scholes option-pricing model to determine the grant-date fair value of stock options granted to employees:</w:t>
      </w:r>
    </w:p>
    <w:p>
      <w:pPr>
        <w:pStyle w:val="TextBody"/>
        <w:spacing w:lineRule="auto" w:line="273" w:before="0" w:after="0"/>
        <w:jc w:val="left"/>
        <w:rPr/>
      </w:pPr>
      <w:r>
        <w:rPr/>
        <w:t> </w:t>
      </w:r>
    </w:p>
    <w:tbl>
      <w:tblPr>
        <w:tblW w:w="4375" w:type="dxa"/>
        <w:jc w:val="left"/>
        <w:tblInd w:w="0" w:type="dxa"/>
        <w:tblCellMar>
          <w:top w:w="28" w:type="dxa"/>
          <w:left w:w="28" w:type="dxa"/>
          <w:bottom w:w="28" w:type="dxa"/>
          <w:right w:w="28" w:type="dxa"/>
        </w:tblCellMar>
      </w:tblPr>
      <w:tblGrid>
        <w:gridCol w:w="2086"/>
        <w:gridCol w:w="146"/>
        <w:gridCol w:w="856"/>
        <w:gridCol w:w="146"/>
        <w:gridCol w:w="114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March 31,</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1" w:type="dxa"/>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December 31,</w:t>
            </w:r>
          </w:p>
        </w:tc>
      </w:tr>
      <w:tr>
        <w:trPr/>
        <w:tc>
          <w:tcPr>
            <w:tcW w:w="20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r>
      <w:tr>
        <w:trPr/>
        <w:tc>
          <w:tcPr>
            <w:tcW w:w="2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1.75%</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0.89%</w:t>
            </w:r>
          </w:p>
        </w:tc>
      </w:tr>
      <w:tr>
        <w:trPr/>
        <w:tc>
          <w:tcPr>
            <w:tcW w:w="2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6.25</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6.19</w:t>
            </w:r>
          </w:p>
        </w:tc>
      </w:tr>
      <w:tr>
        <w:trPr/>
        <w:tc>
          <w:tcPr>
            <w:tcW w:w="2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90%</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91%</w:t>
            </w:r>
          </w:p>
        </w:tc>
      </w:tr>
      <w:tr>
        <w:trPr/>
        <w:tc>
          <w:tcPr>
            <w:tcW w:w="208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Dividend yield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0.00%</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41" w:type="dxa"/>
            <w:tcBorders/>
            <w:shd w:fill="auto" w:val="clear"/>
            <w:vAlign w:val="center"/>
          </w:tcPr>
          <w:p>
            <w:pPr>
              <w:pStyle w:val="TableContents"/>
              <w:spacing w:lineRule="auto" w:line="252" w:before="0" w:after="0"/>
              <w:ind w:left="0" w:right="0" w:hanging="0"/>
              <w:jc w:val="center"/>
              <w:rPr>
                <w:rFonts w:ascii="Times New Roman" w:hAnsi="Times New Roman"/>
                <w:b w:val="false"/>
                <w:sz w:val="20"/>
              </w:rPr>
            </w:pPr>
            <w:r>
              <w:rPr>
                <w:rFonts w:ascii="Times New Roman" w:hAnsi="Times New Roman"/>
                <w:b w:val="false"/>
                <w:sz w:val="20"/>
              </w:rPr>
              <w:t>0.00%</w:t>
            </w:r>
          </w:p>
        </w:tc>
      </w:tr>
    </w:tbl>
    <w:p>
      <w:pPr>
        <w:pStyle w:val="TextBody"/>
        <w:spacing w:lineRule="auto" w:line="273" w:before="120" w:after="0"/>
        <w:jc w:val="left"/>
        <w:rPr>
          <w:rFonts w:ascii="Times New Roman" w:hAnsi="Times New Roman"/>
          <w:b/>
          <w:i/>
          <w:sz w:val="20"/>
        </w:rPr>
      </w:pPr>
      <w:r>
        <w:rPr>
          <w:rFonts w:ascii="Times New Roman" w:hAnsi="Times New Roman"/>
          <w:b/>
          <w:i/>
          <w:sz w:val="20"/>
        </w:rPr>
        <w:t>Stock Options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summarizes the Company’s stock option activity for the three months ended March 31, 2022 (amounts in millions, except for share and per share data):</w:t>
      </w:r>
    </w:p>
    <w:p>
      <w:pPr>
        <w:pStyle w:val="TextBody"/>
        <w:spacing w:lineRule="auto" w:line="273" w:before="0" w:after="0"/>
        <w:jc w:val="center"/>
        <w:rPr/>
      </w:pPr>
      <w:r>
        <w:rPr/>
        <w:t> </w:t>
      </w:r>
    </w:p>
    <w:tbl>
      <w:tblPr>
        <w:tblW w:w="10137" w:type="dxa"/>
        <w:jc w:val="left"/>
        <w:tblInd w:w="0" w:type="dxa"/>
        <w:tblCellMar>
          <w:top w:w="28" w:type="dxa"/>
          <w:left w:w="28" w:type="dxa"/>
          <w:bottom w:w="28" w:type="dxa"/>
          <w:right w:w="28" w:type="dxa"/>
        </w:tblCellMar>
      </w:tblPr>
      <w:tblGrid>
        <w:gridCol w:w="4216"/>
        <w:gridCol w:w="146"/>
        <w:gridCol w:w="146"/>
        <w:gridCol w:w="931"/>
        <w:gridCol w:w="166"/>
        <w:gridCol w:w="146"/>
        <w:gridCol w:w="214"/>
        <w:gridCol w:w="582"/>
        <w:gridCol w:w="146"/>
        <w:gridCol w:w="146"/>
        <w:gridCol w:w="418"/>
        <w:gridCol w:w="1037"/>
        <w:gridCol w:w="146"/>
        <w:gridCol w:w="146"/>
        <w:gridCol w:w="362"/>
        <w:gridCol w:w="598"/>
        <w:gridCol w:w="59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center"/>
              <w:rPr/>
            </w:pPr>
            <w:r>
              <w:rPr/>
              <w:t> </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Weighted Average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Aggregate</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Average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Remaining</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Intrinsic</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Number of</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Exercise</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Contractual</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Value (a)</w:t>
            </w:r>
          </w:p>
        </w:tc>
        <w:tc>
          <w:tcPr>
            <w:tcW w:w="591" w:type="dxa"/>
            <w:tcBorders/>
            <w:shd w:fill="auto" w:val="cle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millions)</w:t>
            </w:r>
          </w:p>
        </w:tc>
        <w:tc>
          <w:tcPr>
            <w:tcW w:w="5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Outstanding as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2,523,305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8" w:type="dxa"/>
            <w:tcBorders/>
            <w:shd w:fill="auto" w:val="clear"/>
            <w:vAlign w:val="center"/>
          </w:tcPr>
          <w:p>
            <w:pPr>
              <w:pStyle w:val="TableContents"/>
              <w:spacing w:lineRule="auto" w:line="252" w:before="0" w:after="0"/>
              <w:ind w:left="0" w:right="0" w:hanging="0"/>
              <w:jc w:val="left"/>
              <w:rPr/>
            </w:pPr>
            <w:r>
              <w:rPr/>
              <w:t> </w:t>
            </w:r>
          </w:p>
        </w:tc>
        <w:tc>
          <w:tcPr>
            <w:tcW w:w="103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400"/>
              <w:jc w:val="right"/>
              <w:rPr/>
            </w:pPr>
            <w:r>
              <w:rPr/>
              <w:t> </w:t>
            </w:r>
          </w:p>
        </w:tc>
      </w:tr>
      <w:tr>
        <w:trPr/>
        <w:tc>
          <w:tcPr>
            <w:tcW w:w="421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Granted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600,950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5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firstLine="400"/>
              <w:jc w:val="right"/>
              <w:rPr/>
            </w:pPr>
            <w:r>
              <w:rPr/>
              <w:t> </w:t>
            </w:r>
          </w:p>
        </w:tc>
      </w:tr>
      <w:tr>
        <w:trPr/>
        <w:tc>
          <w:tcPr>
            <w:tcW w:w="4216" w:type="dxa"/>
            <w:tcBorders/>
            <w:shd w:fill="auto" w:val="clear"/>
            <w:vAlign w:val="center"/>
          </w:tcPr>
          <w:p>
            <w:pPr>
              <w:pStyle w:val="TableContents"/>
              <w:spacing w:lineRule="auto" w:line="252" w:before="0" w:after="0"/>
              <w:ind w:left="400" w:right="0" w:hanging="0"/>
              <w:jc w:val="left"/>
              <w:rPr>
                <w:rFonts w:ascii="Times New Roman" w:hAnsi="Times New Roman"/>
                <w:b w:val="false"/>
                <w:sz w:val="20"/>
              </w:rPr>
            </w:pPr>
            <w:r>
              <w:rPr>
                <w:rFonts w:ascii="Times New Roman" w:hAnsi="Times New Roman"/>
                <w:b w:val="false"/>
                <w:sz w:val="20"/>
              </w:rPr>
              <w:t>Forfeited/Expired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(45,744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5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27.97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55"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0" w:type="dxa"/>
            <w:gridSpan w:val="2"/>
            <w:tcBorders/>
            <w:shd w:fill="auto" w:val="clear"/>
            <w:vAlign w:val="center"/>
          </w:tcPr>
          <w:p>
            <w:pPr>
              <w:pStyle w:val="TableContents"/>
              <w:spacing w:lineRule="auto" w:line="252" w:before="0" w:after="0"/>
              <w:ind w:left="0" w:right="0" w:hanging="0"/>
              <w:jc w:val="right"/>
              <w:rPr/>
            </w:pPr>
            <w:r>
              <w:rPr/>
              <w:t> </w:t>
            </w:r>
          </w:p>
        </w:tc>
        <w:tc>
          <w:tcPr>
            <w:tcW w:w="591" w:type="dxa"/>
            <w:tcBorders/>
            <w:shd w:fill="auto" w:val="clear"/>
            <w:vAlign w:val="center"/>
          </w:tcPr>
          <w:p>
            <w:pPr>
              <w:pStyle w:val="TableContents"/>
              <w:spacing w:lineRule="auto" w:line="252" w:before="0" w:after="0"/>
              <w:ind w:left="0" w:right="0" w:hanging="0"/>
              <w:jc w:val="righ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Outstanding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3,078,511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8" w:type="dxa"/>
            <w:tcBorders/>
            <w:shd w:fill="auto" w:val="clear"/>
            <w:vAlign w:val="center"/>
          </w:tcPr>
          <w:p>
            <w:pPr>
              <w:pStyle w:val="TableContents"/>
              <w:spacing w:lineRule="auto" w:line="252" w:before="0" w:after="0"/>
              <w:ind w:left="0" w:right="0" w:hanging="0"/>
              <w:jc w:val="left"/>
              <w:rPr/>
            </w:pPr>
            <w:r>
              <w:rPr/>
              <w:t> </w:t>
            </w:r>
          </w:p>
        </w:tc>
        <w:tc>
          <w:tcPr>
            <w:tcW w:w="103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98"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Exercisable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1,195,114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24.53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8" w:type="dxa"/>
            <w:tcBorders/>
            <w:shd w:fill="auto" w:val="clear"/>
            <w:vAlign w:val="center"/>
          </w:tcPr>
          <w:p>
            <w:pPr>
              <w:pStyle w:val="TableContents"/>
              <w:spacing w:lineRule="auto" w:line="252" w:before="0" w:after="0"/>
              <w:ind w:left="0" w:right="0" w:hanging="0"/>
              <w:jc w:val="left"/>
              <w:rPr/>
            </w:pPr>
            <w:r>
              <w:rPr/>
              <w:t> </w:t>
            </w:r>
          </w:p>
        </w:tc>
        <w:tc>
          <w:tcPr>
            <w:tcW w:w="103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98"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hanging="0"/>
              <w:jc w:val="left"/>
              <w:rPr/>
            </w:pPr>
            <w:r>
              <w:rPr/>
              <w:t> </w:t>
            </w:r>
          </w:p>
        </w:tc>
      </w:tr>
      <w:tr>
        <w:trPr/>
        <w:tc>
          <w:tcPr>
            <w:tcW w:w="4216"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Vested and expected to vest as of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3,078,511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8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8" w:type="dxa"/>
            <w:tcBorders/>
            <w:shd w:fill="auto" w:val="clear"/>
            <w:vAlign w:val="center"/>
          </w:tcPr>
          <w:p>
            <w:pPr>
              <w:pStyle w:val="TableContents"/>
              <w:spacing w:lineRule="auto" w:line="252" w:before="0" w:after="0"/>
              <w:ind w:left="0" w:right="0" w:hanging="0"/>
              <w:jc w:val="left"/>
              <w:rPr/>
            </w:pPr>
            <w:r>
              <w:rPr/>
              <w:t> </w:t>
            </w:r>
          </w:p>
        </w:tc>
        <w:tc>
          <w:tcPr>
            <w:tcW w:w="1037"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598" w:type="dxa"/>
            <w:tcBorders/>
            <w:shd w:fill="auto" w:val="clear"/>
            <w:vAlign w:val="center"/>
          </w:tcPr>
          <w:p>
            <w:pPr>
              <w:pStyle w:val="TableContents"/>
              <w:spacing w:lineRule="auto" w:line="252" w:before="0" w:after="0"/>
              <w:ind w:left="0" w:right="0" w:hanging="0"/>
              <w:jc w:val="right"/>
              <w:rPr/>
            </w:pPr>
            <w:r>
              <w:rPr/>
              <w:t>—</w:t>
            </w:r>
          </w:p>
        </w:tc>
        <w:tc>
          <w:tcPr>
            <w:tcW w:w="5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aggregate intrinsic value is calculated as the difference between the exercise price of the underlying options and the fair value of the common stock for the options that were in the money at March 31, 2022.</w:t>
      </w:r>
    </w:p>
    <w:p>
      <w:pPr>
        <w:pStyle w:val="TextBody"/>
        <w:spacing w:lineRule="auto" w:line="273" w:before="120" w:after="0"/>
        <w:jc w:val="left"/>
        <w:rPr>
          <w:rFonts w:ascii="Times New Roman" w:hAnsi="Times New Roman"/>
          <w:b/>
          <w:i/>
          <w:sz w:val="20"/>
        </w:rPr>
      </w:pPr>
      <w:r>
        <w:rPr>
          <w:rFonts w:ascii="Times New Roman" w:hAnsi="Times New Roman"/>
          <w:b/>
          <w:i/>
          <w:sz w:val="20"/>
        </w:rPr>
        <w:t>2022 Option Grants</w:t>
      </w:r>
    </w:p>
    <w:p>
      <w:pPr>
        <w:pStyle w:val="TextBody"/>
        <w:spacing w:lineRule="auto" w:line="273" w:before="120" w:after="0"/>
        <w:jc w:val="left"/>
        <w:rPr>
          <w:rFonts w:ascii="Times New Roman" w:hAnsi="Times New Roman"/>
          <w:sz w:val="20"/>
        </w:rPr>
      </w:pPr>
      <w:r>
        <w:rPr>
          <w:rFonts w:ascii="Times New Roman" w:hAnsi="Times New Roman"/>
          <w:b w:val="false"/>
          <w:sz w:val="20"/>
        </w:rPr>
        <w:t>During the three months ended March 31, 2022, the Company granted options to purchase 600,950</w:t>
      </w:r>
      <w:r>
        <w:rPr>
          <w:rFonts w:ascii="Times New Roman" w:hAnsi="Times New Roman"/>
          <w:sz w:val="20"/>
        </w:rPr>
        <w:t xml:space="preserve"> </w:t>
      </w:r>
      <w:r>
        <w:rPr>
          <w:rFonts w:ascii="Times New Roman" w:hAnsi="Times New Roman"/>
          <w:b w:val="false"/>
          <w:sz w:val="20"/>
        </w:rPr>
        <w:t>shares of common stock to employees of the Company under the 2020 Plan. The options have an exercise price equal to the closing stock price as of the grant date. These options vest over four years</w:t>
      </w:r>
      <w:r>
        <w:rPr>
          <w:rFonts w:ascii="Times New Roman" w:hAnsi="Times New Roman"/>
          <w:sz w:val="20"/>
        </w:rPr>
        <w:t xml:space="preserve"> </w:t>
      </w:r>
      <w:r>
        <w:rPr>
          <w:rFonts w:ascii="Times New Roman" w:hAnsi="Times New Roman"/>
          <w:b w:val="false"/>
          <w:sz w:val="20"/>
        </w:rPr>
        <w:t>with 25% vesting on the first anniversary of the grant and the remainder vesting in equal monthly installments thereafter. The weighted-average grant date fair value of options granted during three months ended March 31, 2022</w:t>
      </w:r>
      <w:r>
        <w:rPr>
          <w:rFonts w:ascii="Times New Roman" w:hAnsi="Times New Roman"/>
          <w:sz w:val="20"/>
        </w:rPr>
        <w:t xml:space="preserve"> </w:t>
      </w:r>
      <w:r>
        <w:rPr>
          <w:rFonts w:ascii="Times New Roman" w:hAnsi="Times New Roman"/>
          <w:b w:val="false"/>
          <w:sz w:val="20"/>
        </w:rPr>
        <w:t>was $6.61.</w:t>
      </w:r>
    </w:p>
    <w:p>
      <w:pPr>
        <w:pStyle w:val="TextBody"/>
        <w:spacing w:lineRule="auto" w:line="273" w:before="120" w:after="0"/>
        <w:jc w:val="left"/>
        <w:rPr>
          <w:rFonts w:ascii="Times New Roman" w:hAnsi="Times New Roman"/>
          <w:sz w:val="20"/>
        </w:rPr>
      </w:pPr>
      <w:r>
        <w:rPr>
          <w:rFonts w:ascii="Times New Roman" w:hAnsi="Times New Roman"/>
          <w:b w:val="false"/>
          <w:sz w:val="20"/>
        </w:rPr>
        <w:t>In May 2022, the Company granted options to purchase 251,500</w:t>
      </w:r>
      <w:r>
        <w:rPr>
          <w:rFonts w:ascii="Times New Roman" w:hAnsi="Times New Roman"/>
          <w:sz w:val="20"/>
        </w:rPr>
        <w:t xml:space="preserve"> </w:t>
      </w:r>
      <w:r>
        <w:rPr>
          <w:rFonts w:ascii="Times New Roman" w:hAnsi="Times New Roman"/>
          <w:b w:val="false"/>
          <w:sz w:val="20"/>
        </w:rPr>
        <w:t>shares of common stock to employees and directors of the Company under the 2020 Plan. The options have an exercise price equal to the closing stock price as of the grant date. Of the 251,500</w:t>
      </w:r>
      <w:r>
        <w:rPr>
          <w:rFonts w:ascii="Times New Roman" w:hAnsi="Times New Roman"/>
          <w:sz w:val="20"/>
        </w:rPr>
        <w:t xml:space="preserve"> </w:t>
      </w:r>
      <w:r>
        <w:rPr>
          <w:rFonts w:ascii="Times New Roman" w:hAnsi="Times New Roman"/>
          <w:b w:val="false"/>
          <w:sz w:val="20"/>
        </w:rPr>
        <w:t>options granted in May 2022, 210,000</w:t>
      </w:r>
      <w:r>
        <w:rPr>
          <w:rFonts w:ascii="Times New Roman" w:hAnsi="Times New Roman"/>
          <w:sz w:val="20"/>
        </w:rPr>
        <w:t xml:space="preserve"> </w:t>
      </w:r>
      <w:r>
        <w:rPr>
          <w:rFonts w:ascii="Times New Roman" w:hAnsi="Times New Roman"/>
          <w:b w:val="false"/>
          <w:sz w:val="20"/>
        </w:rPr>
        <w:t>were granted to employees and vest over four years</w:t>
      </w:r>
      <w:r>
        <w:rPr>
          <w:rFonts w:ascii="Times New Roman" w:hAnsi="Times New Roman"/>
          <w:sz w:val="20"/>
        </w:rPr>
        <w:t xml:space="preserve"> </w:t>
      </w:r>
      <w:r>
        <w:rPr>
          <w:rFonts w:ascii="Times New Roman" w:hAnsi="Times New Roman"/>
          <w:b w:val="false"/>
          <w:sz w:val="20"/>
        </w:rPr>
        <w:t>with 25% vesting on the first anniversary of the grant and the remainder vesting in equal monthly installments thereafter. The remaining 41,500</w:t>
      </w:r>
      <w:r>
        <w:rPr>
          <w:rFonts w:ascii="Times New Roman" w:hAnsi="Times New Roman"/>
          <w:sz w:val="20"/>
        </w:rPr>
        <w:t xml:space="preserve"> </w:t>
      </w:r>
      <w:r>
        <w:rPr>
          <w:rFonts w:ascii="Times New Roman" w:hAnsi="Times New Roman"/>
          <w:b w:val="false"/>
          <w:sz w:val="20"/>
        </w:rPr>
        <w:t>options were annual grants to the Company's directors and vest one year</w:t>
      </w:r>
      <w:r>
        <w:rPr>
          <w:rFonts w:ascii="Times New Roman" w:hAnsi="Times New Roman"/>
          <w:sz w:val="20"/>
        </w:rPr>
        <w:t xml:space="preserve"> </w:t>
      </w:r>
      <w:r>
        <w:rPr>
          <w:rFonts w:ascii="Times New Roman" w:hAnsi="Times New Roman"/>
          <w:b w:val="false"/>
          <w:sz w:val="20"/>
        </w:rPr>
        <w:t>from the grant date.</w:t>
      </w:r>
    </w:p>
    <w:p>
      <w:pPr>
        <w:pStyle w:val="TextBody"/>
        <w:spacing w:lineRule="auto" w:line="273" w:before="120" w:after="0"/>
        <w:jc w:val="left"/>
        <w:rPr>
          <w:rFonts w:ascii="Times New Roman" w:hAnsi="Times New Roman"/>
          <w:b/>
          <w:i/>
          <w:sz w:val="20"/>
        </w:rPr>
      </w:pPr>
      <w:r>
        <w:rPr>
          <w:rFonts w:ascii="Times New Roman" w:hAnsi="Times New Roman"/>
          <w:b/>
          <w:i/>
          <w:sz w:val="20"/>
        </w:rPr>
        <w:t>Stock-Based Compensation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Stock-based compensation expense was classified in the condensed consolidated statements of operations as follows:</w:t>
      </w:r>
    </w:p>
    <w:p>
      <w:pPr>
        <w:pStyle w:val="TextBody"/>
        <w:spacing w:lineRule="auto" w:line="273" w:before="0" w:after="0"/>
        <w:jc w:val="left"/>
        <w:rPr/>
      </w:pPr>
      <w:r>
        <w:rPr/>
        <w:t> </w:t>
      </w:r>
    </w:p>
    <w:tbl>
      <w:tblPr>
        <w:tblW w:w="5044" w:type="dxa"/>
        <w:jc w:val="left"/>
        <w:tblInd w:w="0" w:type="dxa"/>
        <w:tblCellMar>
          <w:top w:w="28" w:type="dxa"/>
          <w:left w:w="28" w:type="dxa"/>
          <w:bottom w:w="28" w:type="dxa"/>
          <w:right w:w="28" w:type="dxa"/>
        </w:tblCellMar>
      </w:tblPr>
      <w:tblGrid>
        <w:gridCol w:w="2311"/>
        <w:gridCol w:w="146"/>
        <w:gridCol w:w="272"/>
        <w:gridCol w:w="738"/>
        <w:gridCol w:w="188"/>
        <w:gridCol w:w="188"/>
        <w:gridCol w:w="272"/>
        <w:gridCol w:w="738"/>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6"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8" w:type="dxa"/>
            <w:tcBorders/>
            <w:shd w:fill="auto" w:val="clear"/>
            <w:vAlign w:val="center"/>
          </w:tcPr>
          <w:p>
            <w:pPr>
              <w:pStyle w:val="TableContents"/>
              <w:spacing w:lineRule="auto" w:line="252"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10" w:type="dxa"/>
            <w:gridSpan w:val="2"/>
            <w:tcBorders/>
            <w:shd w:fill="auto" w:val="clear"/>
            <w:vAlign w:val="center"/>
          </w:tcPr>
          <w:p>
            <w:pPr>
              <w:pStyle w:val="TableContents"/>
              <w:spacing w:lineRule="auto" w:line="252" w:before="0" w:after="0"/>
              <w:ind w:left="0" w:right="0" w:hanging="0"/>
              <w:jc w:val="left"/>
              <w:rPr/>
            </w:pPr>
            <w:r>
              <w:rPr/>
              <w:t> </w:t>
            </w:r>
          </w:p>
        </w:tc>
        <w:tc>
          <w:tcPr>
            <w:tcW w:w="188" w:type="dxa"/>
            <w:tcBorders/>
            <w:shd w:fill="auto" w:val="clear"/>
            <w:vAlign w:val="center"/>
          </w:tcPr>
          <w:p>
            <w:pPr>
              <w:pStyle w:val="TableContents"/>
              <w:spacing w:lineRule="auto" w:line="252" w:before="0" w:after="0"/>
              <w:ind w:left="0" w:right="0" w:hanging="0"/>
              <w:jc w:val="left"/>
              <w:rPr/>
            </w:pPr>
            <w:r>
              <w:rPr/>
              <w:t> </w:t>
            </w:r>
          </w:p>
        </w:tc>
        <w:tc>
          <w:tcPr>
            <w:tcW w:w="188" w:type="dxa"/>
            <w:tcBorders/>
            <w:shd w:fill="auto" w:val="clear"/>
            <w:vAlign w:val="center"/>
          </w:tcPr>
          <w:p>
            <w:pPr>
              <w:pStyle w:val="TableContents"/>
              <w:spacing w:lineRule="auto" w:line="252" w:before="0" w:after="0"/>
              <w:ind w:left="0" w:right="0" w:hanging="0"/>
              <w:jc w:val="left"/>
              <w:rPr/>
            </w:pPr>
            <w:r>
              <w:rPr/>
              <w:t> </w:t>
            </w:r>
          </w:p>
        </w:tc>
        <w:tc>
          <w:tcPr>
            <w:tcW w:w="1010" w:type="dxa"/>
            <w:gridSpan w:val="2"/>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655</w:t>
            </w:r>
          </w:p>
        </w:tc>
        <w:tc>
          <w:tcPr>
            <w:tcW w:w="188" w:type="dxa"/>
            <w:tcBorders/>
            <w:shd w:fill="auto" w:val="clear"/>
            <w:vAlign w:val="center"/>
          </w:tcPr>
          <w:p>
            <w:pPr>
              <w:pStyle w:val="TableContents"/>
              <w:spacing w:lineRule="auto" w:line="252" w:before="0" w:after="0"/>
              <w:ind w:left="0" w:right="0" w:hanging="0"/>
              <w:jc w:val="left"/>
              <w:rPr/>
            </w:pPr>
            <w:r>
              <w:rPr/>
              <w:t> </w:t>
            </w:r>
          </w:p>
        </w:tc>
        <w:tc>
          <w:tcPr>
            <w:tcW w:w="188" w:type="dxa"/>
            <w:tcBorders/>
            <w:shd w:fill="auto" w:val="clear"/>
            <w:vAlign w:val="center"/>
          </w:tcPr>
          <w:p>
            <w:pPr>
              <w:pStyle w:val="TableContents"/>
              <w:spacing w:lineRule="auto" w:line="252" w:before="0" w:after="0"/>
              <w:ind w:left="0" w:right="0" w:hanging="0"/>
              <w:jc w:val="left"/>
              <w:rPr/>
            </w:pPr>
            <w:r>
              <w:rPr/>
              <w:t> </w:t>
            </w:r>
          </w:p>
        </w:tc>
        <w:tc>
          <w:tcPr>
            <w:tcW w:w="272"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8"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438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980</w:t>
            </w:r>
          </w:p>
        </w:tc>
        <w:tc>
          <w:tcPr>
            <w:tcW w:w="18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8" w:type="dxa"/>
            <w:tcBorders/>
            <w:shd w:fill="auto" w:val="clear"/>
            <w:vAlign w:val="center"/>
          </w:tcPr>
          <w:p>
            <w:pPr>
              <w:pStyle w:val="TableContents"/>
              <w:spacing w:lineRule="auto" w:line="252" w:before="0" w:after="0"/>
              <w:ind w:left="0" w:right="0" w:hanging="0"/>
              <w:jc w:val="righ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1,635</w:t>
            </w:r>
          </w:p>
        </w:tc>
        <w:tc>
          <w:tcPr>
            <w:tcW w:w="18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8" w:type="dxa"/>
            <w:tcBorders/>
            <w:shd w:fill="auto" w:val="clear"/>
            <w:vAlign w:val="center"/>
          </w:tcPr>
          <w:p>
            <w:pPr>
              <w:pStyle w:val="TableContents"/>
              <w:spacing w:lineRule="auto" w:line="252"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1,180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120" w:after="0"/>
        <w:jc w:val="left"/>
        <w:rPr>
          <w:rFonts w:ascii="Times New Roman" w:hAnsi="Times New Roman"/>
          <w:sz w:val="20"/>
        </w:rPr>
      </w:pPr>
      <w:r>
        <w:rPr>
          <w:rFonts w:ascii="Times New Roman" w:hAnsi="Times New Roman"/>
          <w:b w:val="false"/>
          <w:sz w:val="20"/>
        </w:rPr>
        <w:t>As of March 31, 2022, total unrecognized compensation expense related to unvested stock options and restricted stock units was $16.9</w:t>
      </w:r>
      <w:r>
        <w:rPr>
          <w:rFonts w:ascii="Times New Roman" w:hAnsi="Times New Roman"/>
          <w:sz w:val="20"/>
        </w:rPr>
        <w:t xml:space="preserve"> </w:t>
      </w:r>
      <w:r>
        <w:rPr>
          <w:rFonts w:ascii="Times New Roman" w:hAnsi="Times New Roman"/>
          <w:b w:val="false"/>
          <w:sz w:val="20"/>
        </w:rPr>
        <w:t>million, which is expected to be recognized over a weighted average period of 2.68</w:t>
      </w:r>
      <w:r>
        <w:rPr>
          <w:rFonts w:ascii="Times New Roman" w:hAnsi="Times New Roman"/>
          <w:sz w:val="20"/>
        </w:rPr>
        <w:t xml:space="preserve"> </w:t>
      </w:r>
      <w:r>
        <w:rPr>
          <w:rFonts w:ascii="Times New Roman" w:hAnsi="Times New Roman"/>
          <w:b w:val="false"/>
          <w:sz w:val="20"/>
        </w:rPr>
        <w:t>years.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8.</w:t>
      </w:r>
    </w:p>
    <w:p>
      <w:pPr>
        <w:pStyle w:val="TextBody"/>
        <w:spacing w:lineRule="auto" w:line="273" w:before="240" w:after="283"/>
        <w:jc w:val="left"/>
        <w:rPr>
          <w:rFonts w:ascii="Times New Roman" w:hAnsi="Times New Roman"/>
          <w:b/>
          <w:sz w:val="20"/>
        </w:rPr>
      </w:pPr>
      <w:r>
        <w:rPr>
          <w:rFonts w:ascii="Times New Roman" w:hAnsi="Times New Roman"/>
          <w:b/>
          <w:sz w:val="20"/>
        </w:rPr>
        <w:t>Commitments and Contingencies</w:t>
      </w:r>
    </w:p>
    <w:p>
      <w:pPr>
        <w:pStyle w:val="TextBody"/>
        <w:spacing w:lineRule="auto" w:line="273" w:before="120" w:after="0"/>
        <w:jc w:val="left"/>
        <w:rPr>
          <w:rFonts w:ascii="Times New Roman" w:hAnsi="Times New Roman"/>
          <w:sz w:val="20"/>
        </w:rPr>
      </w:pPr>
      <w:r>
        <w:rPr>
          <w:rFonts w:ascii="Times New Roman" w:hAnsi="Times New Roman"/>
          <w:b/>
          <w:i/>
          <w:sz w:val="20"/>
        </w:rPr>
        <w:t>Intellectual Property Licenses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Company is party to an exclusive License Agreement (the “WFUHS License”), dated November 30, 2016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w:t>
      </w:r>
      <w:r>
        <w:rPr>
          <w:rFonts w:ascii="Times New Roman" w:hAnsi="Times New Roman"/>
          <w:sz w:val="20"/>
        </w:rPr>
        <w:t xml:space="preserve"> </w:t>
      </w:r>
      <w:r>
        <w:rPr>
          <w:rFonts w:ascii="Times New Roman" w:hAnsi="Times New Roman"/>
          <w:b w:val="false"/>
          <w:sz w:val="20"/>
        </w:rPr>
        <w:t>million in the aggregate upon the achievement of certain developmental milestones, commencing on the enrollment of the first patient in a Phase 1 clinical trial.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w:t>
      </w:r>
      <w:r>
        <w:rPr>
          <w:rFonts w:ascii="Times New Roman" w:hAnsi="Times New Roman"/>
          <w:sz w:val="20"/>
        </w:rPr>
        <w:t xml:space="preserve"> </w:t>
      </w:r>
      <w:r>
        <w:rPr>
          <w:rFonts w:ascii="Times New Roman" w:hAnsi="Times New Roman"/>
          <w:b w:val="false"/>
          <w:sz w:val="20"/>
        </w:rPr>
        <w:t>million per annum starting in the 2020 calendar year for the term of the agreement.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pStyle w:val="TextBody"/>
        <w:spacing w:lineRule="auto" w:line="273" w:before="120" w:after="0"/>
        <w:jc w:val="left"/>
        <w:rPr>
          <w:rFonts w:ascii="Times New Roman" w:hAnsi="Times New Roman"/>
          <w:sz w:val="20"/>
        </w:rPr>
      </w:pPr>
      <w:r>
        <w:rPr>
          <w:rFonts w:ascii="Times New Roman" w:hAnsi="Times New Roman"/>
          <w:b w:val="false"/>
          <w:sz w:val="20"/>
        </w:rPr>
        <w:t>During the three months ended March 31, 2022, no</w:t>
      </w:r>
      <w:r>
        <w:rPr>
          <w:rFonts w:ascii="Times New Roman" w:hAnsi="Times New Roman"/>
          <w:sz w:val="20"/>
        </w:rPr>
        <w:t xml:space="preserve"> </w:t>
      </w:r>
      <w:r>
        <w:rPr>
          <w:rFonts w:ascii="Times New Roman" w:hAnsi="Times New Roman"/>
          <w:b w:val="false"/>
          <w:sz w:val="20"/>
        </w:rPr>
        <w:t>milestones were achieved and no</w:t>
      </w:r>
      <w:r>
        <w:rPr>
          <w:rFonts w:ascii="Times New Roman" w:hAnsi="Times New Roman"/>
          <w:sz w:val="20"/>
        </w:rPr>
        <w:t xml:space="preserve"> </w:t>
      </w:r>
      <w:r>
        <w:rPr>
          <w:rFonts w:ascii="Times New Roman" w:hAnsi="Times New Roman"/>
          <w:b w:val="false"/>
          <w:sz w:val="20"/>
        </w:rPr>
        <w:t>milestone expense was recognized. Both agreements continue from their effective date through the last to expire of the licensed patents unless earlier terminated by either party in accordance with their terms.</w:t>
      </w:r>
    </w:p>
    <w:p>
      <w:pPr>
        <w:pStyle w:val="TextBody"/>
        <w:spacing w:lineRule="auto" w:line="273" w:before="120" w:after="0"/>
        <w:jc w:val="left"/>
        <w:rPr>
          <w:rFonts w:ascii="Times New Roman" w:hAnsi="Times New Roman"/>
          <w:sz w:val="20"/>
        </w:rPr>
      </w:pPr>
      <w:r>
        <w:rPr>
          <w:rFonts w:ascii="Times New Roman" w:hAnsi="Times New Roman"/>
          <w:b/>
          <w:i/>
          <w:sz w:val="20"/>
        </w:rPr>
        <w:t>Leases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August 8, 2019, the Company entered into an operating lease for office space in Bala Cynwyd, Pennsylvania, effective as of December 15, 2019, for a period of three years and six months</w:t>
      </w:r>
      <w:r>
        <w:rPr>
          <w:rFonts w:ascii="Times New Roman" w:hAnsi="Times New Roman"/>
          <w:sz w:val="20"/>
        </w:rPr>
        <w:t xml:space="preserve"> </w:t>
      </w:r>
      <w:r>
        <w:rPr>
          <w:rFonts w:ascii="Times New Roman" w:hAnsi="Times New Roman"/>
          <w:b w:val="false"/>
          <w:sz w:val="20"/>
        </w:rPr>
        <w:t>with an option to extend the lease for three</w:t>
      </w:r>
      <w:r>
        <w:rPr>
          <w:rFonts w:ascii="Times New Roman" w:hAnsi="Times New Roman"/>
          <w:sz w:val="20"/>
        </w:rPr>
        <w:t xml:space="preserve"> </w:t>
      </w:r>
      <w:r>
        <w:rPr>
          <w:rFonts w:ascii="Times New Roman" w:hAnsi="Times New Roman"/>
          <w:b w:val="false"/>
          <w:sz w:val="20"/>
        </w:rPr>
        <w:t>additional years. Due to required tenant improvements to be completed by the landlord, the Company did not take immediate possession of the leased property and the lease term commenced on February 15, 2020.</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May 28, 2020, the Company acquired a non-cancellable operating lease for approximately 17,705</w:t>
      </w:r>
      <w:r>
        <w:rPr>
          <w:rFonts w:ascii="Times New Roman" w:hAnsi="Times New Roman"/>
          <w:sz w:val="20"/>
        </w:rPr>
        <w:t xml:space="preserve"> </w:t>
      </w:r>
      <w:r>
        <w:rPr>
          <w:rFonts w:ascii="Times New Roman" w:hAnsi="Times New Roman"/>
          <w:b w:val="false"/>
          <w:sz w:val="20"/>
        </w:rPr>
        <w:t>square feet of office space (the “Premises”). The lease expires on October 30, 2029.</w:t>
      </w:r>
      <w:r>
        <w:rPr>
          <w:rFonts w:ascii="Times New Roman" w:hAnsi="Times New Roman"/>
          <w:sz w:val="20"/>
        </w:rPr>
        <w:t xml:space="preserve"> </w:t>
      </w:r>
      <w:r>
        <w:rPr>
          <w:rFonts w:ascii="Times New Roman" w:hAnsi="Times New Roman"/>
          <w:b w:val="false"/>
          <w:sz w:val="20"/>
        </w:rPr>
        <w:t>As part of the agreement, the Company is required to maintain a letter of credit, which upon signing was $1.3</w:t>
      </w:r>
      <w:r>
        <w:rPr>
          <w:rFonts w:ascii="Times New Roman" w:hAnsi="Times New Roman"/>
          <w:sz w:val="20"/>
        </w:rPr>
        <w:t xml:space="preserve"> </w:t>
      </w:r>
      <w:r>
        <w:rPr>
          <w:rFonts w:ascii="Times New Roman" w:hAnsi="Times New Roman"/>
          <w:b w:val="false"/>
          <w:sz w:val="20"/>
        </w:rPr>
        <w:t>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On October 27, 2020, the Company entered into a sublease agreement (the “Sublease”) with Massachusetts Municipal Association, Inc. (the “Subtenant”), whereby the Company sublet the entire Premises to the Subtenant. The initial term of the Sublease commenced on December 4, 2020</w:t>
      </w:r>
      <w:r>
        <w:rPr>
          <w:rFonts w:ascii="Times New Roman" w:hAnsi="Times New Roman"/>
          <w:sz w:val="20"/>
        </w:rPr>
        <w:t xml:space="preserve"> </w:t>
      </w:r>
      <w:r>
        <w:rPr>
          <w:rFonts w:ascii="Times New Roman" w:hAnsi="Times New Roman"/>
          <w:b w:val="false"/>
          <w:sz w:val="20"/>
        </w:rPr>
        <w:t>and continues until October 30, 2029. In connection with the Sublease, the Company evaluated the need for impairment under ASC 360 and determined there was no impairment.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sz w:val="20"/>
        </w:rPr>
      </w:pPr>
      <w:r>
        <w:rPr>
          <w:rFonts w:ascii="Times New Roman" w:hAnsi="Times New Roman"/>
          <w:b w:val="false"/>
          <w:sz w:val="20"/>
        </w:rPr>
        <w:t>The Sublease provides for an initial annual base rent of $0.8</w:t>
      </w:r>
      <w:r>
        <w:rPr>
          <w:rFonts w:ascii="Times New Roman" w:hAnsi="Times New Roman"/>
          <w:sz w:val="20"/>
        </w:rPr>
        <w:t xml:space="preserve"> </w:t>
      </w:r>
      <w:r>
        <w:rPr>
          <w:rFonts w:ascii="Times New Roman" w:hAnsi="Times New Roman"/>
          <w:b w:val="false"/>
          <w:sz w:val="20"/>
        </w:rPr>
        <w:t>million, which increases annually up to a maximum annual base rent of $1.0</w:t>
      </w:r>
      <w:r>
        <w:rPr>
          <w:rFonts w:ascii="Times New Roman" w:hAnsi="Times New Roman"/>
          <w:sz w:val="20"/>
        </w:rPr>
        <w:t xml:space="preserve"> </w:t>
      </w:r>
      <w:r>
        <w:rPr>
          <w:rFonts w:ascii="Times New Roman" w:hAnsi="Times New Roman"/>
          <w:b w:val="false"/>
          <w:sz w:val="20"/>
        </w:rPr>
        <w:t>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w:t>
      </w:r>
      <w:r>
        <w:rPr>
          <w:rFonts w:ascii="Times New Roman" w:hAnsi="Times New Roman"/>
          <w:sz w:val="20"/>
        </w:rPr>
        <w:t xml:space="preserve"> </w:t>
      </w:r>
      <w:r>
        <w:rPr>
          <w:rFonts w:ascii="Times New Roman" w:hAnsi="Times New Roman"/>
          <w:b w:val="false"/>
          <w:sz w:val="20"/>
        </w:rPr>
        <w:t>million to assure their performance under the sublease. If there are no uncured events of default under the sublease, the amount of this security deposit decreases over time to $0.4</w:t>
      </w:r>
      <w:r>
        <w:rPr>
          <w:rFonts w:ascii="Times New Roman" w:hAnsi="Times New Roman"/>
          <w:sz w:val="20"/>
        </w:rPr>
        <w:t xml:space="preserve"> </w:t>
      </w:r>
      <w:r>
        <w:rPr>
          <w:rFonts w:ascii="Times New Roman" w:hAnsi="Times New Roman"/>
          <w:b w:val="false"/>
          <w:sz w:val="20"/>
        </w:rPr>
        <w:t>million on the sixth anniversary of the Sublease. The Company records sublease income on this sublease on a straight-line basis as a component of other income/(expense).</w:t>
      </w:r>
    </w:p>
    <w:p>
      <w:pPr>
        <w:pStyle w:val="TextBody"/>
        <w:spacing w:lineRule="auto" w:line="273" w:before="120" w:after="0"/>
        <w:jc w:val="left"/>
        <w:rPr>
          <w:rFonts w:ascii="Times New Roman" w:hAnsi="Times New Roman"/>
          <w:sz w:val="20"/>
        </w:rPr>
      </w:pPr>
      <w:r>
        <w:rPr>
          <w:rFonts w:ascii="Times New Roman" w:hAnsi="Times New Roman"/>
          <w:b w:val="false"/>
          <w:sz w:val="20"/>
        </w:rPr>
        <w:t>On November 5, 2018, the Company entered into an operating lease for office and lab space in Philadelphia, Pennsylvania, effective as of January 1, 2019, and expiring on December 31, 2020</w:t>
      </w:r>
      <w:r>
        <w:rPr>
          <w:rFonts w:ascii="Times New Roman" w:hAnsi="Times New Roman"/>
          <w:sz w:val="20"/>
        </w:rPr>
        <w:t xml:space="preserve"> </w:t>
      </w:r>
      <w:r>
        <w:rPr>
          <w:rFonts w:ascii="Times New Roman" w:hAnsi="Times New Roman"/>
          <w:b w:val="false"/>
          <w:sz w:val="20"/>
        </w:rPr>
        <w:t>with an option to extend the lease for two</w:t>
      </w:r>
      <w:r>
        <w:rPr>
          <w:rFonts w:ascii="Times New Roman" w:hAnsi="Times New Roman"/>
          <w:sz w:val="20"/>
        </w:rPr>
        <w:t xml:space="preserve"> </w:t>
      </w:r>
      <w:r>
        <w:rPr>
          <w:rFonts w:ascii="Times New Roman" w:hAnsi="Times New Roman"/>
          <w:b w:val="false"/>
          <w:sz w:val="20"/>
        </w:rPr>
        <w:t>additional years. On August 4, 2020, the Company executed the first option to extend the lease for an additional year, expiring on December 31, 2021. On August 9, 2021, the Company executed the remaining option to extend the lease for an additional year, expiring on December 31, 2022. The Company has determined this lease extension qualifies as a short-term lease and have applied the accounting policy election to not record the related right-of-use asset and lease liabilities.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Expense arising from operating leases was $0.1</w:t>
      </w:r>
      <w:r>
        <w:rPr>
          <w:rFonts w:ascii="Times New Roman" w:hAnsi="Times New Roman"/>
          <w:sz w:val="20"/>
        </w:rPr>
        <w:t xml:space="preserve"> </w:t>
      </w:r>
      <w:r>
        <w:rPr>
          <w:rFonts w:ascii="Times New Roman" w:hAnsi="Times New Roman"/>
          <w:b w:val="false"/>
          <w:sz w:val="20"/>
        </w:rPr>
        <w:t>million</w:t>
      </w:r>
      <w:r>
        <w:rPr>
          <w:rFonts w:ascii="Times New Roman" w:hAnsi="Times New Roman"/>
          <w:sz w:val="20"/>
        </w:rPr>
        <w:t xml:space="preserve"> </w:t>
      </w:r>
      <w:r>
        <w:rPr>
          <w:rFonts w:ascii="Times New Roman" w:hAnsi="Times New Roman"/>
          <w:b w:val="false"/>
          <w:sz w:val="20"/>
        </w:rPr>
        <w:t>during the three months ended March 31, 2022 and 2021, respectively. For operating leases, the weighted-average remaining lease term for leases at March 31, 2022 and December 31, 2021</w:t>
      </w:r>
      <w:r>
        <w:rPr>
          <w:rFonts w:ascii="Times New Roman" w:hAnsi="Times New Roman"/>
          <w:sz w:val="20"/>
        </w:rPr>
        <w:t xml:space="preserve"> </w:t>
      </w:r>
      <w:r>
        <w:rPr>
          <w:rFonts w:ascii="Times New Roman" w:hAnsi="Times New Roman"/>
          <w:b w:val="false"/>
          <w:sz w:val="20"/>
        </w:rPr>
        <w:t>was 7.4</w:t>
      </w:r>
      <w:r>
        <w:rPr>
          <w:rFonts w:ascii="Times New Roman" w:hAnsi="Times New Roman"/>
          <w:sz w:val="20"/>
        </w:rPr>
        <w:t xml:space="preserve"> </w:t>
      </w:r>
      <w:r>
        <w:rPr>
          <w:rFonts w:ascii="Times New Roman" w:hAnsi="Times New Roman"/>
          <w:b w:val="false"/>
          <w:sz w:val="20"/>
        </w:rPr>
        <w:t>and 7.6</w:t>
      </w:r>
      <w:r>
        <w:rPr>
          <w:rFonts w:ascii="Times New Roman" w:hAnsi="Times New Roman"/>
          <w:sz w:val="20"/>
        </w:rPr>
        <w:t xml:space="preserve"> </w:t>
      </w:r>
      <w:r>
        <w:rPr>
          <w:rFonts w:ascii="Times New Roman" w:hAnsi="Times New Roman"/>
          <w:b w:val="false"/>
          <w:sz w:val="20"/>
        </w:rPr>
        <w:t>years, respectively. For operating leases, the weighted average discount rate for leases at March 31, 2022 and December 31, 2021</w:t>
      </w:r>
      <w:r>
        <w:rPr>
          <w:rFonts w:ascii="Times New Roman" w:hAnsi="Times New Roman"/>
          <w:sz w:val="20"/>
        </w:rPr>
        <w:t xml:space="preserve"> </w:t>
      </w:r>
      <w:r>
        <w:rPr>
          <w:rFonts w:ascii="Times New Roman" w:hAnsi="Times New Roman"/>
          <w:b w:val="false"/>
          <w:sz w:val="20"/>
        </w:rPr>
        <w:t>was 11.0%. The Company has not entered into any financing leases.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Maturities of lease liabilities due under these lease agreements as of March 31, 2022 are as follows:</w:t>
      </w:r>
      <w:r>
        <w:rPr>
          <w:rFonts w:ascii="Times New Roman" w:hAnsi="Times New Roman"/>
          <w:sz w:val="20"/>
        </w:rPr>
        <w:t xml:space="preserve"> </w:t>
      </w:r>
    </w:p>
    <w:p>
      <w:pPr>
        <w:pStyle w:val="TextBody"/>
        <w:spacing w:lineRule="auto" w:line="273" w:before="0" w:after="0"/>
        <w:jc w:val="left"/>
        <w:rPr/>
      </w:pPr>
      <w:r>
        <w:rPr/>
        <w:t> </w:t>
      </w:r>
    </w:p>
    <w:tbl>
      <w:tblPr>
        <w:tblW w:w="4804" w:type="dxa"/>
        <w:jc w:val="left"/>
        <w:tblInd w:w="0" w:type="dxa"/>
        <w:tblCellMar>
          <w:top w:w="28" w:type="dxa"/>
          <w:left w:w="28" w:type="dxa"/>
          <w:bottom w:w="28" w:type="dxa"/>
          <w:right w:w="28" w:type="dxa"/>
        </w:tblCellMar>
      </w:tblPr>
      <w:tblGrid>
        <w:gridCol w:w="3391"/>
        <w:gridCol w:w="146"/>
        <w:gridCol w:w="214"/>
        <w:gridCol w:w="642"/>
        <w:gridCol w:w="41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Operating</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537" w:type="dxa"/>
            <w:gridSpan w:val="2"/>
            <w:tcBorders/>
            <w:shd w:fill="auto" w:val="clear"/>
            <w:vAlign w:val="center"/>
          </w:tcPr>
          <w:p>
            <w:pPr>
              <w:pStyle w:val="TableContents"/>
              <w:spacing w:lineRule="auto" w:line="252" w:before="0" w:after="0"/>
              <w:ind w:left="0" w:right="0" w:hanging="0"/>
              <w:jc w:val="left"/>
              <w:rPr>
                <w:rFonts w:ascii="Times New Roman" w:hAnsi="Times New Roman"/>
                <w:b/>
                <w:sz w:val="16"/>
              </w:rPr>
            </w:pPr>
            <w:r>
              <w:rPr>
                <w:rFonts w:ascii="Times New Roman" w:hAnsi="Times New Roman"/>
                <w:b/>
                <w:sz w:val="16"/>
              </w:rPr>
              <w:t>(in thousands)</w:t>
            </w:r>
          </w:p>
        </w:tc>
        <w:tc>
          <w:tcPr>
            <w:tcW w:w="856"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Leases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Nine months ending December 31, 2022</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899</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Year ended December 31, 2023</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6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1,146</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Year ended December 31, 2024</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6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1,065</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Year ended December 31, 2025</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6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1,083</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Year ended December 31, 2026</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6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1,101</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Thereafter</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3,213</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pPr>
            <w:r>
              <w:rPr/>
              <w:t> </w:t>
            </w:r>
          </w:p>
        </w:tc>
      </w:tr>
      <w:tr>
        <w:trPr/>
        <w:tc>
          <w:tcPr>
            <w:tcW w:w="3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Total lease payments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shd w:fill="auto" w:val="clear"/>
            <w:vAlign w:val="center"/>
          </w:tcPr>
          <w:p>
            <w:pPr>
              <w:pStyle w:val="TableContents"/>
              <w:spacing w:lineRule="auto" w:line="252" w:before="0" w:after="0"/>
              <w:ind w:left="0" w:right="0" w:hanging="0"/>
              <w:jc w:val="left"/>
              <w:rPr/>
            </w:pPr>
            <w:r>
              <w:rPr/>
              <w:t> </w:t>
            </w:r>
          </w:p>
        </w:tc>
        <w:tc>
          <w:tcPr>
            <w:tcW w:w="64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8,507</w:t>
            </w:r>
          </w:p>
        </w:tc>
        <w:tc>
          <w:tcPr>
            <w:tcW w:w="411" w:type="dxa"/>
            <w:tcBorders/>
            <w:shd w:fill="auto" w:val="clear"/>
            <w:vAlign w:val="center"/>
          </w:tcPr>
          <w:p>
            <w:pPr>
              <w:pStyle w:val="TableContents"/>
              <w:spacing w:lineRule="auto" w:line="252" w:before="0" w:after="0"/>
              <w:ind w:left="0" w:right="0" w:hanging="0"/>
              <w:jc w:val="left"/>
              <w:rPr/>
            </w:pPr>
            <w:r>
              <w:rPr/>
              <w:t> </w:t>
            </w:r>
          </w:p>
        </w:tc>
      </w:tr>
      <w:tr>
        <w:trPr/>
        <w:tc>
          <w:tcPr>
            <w:tcW w:w="339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Less: imputed interest</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(2,646</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339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Present value of lease liabilities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4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5,861</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120" w:after="0"/>
        <w:jc w:val="left"/>
        <w:rPr>
          <w:rFonts w:ascii="Times New Roman" w:hAnsi="Times New Roman"/>
          <w:b/>
          <w:i/>
          <w:sz w:val="20"/>
        </w:rPr>
      </w:pPr>
      <w:r>
        <w:rPr>
          <w:rFonts w:ascii="Times New Roman" w:hAnsi="Times New Roman"/>
          <w:b/>
          <w:i/>
          <w:sz w:val="20"/>
        </w:rPr>
        <w:t>Legal Proceedings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Company is not currently a party to any litigation, nor is management aware of any pending or threatened litigation against the Company, that it believes would materially affect the Company's business, operating results, financial condition or cash flows.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sz w:val="20"/>
        </w:rPr>
      </w:pPr>
      <w:r>
        <w:rPr>
          <w:rFonts w:ascii="Times New Roman" w:hAnsi="Times New Roman"/>
          <w:b/>
          <w:sz w:val="20"/>
        </w:rPr>
        <w:t>9.</w:t>
      </w:r>
    </w:p>
    <w:p>
      <w:pPr>
        <w:pStyle w:val="TextBody"/>
        <w:spacing w:lineRule="auto" w:line="273" w:before="120" w:after="283"/>
        <w:jc w:val="left"/>
        <w:rPr>
          <w:rFonts w:ascii="Times New Roman" w:hAnsi="Times New Roman"/>
          <w:b/>
          <w:sz w:val="20"/>
        </w:rPr>
      </w:pPr>
      <w:r>
        <w:rPr>
          <w:rFonts w:ascii="Times New Roman" w:hAnsi="Times New Roman"/>
          <w:b/>
          <w:sz w:val="20"/>
        </w:rPr>
        <w:t xml:space="preserve">Related Party Transactions </w:t>
      </w:r>
    </w:p>
    <w:p>
      <w:pPr>
        <w:pStyle w:val="TextBody"/>
        <w:spacing w:lineRule="auto" w:line="273" w:before="120" w:after="0"/>
        <w:jc w:val="left"/>
        <w:rPr>
          <w:rFonts w:ascii="Times New Roman" w:hAnsi="Times New Roman"/>
          <w:sz w:val="20"/>
        </w:rPr>
      </w:pPr>
      <w:r>
        <w:rPr>
          <w:rFonts w:ascii="Times New Roman" w:hAnsi="Times New Roman"/>
          <w:b w:val="false"/>
          <w:sz w:val="20"/>
        </w:rPr>
        <w:t>In November 2016, the Company entered into a consulting agreement with Mark Payne, M.D (the “Consulting Engagement”). Dr. Payne was a director of Chondrial at that time, a full-time employee of IU and one of the inventors of the licensed IU intellectual property, and as such is entitled to a certain share of the revenues received by IU under the IU License. Pursuant to the terms of his consulting agreement the Company agreed to pay Dr. Payne $0.1</w:t>
      </w:r>
      <w:r>
        <w:rPr>
          <w:rFonts w:ascii="Times New Roman" w:hAnsi="Times New Roman"/>
          <w:sz w:val="20"/>
        </w:rPr>
        <w:t xml:space="preserve"> </w:t>
      </w:r>
      <w:r>
        <w:rPr>
          <w:rFonts w:ascii="Times New Roman" w:hAnsi="Times New Roman"/>
          <w:b w:val="false"/>
          <w:sz w:val="20"/>
        </w:rPr>
        <w:t>million per year over the term of the agreement and granted Dr. Payne 123,853</w:t>
      </w:r>
      <w:r>
        <w:rPr>
          <w:rFonts w:ascii="Times New Roman" w:hAnsi="Times New Roman"/>
          <w:sz w:val="20"/>
        </w:rPr>
        <w:t xml:space="preserve"> </w:t>
      </w:r>
      <w:r>
        <w:rPr>
          <w:rFonts w:ascii="Times New Roman" w:hAnsi="Times New Roman"/>
          <w:b w:val="false"/>
          <w:sz w:val="20"/>
        </w:rPr>
        <w:t>restricted Common Units in Holdings. On November 30, 2016, 30% immediately vested and was associated with Chondrial Therapeutics IP, LLC (“IP LLC”) becoming a subsidiary of Holdings, which was subsequently contributed to the Company on December 31, 2018. The remaining 70% vested ratably over 48 months</w:t>
      </w:r>
      <w:r>
        <w:rPr>
          <w:rFonts w:ascii="Times New Roman" w:hAnsi="Times New Roman"/>
          <w:sz w:val="20"/>
        </w:rPr>
        <w:t xml:space="preserve"> </w:t>
      </w:r>
      <w:r>
        <w:rPr>
          <w:rFonts w:ascii="Times New Roman" w:hAnsi="Times New Roman"/>
          <w:b w:val="false"/>
          <w:sz w:val="20"/>
        </w:rPr>
        <w:t>beginning on December 1, 2016 and were fully vested as of December 31, 2020. The consulting agreement has a four-year</w:t>
      </w:r>
      <w:r>
        <w:rPr>
          <w:rFonts w:ascii="Times New Roman" w:hAnsi="Times New Roman"/>
          <w:sz w:val="20"/>
        </w:rPr>
        <w:t xml:space="preserve"> </w:t>
      </w:r>
      <w:r>
        <w:rPr>
          <w:rFonts w:ascii="Times New Roman" w:hAnsi="Times New Roman"/>
          <w:b w:val="false"/>
          <w:sz w:val="20"/>
        </w:rPr>
        <w:t>term, subject to earlier termination. On November 30, 2020, The Company entered into a 1-month extension of the Consulting Engagement, expiring on December 31, 2020</w:t>
      </w:r>
      <w:r>
        <w:rPr>
          <w:rFonts w:ascii="Times New Roman" w:hAnsi="Times New Roman"/>
          <w:sz w:val="20"/>
        </w:rPr>
        <w:t xml:space="preserve"> </w:t>
      </w:r>
      <w:r>
        <w:rPr>
          <w:rFonts w:ascii="Times New Roman" w:hAnsi="Times New Roman"/>
          <w:b w:val="false"/>
          <w:sz w:val="20"/>
        </w:rPr>
        <w:t>and on January 1, 2021, the Company entered into a new consulting agreement with Dr. Payne which extended the term of the Consulting Engagement for a four-year</w:t>
      </w:r>
      <w:r>
        <w:rPr>
          <w:rFonts w:ascii="Times New Roman" w:hAnsi="Times New Roman"/>
          <w:sz w:val="20"/>
        </w:rPr>
        <w:t xml:space="preserve"> </w:t>
      </w:r>
      <w:r>
        <w:rPr>
          <w:rFonts w:ascii="Times New Roman" w:hAnsi="Times New Roman"/>
          <w:b w:val="false"/>
          <w:sz w:val="20"/>
        </w:rPr>
        <w:t>term beginning on January 1, 2021. During the three months ended March 31, 2022 and 2021</w:t>
      </w:r>
      <w:r>
        <w:rPr>
          <w:rFonts w:ascii="Times New Roman" w:hAnsi="Times New Roman"/>
          <w:sz w:val="20"/>
        </w:rPr>
        <w:t xml:space="preserve"> </w:t>
      </w:r>
      <w:r>
        <w:rPr>
          <w:rFonts w:ascii="Times New Roman" w:hAnsi="Times New Roman"/>
          <w:b w:val="false"/>
          <w:sz w:val="20"/>
        </w:rPr>
        <w:t>the Company recognized less than $0.1</w:t>
      </w:r>
      <w:r>
        <w:rPr>
          <w:rFonts w:ascii="Times New Roman" w:hAnsi="Times New Roman"/>
          <w:sz w:val="20"/>
        </w:rPr>
        <w:t xml:space="preserve"> </w:t>
      </w:r>
      <w:r>
        <w:rPr>
          <w:rFonts w:ascii="Times New Roman" w:hAnsi="Times New Roman"/>
          <w:b w:val="false"/>
          <w:sz w:val="20"/>
        </w:rPr>
        <w:t>million related to this consulting agreement, recorded as research and development expense in the Condensed Consolidated Statements of Operations.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During 2021, the Company purchased a piece of laboratory equipment and lab supplies for a cumulative $0.1</w:t>
      </w:r>
      <w:r>
        <w:rPr>
          <w:rFonts w:ascii="Times New Roman" w:hAnsi="Times New Roman"/>
          <w:sz w:val="20"/>
        </w:rPr>
        <w:t xml:space="preserve"> </w:t>
      </w:r>
      <w:r>
        <w:rPr>
          <w:rFonts w:ascii="Times New Roman" w:hAnsi="Times New Roman"/>
          <w:b w:val="false"/>
          <w:sz w:val="20"/>
        </w:rPr>
        <w:t>million from a supplier of which one of the Company's directors is also a current director.</w:t>
      </w:r>
    </w:p>
    <w:p>
      <w:pPr>
        <w:pStyle w:val="TextBody"/>
        <w:spacing w:lineRule="auto" w:line="273" w:before="120" w:after="0"/>
        <w:jc w:val="left"/>
        <w:rPr/>
      </w:pPr>
      <w:r>
        <w:rPr/>
        <w:t> </w:t>
      </w:r>
    </w:p>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9" w:name="item_2_managements_discussion_analysis_f"/>
      <w:bookmarkEnd w:id="9"/>
      <w:r>
        <w:rPr>
          <w:rFonts w:ascii="Times New Roman" w:hAnsi="Times New Roman"/>
          <w:b/>
          <w:sz w:val="20"/>
        </w:rPr>
        <w:t>Item 2. Management’s Discussion and Analysis of Financial Condition and Results of Operations</w:t>
      </w:r>
      <w:r>
        <w:rPr>
          <w:rFonts w:ascii="Times New Roman" w:hAnsi="Times New Roman"/>
          <w:sz w:val="20"/>
        </w:rPr>
        <w:t xml:space="preserve"> </w:t>
      </w:r>
    </w:p>
    <w:p>
      <w:pPr>
        <w:pStyle w:val="TextBody"/>
        <w:spacing w:lineRule="auto" w:line="273" w:before="120" w:after="0"/>
        <w:jc w:val="left"/>
        <w:rPr>
          <w:rFonts w:ascii="Times New Roman" w:hAnsi="Times New Roman"/>
          <w:b w:val="false"/>
          <w:i/>
          <w:sz w:val="20"/>
        </w:rPr>
      </w:pPr>
      <w:r>
        <w:rPr>
          <w:rFonts w:ascii="Times New Roman" w:hAnsi="Times New Roman"/>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2021 included in our Annual Report on Form 10-K filed with the Securities and Exchange Commission (“SEC”) on March 25, 2022.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Annual Report on Form 10-K filed with the SEC on March 25, 2022, in addition to the "Risk Factors" and “Forward-Looking Statements”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pStyle w:val="TextBody"/>
        <w:spacing w:lineRule="auto" w:line="273" w:before="240" w:after="0"/>
        <w:jc w:val="left"/>
        <w:rPr>
          <w:rFonts w:ascii="Times New Roman" w:hAnsi="Times New Roman"/>
          <w:sz w:val="20"/>
        </w:rPr>
      </w:pPr>
      <w:r>
        <w:rPr>
          <w:rFonts w:ascii="Times New Roman" w:hAnsi="Times New Roman"/>
          <w:b/>
          <w:sz w:val="20"/>
        </w:rPr>
        <w:t>Overview</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enough FXN due to a genetic abnormality. There is currently no effective therapy for FA.</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completed two Phase 1 clinical trials in patients with FA. We have received an orphan drug designation, fast track designation and rare pediatric disease designation, from the U.S. Food and Drug Administration (the "FDA") for CTI</w:t>
        <w:noBreakHyphen/>
        <w:t>1601. In addition, we received orphan drug designation for CTI-1601 from the European Commission and a Priority Medicines ("PRIME") designation from the European Medicines Agency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pStyle w:val="TextBody"/>
        <w:spacing w:lineRule="auto" w:line="273" w:before="240" w:after="0"/>
        <w:jc w:val="left"/>
        <w:rPr>
          <w:rFonts w:ascii="Times New Roman" w:hAnsi="Times New Roman"/>
          <w:b/>
          <w:sz w:val="20"/>
        </w:rPr>
      </w:pPr>
      <w:r>
        <w:rPr>
          <w:rFonts w:ascii="Times New Roman" w:hAnsi="Times New Roman"/>
          <w:b/>
          <w:sz w:val="20"/>
        </w:rPr>
        <w:t>CTI-1601 Program Update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On May 20, 2021 we announced that we had received an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pStyle w:val="TextBody"/>
        <w:spacing w:lineRule="auto" w:line="273" w:before="120" w:after="0"/>
        <w:jc w:val="left"/>
        <w:rPr>
          <w:rFonts w:ascii="Times New Roman" w:hAnsi="Times New Roman"/>
          <w:sz w:val="20"/>
        </w:rPr>
      </w:pPr>
      <w:r>
        <w:rPr>
          <w:rFonts w:ascii="Times New Roman" w:hAnsi="Times New Roman"/>
          <w:b w:val="false"/>
          <w:sz w:val="20"/>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would be expected in phenotypically normal heterozygous carriers. There were no serious adverse events ("SAEs") associated with either the MAD or SAD trials.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May 2021, the FDA placed a clinical hold on our CTI-1601 clinical program after we notified the agency of mortalities at the highest dose levels of the 26-week non-human primate toxicology study that was designed to support extended dosing of patients with CTI-1601. At the time the hold was placed, we had no interventional clinical trials with patients enrolling or enrolled. In February 2022, in response to the complete response we submitted to the FDA, the Agency stated that it was maintaining the clinical hold and that additional data are needed to resolve the clinical hold. We subsequently submitted a request for an FDA Type C meeting. This request was granted and is scheduled for early in the third quarter of 2022. Throughout the course of the interactions associated with the Type C meeting, we intend to work with the Agency to enable resolution of the clinical hold and to agree on the study design and timing of the next proposed clinical trial. We do not know when, or if the clinical hold will be lifted.</w:t>
      </w:r>
    </w:p>
    <w:p>
      <w:pPr>
        <w:pStyle w:val="TextBody"/>
        <w:spacing w:lineRule="auto" w:line="273" w:before="240" w:after="0"/>
        <w:jc w:val="left"/>
        <w:rPr>
          <w:rFonts w:ascii="Times New Roman" w:hAnsi="Times New Roman"/>
          <w:b/>
          <w:sz w:val="20"/>
        </w:rPr>
      </w:pPr>
      <w:r>
        <w:rPr>
          <w:rFonts w:ascii="Times New Roman" w:hAnsi="Times New Roman"/>
          <w:b/>
          <w:sz w:val="20"/>
        </w:rPr>
        <w:t>Financing Activities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funded our operating and capital requirements to date primarily with proceeds from sales of common stock and prefunded warrants for the purchase of common stock and, prior to our May 2020 merger with Zafgen, with capital contributions from Chondrial Holdings, LLC ("Holdings").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August 2020, we entered into an Equity Distribution Agreement ("the ATM Agreement") with an investment bank in connection with the establishment of an “at-the-market” offering program under which we could sell up to an aggregate of $50,000,000 of shares of our common stock from time to time through this investment bank as sales agent.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July 2021, we sold 2,342,720 shares pursuant to the ATM Agreement for net proceeds of $19.9 million, after issuance costs. As of May 10, 2022, $29.2 million of additional shares of common stock remained available for sale by us under the ATM Agreement.</w:t>
      </w:r>
    </w:p>
    <w:p>
      <w:pPr>
        <w:pStyle w:val="TextBody"/>
        <w:spacing w:lineRule="auto" w:line="273" w:before="240" w:after="0"/>
        <w:jc w:val="left"/>
        <w:rPr>
          <w:rFonts w:ascii="Times New Roman" w:hAnsi="Times New Roman"/>
          <w:b/>
          <w:sz w:val="20"/>
        </w:rPr>
      </w:pPr>
      <w:r>
        <w:rPr>
          <w:rFonts w:ascii="Times New Roman" w:hAnsi="Times New Roman"/>
          <w:b/>
          <w:sz w:val="20"/>
        </w:rPr>
        <w:t>COVID-19 Update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In March 2020, the World Health Organization ("WHO") declared the outbreak of COVID-19, a novel strain of Coronavirus, a global pandemic. The pandemic resulted in the temporary stoppage of our CTI-1601 Phase 1 clinical trials in patients with Friedreich’s ataxia in March 2020. In July 2020, we resumed these clinical trials, and have since completed both the SAD and MAD clinical trials. Since being discovered, new variants of COVID-19 have emerged, including the Omicron variant, the Alpha variant, the Beta variant, the Gamma variant, and the Delta variant.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Vaccines manufactured by Moderna, Pfizer and Johnson &amp; Johnson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has not reached the level required for herd immunity in some states, particularly in some regions of the country. Further, additional doses of vaccines have been and may be required in the future, and individuals may refuse or fail to receive one or more of such doses. The incidence of variants of COVID-19 has been increasing, particularly among unvaccinated individuals, and the Omicron variant has proven to be more easily spread than earlier variants.</w:t>
      </w:r>
    </w:p>
    <w:p>
      <w:pPr>
        <w:pStyle w:val="TextBody"/>
        <w:spacing w:lineRule="auto" w:line="273" w:before="120" w:after="0"/>
        <w:jc w:val="left"/>
        <w:rPr>
          <w:rFonts w:ascii="Times New Roman" w:hAnsi="Times New Roman"/>
          <w:sz w:val="20"/>
        </w:rPr>
      </w:pPr>
      <w:r>
        <w:rPr>
          <w:rFonts w:ascii="Times New Roman" w:hAnsi="Times New Roman"/>
          <w:b w:val="false"/>
          <w:sz w:val="20"/>
        </w:rPr>
        <w:t>The low vaccination rate, the spread of the variants and the evolution of additional mutations against which the current vaccines may prove ineffective could again result in major disruptions to businesses and markets worldwide. Furthermore, the incidence of "breakthrough" infections even among vaccinated individuals have been increasing, resulting in the need for booster doses which could make COVID-19 a long-term infectious disease concern. Our business, results of operations, financial condition and cash flows could be materially and adversely affected. Specifically, we could experience additional delays in future clinical trial timelines as a result of additional travel and hospital restrictions related to the COVID-19 pandemic and the efforts to mitigate it which may be imposed or could experience supply shortages or manufacturer shutdowns impacting the manufacture of drug</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substance or drug product, which could also impact clinical trial timelines. The financial statements do not reflect any adjustments as a result of the pandemic.</w:t>
      </w:r>
    </w:p>
    <w:p>
      <w:pPr>
        <w:pStyle w:val="TextBody"/>
        <w:spacing w:lineRule="auto" w:line="273" w:before="240" w:after="0"/>
        <w:jc w:val="left"/>
        <w:rPr>
          <w:rFonts w:ascii="Times New Roman" w:hAnsi="Times New Roman"/>
          <w:sz w:val="20"/>
        </w:rPr>
      </w:pPr>
      <w:r>
        <w:rPr>
          <w:rFonts w:ascii="Times New Roman" w:hAnsi="Times New Roman"/>
          <w:b/>
          <w:sz w:val="20"/>
        </w:rPr>
        <w:t>Financial Operations Overview</w:t>
      </w:r>
      <w:r>
        <w:rPr>
          <w:rFonts w:ascii="Times New Roman" w:hAnsi="Times New Roman"/>
          <w:sz w:val="20"/>
        </w:rPr>
        <w:t xml:space="preserve"> </w:t>
      </w:r>
    </w:p>
    <w:p>
      <w:pPr>
        <w:pStyle w:val="TextBody"/>
        <w:spacing w:lineRule="auto" w:line="261" w:before="120" w:after="0"/>
        <w:jc w:val="left"/>
        <w:rPr>
          <w:rFonts w:ascii="Times New Roman" w:hAnsi="Times New Roman"/>
          <w:sz w:val="20"/>
        </w:rPr>
      </w:pPr>
      <w:r>
        <w:rPr>
          <w:rFonts w:ascii="Times New Roman" w:hAnsi="Times New Roman"/>
          <w:b/>
          <w:i/>
          <w:sz w:val="20"/>
        </w:rPr>
        <w:t>Revenue</w:t>
      </w:r>
      <w:r>
        <w:rPr>
          <w:rFonts w:ascii="Times New Roman" w:hAnsi="Times New Roman"/>
          <w:sz w:val="20"/>
        </w:rPr>
        <w:t xml:space="preserve"> </w:t>
      </w:r>
    </w:p>
    <w:p>
      <w:pPr>
        <w:pStyle w:val="TextBody"/>
        <w:spacing w:lineRule="auto" w:line="261" w:before="120" w:after="0"/>
        <w:jc w:val="left"/>
        <w:rPr>
          <w:rFonts w:ascii="Times New Roman" w:hAnsi="Times New Roman"/>
          <w:b w:val="false"/>
          <w:sz w:val="20"/>
        </w:rPr>
      </w:pPr>
      <w:r>
        <w:rPr>
          <w:rFonts w:ascii="Times New Roman" w:hAnsi="Times New Roman"/>
          <w:b w:val="false"/>
          <w:sz w:val="20"/>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pStyle w:val="TextBody"/>
        <w:spacing w:lineRule="auto" w:line="273" w:before="240" w:after="0"/>
        <w:jc w:val="left"/>
        <w:rPr>
          <w:rFonts w:ascii="Times New Roman" w:hAnsi="Times New Roman"/>
          <w:sz w:val="20"/>
        </w:rPr>
      </w:pPr>
      <w:r>
        <w:rPr>
          <w:rFonts w:ascii="Times New Roman" w:hAnsi="Times New Roman"/>
          <w:b/>
          <w:i/>
          <w:sz w:val="20"/>
        </w:rPr>
        <w:t>Operating Expenses</w:t>
      </w:r>
      <w:r>
        <w:rPr>
          <w:rFonts w:ascii="Times New Roman" w:hAnsi="Times New Roman"/>
          <w:sz w:val="20"/>
        </w:rPr>
        <w:t xml:space="preserve"> </w:t>
      </w:r>
    </w:p>
    <w:p>
      <w:pPr>
        <w:pStyle w:val="TextBody"/>
        <w:spacing w:lineRule="auto" w:line="261" w:before="120" w:after="0"/>
        <w:jc w:val="left"/>
        <w:rPr>
          <w:rFonts w:ascii="Times New Roman" w:hAnsi="Times New Roman"/>
          <w:sz w:val="20"/>
        </w:rPr>
      </w:pPr>
      <w:r>
        <w:rPr>
          <w:rFonts w:ascii="Times New Roman" w:hAnsi="Times New Roman"/>
          <w:b w:val="false"/>
          <w:sz w:val="20"/>
        </w:rPr>
        <w:t>The majority of our operating expenses since inception have consisted primarily of research and development activities, and general and administrative costs.</w:t>
      </w:r>
      <w:r>
        <w:rPr>
          <w:rFonts w:ascii="Times New Roman" w:hAnsi="Times New Roman"/>
          <w:sz w:val="20"/>
        </w:rPr>
        <w:t xml:space="preserve"> </w:t>
      </w:r>
    </w:p>
    <w:p>
      <w:pPr>
        <w:pStyle w:val="TextBody"/>
        <w:spacing w:lineRule="auto" w:line="261" w:before="240" w:after="0"/>
        <w:jc w:val="left"/>
        <w:rPr>
          <w:rFonts w:ascii="Times New Roman" w:hAnsi="Times New Roman"/>
          <w:sz w:val="20"/>
        </w:rPr>
      </w:pPr>
      <w:r>
        <w:rPr>
          <w:rFonts w:ascii="Times New Roman" w:hAnsi="Times New Roman"/>
          <w:b w:val="false"/>
          <w:i/>
          <w:sz w:val="20"/>
        </w:rPr>
        <w:t>Research and Development Expenses</w:t>
      </w:r>
      <w:r>
        <w:rPr>
          <w:rFonts w:ascii="Times New Roman" w:hAnsi="Times New Roman"/>
          <w:sz w:val="20"/>
        </w:rPr>
        <w:t xml:space="preserve"> </w:t>
      </w:r>
    </w:p>
    <w:p>
      <w:pPr>
        <w:pStyle w:val="TextBody"/>
        <w:spacing w:lineRule="auto" w:line="261" w:before="120" w:after="0"/>
        <w:jc w:val="left"/>
        <w:rPr>
          <w:rFonts w:ascii="Times New Roman" w:hAnsi="Times New Roman"/>
          <w:b w:val="false"/>
          <w:sz w:val="20"/>
        </w:rPr>
      </w:pPr>
      <w:r>
        <w:rPr>
          <w:rFonts w:ascii="Times New Roman" w:hAnsi="Times New Roman"/>
          <w:b w:val="false"/>
          <w:sz w:val="20"/>
        </w:rPr>
        <w:t>Research and development expenses, which consist primarily of costs associated with our product research and development efforts, are expensed as incurred. Research and development expenses consist primarily of:</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third-party contract costs relating to research, formulation, manufacturing, non-clinical studies, and clinical trial activities;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employee related costs, including salaries, benefits and stock-based compensation expenses for employees engaged in scientific research and development functions;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external costs of outside consultants and vendors;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payments made under our third-party licensing agreements;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sponsored research agreements;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laboratory consumables;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 xml:space="preserve">allocated facility-related costs. </w:t>
      </w:r>
    </w:p>
    <w:p>
      <w:pPr>
        <w:pStyle w:val="TextBody"/>
        <w:spacing w:lineRule="auto" w:line="261" w:before="120" w:after="0"/>
        <w:jc w:val="left"/>
        <w:rPr>
          <w:rFonts w:ascii="Times New Roman" w:hAnsi="Times New Roman"/>
          <w:b w:val="false"/>
          <w:sz w:val="20"/>
        </w:rPr>
      </w:pPr>
      <w:r>
        <w:rPr>
          <w:rFonts w:ascii="Times New Roman" w:hAnsi="Times New Roman"/>
          <w:b w:val="false"/>
          <w:sz w:val="20"/>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At this time, we cannot reasonably estimate or know the nature, timing and estimated costs of the efforts that will be necessary to complete the clinical and commercial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scope, rate of progress and expense of clinical trials and other research and development activities, including the ongoing impact of COVID-19 on these activities;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clinical trial results;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uncertainties in clinical trial enrollment rate or design;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significant and changing government regulation;</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timing and receipt of any regulatory approvals;</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the influence of the FDA’s or other regulatory authority’s on our clinical trial design and timing;</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the impact of the on-going COVID-19 pandemic including the mutations of the original virus that may prove more contagious and deadly; </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our ability to obtain and maintain patent and trade secret protection and regulatory exclusivity for our product candidates;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our ability to recruit and retain key research and development personnel.</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pStyle w:val="TextBody"/>
        <w:spacing w:lineRule="auto" w:line="273" w:before="240" w:after="0"/>
        <w:jc w:val="left"/>
        <w:rPr>
          <w:rFonts w:ascii="Times New Roman" w:hAnsi="Times New Roman"/>
          <w:sz w:val="20"/>
        </w:rPr>
      </w:pPr>
      <w:r>
        <w:rPr>
          <w:rFonts w:ascii="Times New Roman" w:hAnsi="Times New Roman"/>
          <w:b w:val="false"/>
          <w:i/>
          <w:sz w:val="20"/>
        </w:rPr>
        <w:t>General and Administrative Expenses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r>
        <w:rPr>
          <w:rFonts w:ascii="Times New Roman" w:hAnsi="Times New Roman"/>
          <w:b/>
          <w:sz w:val="20"/>
        </w:rPr>
        <w:t>Critical Accounting Policies and Significant Judgments and Estimates</w:t>
      </w:r>
    </w:p>
    <w:p>
      <w:pPr>
        <w:pStyle w:val="TextBody"/>
        <w:spacing w:lineRule="auto" w:line="247" w:before="120" w:after="0"/>
        <w:jc w:val="left"/>
        <w:rPr>
          <w:rFonts w:ascii="Times New Roman" w:hAnsi="Times New Roman"/>
          <w:sz w:val="20"/>
        </w:rPr>
      </w:pPr>
      <w:r>
        <w:rPr>
          <w:rFonts w:ascii="Times New Roman" w:hAnsi="Times New Roman"/>
          <w:b w:val="false"/>
          <w:sz w:val="20"/>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r>
        <w:rPr>
          <w:rFonts w:ascii="Times New Roman" w:hAnsi="Times New Roman"/>
          <w:sz w:val="20"/>
        </w:rPr>
        <w:t xml:space="preserve"> </w:t>
      </w:r>
    </w:p>
    <w:p>
      <w:pPr>
        <w:pStyle w:val="TextBody"/>
        <w:spacing w:lineRule="auto" w:line="247" w:before="240" w:after="0"/>
        <w:jc w:val="left"/>
        <w:rPr>
          <w:rFonts w:ascii="Times New Roman" w:hAnsi="Times New Roman"/>
          <w:b/>
          <w:i/>
          <w:sz w:val="20"/>
        </w:rPr>
      </w:pPr>
      <w:r>
        <w:rPr>
          <w:rFonts w:ascii="Times New Roman" w:hAnsi="Times New Roman"/>
          <w:b/>
          <w:i/>
          <w:sz w:val="20"/>
        </w:rPr>
        <w:t>Research and Development Expenses</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As part of the process of preparing our condensed consolidated financial statements, we are required to estimate our accrued research and development expenses and evaluate payments made to vendors in advance of actual work activities being performed.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CROs, in connection with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vendors in connection with non-clinical development activities;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xml:space="preserve">contract manufacturing organizations in connection with the production of non-clinical and clinical trial materials; and </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vendors related to product candidate manufacturing, development, and distribution of clinical supplies.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47" w:before="120" w:after="0"/>
        <w:jc w:val="left"/>
        <w:rPr>
          <w:rFonts w:ascii="Times New Roman" w:hAnsi="Times New Roman"/>
          <w:b w:val="false"/>
          <w:sz w:val="20"/>
        </w:rPr>
      </w:pPr>
      <w:r>
        <w:rPr>
          <w:rFonts w:ascii="Times New Roman" w:hAnsi="Times New Roman"/>
          <w:b w:val="false"/>
          <w:sz w:val="20"/>
        </w:rPr>
        <w:t>We base our expenses related to clinical trials on our estimates of the services received and efforts expended pursuant to contracts with multiple 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In accruing CMO costs, we estimate the time period that manufacturing will be completed, the achievement of milestones and the percentage of completion of each specific CMO agreement. If the actual timing of the performance of services or the level of effort varies from our estimate, we adjust the accrual or 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pStyle w:val="TextBody"/>
        <w:spacing w:lineRule="auto" w:line="273" w:before="240" w:after="0"/>
        <w:jc w:val="left"/>
        <w:rPr>
          <w:rFonts w:ascii="Times New Roman" w:hAnsi="Times New Roman"/>
          <w:sz w:val="20"/>
        </w:rPr>
      </w:pPr>
      <w:r>
        <w:rPr>
          <w:rFonts w:ascii="Times New Roman" w:hAnsi="Times New Roman"/>
          <w:b/>
          <w:sz w:val="20"/>
        </w:rPr>
        <w:t>Stock-Based Compensation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measure all stock-based awards granted to employees, non-employee consultants and directors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pStyle w:val="TextBody"/>
        <w:spacing w:lineRule="auto" w:line="273" w:before="240" w:after="0"/>
        <w:jc w:val="left"/>
        <w:rPr>
          <w:rFonts w:ascii="Times New Roman" w:hAnsi="Times New Roman"/>
          <w:sz w:val="20"/>
        </w:rPr>
      </w:pPr>
      <w:r>
        <w:rPr>
          <w:rFonts w:ascii="Times New Roman" w:hAnsi="Times New Roman"/>
          <w:b/>
          <w:sz w:val="20"/>
        </w:rPr>
        <w:t>Results of Operations</w:t>
      </w:r>
      <w:r>
        <w:rPr>
          <w:rFonts w:ascii="Times New Roman" w:hAnsi="Times New Roman"/>
          <w:sz w:val="20"/>
        </w:rPr>
        <w:t xml:space="preserve"> </w:t>
      </w:r>
    </w:p>
    <w:p>
      <w:pPr>
        <w:pStyle w:val="TextBody"/>
        <w:spacing w:lineRule="auto" w:line="273" w:before="120" w:after="0"/>
        <w:jc w:val="left"/>
        <w:rPr>
          <w:rFonts w:ascii="Times New Roman" w:hAnsi="Times New Roman"/>
          <w:b/>
          <w:i/>
          <w:sz w:val="20"/>
        </w:rPr>
      </w:pPr>
      <w:r>
        <w:rPr>
          <w:rFonts w:ascii="Times New Roman" w:hAnsi="Times New Roman"/>
          <w:b/>
          <w:i/>
          <w:sz w:val="20"/>
        </w:rPr>
        <w:t>Comparison of three months ended March 31, 2022 and 2021</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The following table summarizes our results of operations for the three months ended March 31, 2022 and 2021:</w:t>
      </w:r>
    </w:p>
    <w:p>
      <w:pPr>
        <w:pStyle w:val="TextBody"/>
        <w:spacing w:lineRule="auto" w:line="273" w:before="0" w:after="0"/>
        <w:jc w:val="left"/>
        <w:rPr/>
      </w:pPr>
      <w:r>
        <w:rPr/>
        <w:t> </w:t>
      </w:r>
    </w:p>
    <w:tbl>
      <w:tblPr>
        <w:tblW w:w="6511" w:type="dxa"/>
        <w:jc w:val="left"/>
        <w:tblInd w:w="0" w:type="dxa"/>
        <w:tblCellMar>
          <w:top w:w="28" w:type="dxa"/>
          <w:left w:w="28" w:type="dxa"/>
          <w:bottom w:w="28" w:type="dxa"/>
          <w:right w:w="28" w:type="dxa"/>
        </w:tblCellMar>
      </w:tblPr>
      <w:tblGrid>
        <w:gridCol w:w="2671"/>
        <w:gridCol w:w="146"/>
        <w:gridCol w:w="211"/>
        <w:gridCol w:w="631"/>
        <w:gridCol w:w="166"/>
        <w:gridCol w:w="146"/>
        <w:gridCol w:w="211"/>
        <w:gridCol w:w="736"/>
        <w:gridCol w:w="166"/>
        <w:gridCol w:w="146"/>
        <w:gridCol w:w="218"/>
        <w:gridCol w:w="652"/>
        <w:gridCol w:w="411"/>
      </w:tblGrid>
      <w:tr>
        <w:trPr/>
        <w:tc>
          <w:tcPr>
            <w:tcW w:w="2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83"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0" w:type="dxa"/>
            <w:gridSpan w:val="2"/>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Increase</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2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(Decrease)</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83" w:type="dxa"/>
            <w:gridSpan w:val="10"/>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411" w:type="dxa"/>
            <w:tcBorders/>
            <w:shd w:fill="auto" w:val="clear"/>
            <w:vAlign w:val="center"/>
          </w:tcPr>
          <w:p>
            <w:pPr>
              <w:pStyle w:val="TableContents"/>
              <w:spacing w:lineRule="auto" w:line="252" w:before="0" w:after="0"/>
              <w:ind w:left="0" w:right="0" w:hanging="0"/>
              <w:jc w:val="center"/>
              <w:rPr/>
            </w:pPr>
            <w:r>
              <w:rPr/>
              <w:t> </w:t>
            </w:r>
          </w:p>
        </w:tc>
      </w:tr>
      <w:tr>
        <w:trPr/>
        <w:tc>
          <w:tcPr>
            <w:tcW w:w="2671" w:type="dxa"/>
            <w:tcBorders/>
            <w:shd w:fill="auto" w:val="clear"/>
            <w:vAlign w:val="center"/>
          </w:tcPr>
          <w:p>
            <w:pPr>
              <w:pStyle w:val="TableContents"/>
              <w:spacing w:lineRule="auto" w:line="252" w:before="0" w:after="0"/>
              <w:ind w:left="0" w:right="0" w:hanging="0"/>
              <w:jc w:val="left"/>
              <w:rPr>
                <w:rFonts w:ascii="Times New Roman" w:hAnsi="Times New Roman"/>
                <w:b/>
                <w:sz w:val="20"/>
              </w:rPr>
            </w:pPr>
            <w:r>
              <w:rPr>
                <w:rFonts w:ascii="Times New Roman" w:hAnsi="Times New Roman"/>
                <w:b/>
                <w:sz w:val="20"/>
              </w:rPr>
              <w:t>Statement of Operations Data: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0"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hanging="0"/>
              <w:jc w:val="right"/>
              <w:rPr/>
            </w:pPr>
            <w:r>
              <w:rPr/>
              <w:t> </w:t>
            </w:r>
          </w:p>
        </w:tc>
      </w:tr>
      <w:tr>
        <w:trPr/>
        <w:tc>
          <w:tcPr>
            <w:tcW w:w="26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4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70" w:type="dxa"/>
            <w:gridSpan w:val="2"/>
            <w:tcBorders/>
            <w:shd w:fill="auto" w:val="clear"/>
            <w:vAlign w:val="center"/>
          </w:tcPr>
          <w:p>
            <w:pPr>
              <w:pStyle w:val="TableContents"/>
              <w:spacing w:lineRule="auto" w:line="252" w:before="0" w:after="0"/>
              <w:ind w:left="0" w:right="0" w:hanging="0"/>
              <w:jc w:val="right"/>
              <w:rPr/>
            </w:pPr>
            <w:r>
              <w:rPr/>
              <w:t> </w:t>
            </w:r>
          </w:p>
        </w:tc>
        <w:tc>
          <w:tcPr>
            <w:tcW w:w="411" w:type="dxa"/>
            <w:tcBorders/>
            <w:shd w:fill="auto" w:val="clear"/>
            <w:vAlign w:val="center"/>
          </w:tcPr>
          <w:p>
            <w:pPr>
              <w:pStyle w:val="TableContents"/>
              <w:spacing w:lineRule="auto" w:line="252" w:before="0" w:after="0"/>
              <w:ind w:left="0" w:right="0" w:firstLine="200"/>
              <w:jc w:val="right"/>
              <w:rPr/>
            </w:pPr>
            <w:r>
              <w:rPr/>
              <w:t> </w:t>
            </w:r>
          </w:p>
        </w:tc>
      </w:tr>
      <w:tr>
        <w:trPr/>
        <w:tc>
          <w:tcPr>
            <w:tcW w:w="2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5,806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218"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5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(3,168</w:t>
            </w:r>
          </w:p>
        </w:tc>
        <w:tc>
          <w:tcPr>
            <w:tcW w:w="411" w:type="dxa"/>
            <w:tcBorders/>
            <w:shd w:fill="auto" w:val="clear"/>
            <w:vAlign w:val="center"/>
          </w:tcPr>
          <w:p>
            <w:pPr>
              <w:pStyle w:val="TableContents"/>
              <w:spacing w:lineRule="auto" w:line="252" w:before="0" w:after="0"/>
              <w:ind w:left="0" w:right="0" w:firstLine="200"/>
              <w:jc w:val="left"/>
              <w:rPr>
                <w:rFonts w:ascii="Times New Roman" w:hAnsi="Times New Roman"/>
                <w:b w:val="false"/>
                <w:sz w:val="20"/>
              </w:rPr>
            </w:pPr>
            <w:r>
              <w:rPr>
                <w:rFonts w:ascii="Times New Roman" w:hAnsi="Times New Roman"/>
                <w:b w:val="false"/>
                <w:sz w:val="20"/>
              </w:rPr>
              <w:t>)</w:t>
            </w:r>
          </w:p>
        </w:tc>
      </w:tr>
      <w:tr>
        <w:trPr/>
        <w:tc>
          <w:tcPr>
            <w:tcW w:w="2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3,081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3,132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(51</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8,887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(3,219</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(8,887</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36"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(12,106</w:t>
            </w:r>
          </w:p>
        </w:tc>
        <w:tc>
          <w:tcPr>
            <w:tcW w:w="16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 w:type="dxa"/>
            <w:tcBorders/>
            <w:shd w:fill="auto" w:val="clear"/>
            <w:vAlign w:val="center"/>
          </w:tcPr>
          <w:p>
            <w:pPr>
              <w:pStyle w:val="TableContents"/>
              <w:spacing w:lineRule="auto" w:line="252" w:before="0" w:after="0"/>
              <w:ind w:left="0" w:right="0" w:hanging="0"/>
              <w:jc w:val="left"/>
              <w:rPr/>
            </w:pPr>
            <w:r>
              <w:rPr/>
              <w:t> </w:t>
            </w:r>
          </w:p>
        </w:tc>
        <w:tc>
          <w:tcPr>
            <w:tcW w:w="652"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3,219</w:t>
            </w:r>
          </w:p>
        </w:tc>
        <w:tc>
          <w:tcPr>
            <w:tcW w:w="411" w:type="dxa"/>
            <w:tcBorders/>
            <w:shd w:fill="auto" w:val="clear"/>
            <w:vAlign w:val="center"/>
          </w:tcPr>
          <w:p>
            <w:pPr>
              <w:pStyle w:val="TableContents"/>
              <w:spacing w:lineRule="auto" w:line="252" w:before="0" w:after="0"/>
              <w:ind w:left="0" w:right="0" w:firstLine="200"/>
              <w:jc w:val="left"/>
              <w:rPr/>
            </w:pPr>
            <w:r>
              <w:rPr/>
              <w:t> </w:t>
            </w:r>
          </w:p>
        </w:tc>
      </w:tr>
      <w:tr>
        <w:trPr/>
        <w:tc>
          <w:tcPr>
            <w:tcW w:w="2671" w:type="dxa"/>
            <w:tcBorders/>
            <w:shd w:fill="auto" w:val="clear"/>
            <w:vAlign w:val="center"/>
          </w:tcPr>
          <w:p>
            <w:pPr>
              <w:pStyle w:val="TableContents"/>
              <w:spacing w:lineRule="auto" w:line="252" w:before="0" w:after="0"/>
              <w:ind w:left="20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(74</w:t>
            </w:r>
          </w:p>
        </w:tc>
        <w:tc>
          <w:tcPr>
            <w:tcW w:w="4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67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(8,943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(12,088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6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3,145</w:t>
            </w:r>
          </w:p>
        </w:tc>
        <w:tc>
          <w:tcPr>
            <w:tcW w:w="4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4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Research and development expenses for the three months ended March 31, 2022 decreased $3.2 million compared to the three months ended March 31, 2021. The decrease in research and development expenses as</w:t>
      </w:r>
      <w:r>
        <w:rPr>
          <w:rFonts w:ascii="Times New Roman" w:hAnsi="Times New Roman"/>
          <w:sz w:val="20"/>
        </w:rPr>
        <w:t xml:space="preserve">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compared to the prior year period was primarily driven by lower clinical supply manufacturing costs of $2.2 million and a decrease of $1.9 million in clinical trial costs, partially offset by an increase of $0.3 million in personnel related costs due to headcount additions in our research and development functions, higher non-clinical costs of $0.2 million, an increase of $0.2 million in professional fees primarily related to consulting services and an increase of $0.2 million in stock-based compensation expense associated with stock option grants made in 2021 and 2022.</w:t>
      </w:r>
    </w:p>
    <w:p>
      <w:pPr>
        <w:pStyle w:val="TextBody"/>
        <w:spacing w:lineRule="auto" w:line="273" w:before="24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General and administrative expenses for the three months ended March 31, 2022 decreased $0.1 million compared to the three months ended March 31, 2021. The decrease in general and administrative expenses as compared to the prior year period was primarily driven by a decrease of $0.3 million in professional fees primarily associated with reduced recruiting and consulting services performed in the three months ended March 31, 2022 compared to the three months ended March 31, 2021, partially offset by an increase of $0.2 million in stock-based compensation expense associated with stock option grants made in 2021 and 2022 and an increase of $0.1 million in personnel related costs due to salary adjustments made in the three months ended March 31, 2022.</w:t>
      </w:r>
    </w:p>
    <w:p>
      <w:pPr>
        <w:pStyle w:val="TextBody"/>
        <w:spacing w:lineRule="auto" w:line="273" w:before="240" w:after="0"/>
        <w:jc w:val="left"/>
        <w:rPr>
          <w:rFonts w:ascii="Times New Roman" w:hAnsi="Times New Roman"/>
          <w:sz w:val="20"/>
        </w:rPr>
      </w:pPr>
      <w:r>
        <w:rPr>
          <w:rFonts w:ascii="Times New Roman" w:hAnsi="Times New Roman"/>
          <w:b/>
          <w:sz w:val="20"/>
        </w:rPr>
        <w:t>Liquidity and Capital Resources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pStyle w:val="TextBody"/>
        <w:spacing w:lineRule="auto" w:line="273" w:before="240" w:after="0"/>
        <w:jc w:val="left"/>
        <w:rPr>
          <w:rFonts w:ascii="Times New Roman" w:hAnsi="Times New Roman"/>
          <w:b/>
          <w:i/>
          <w:sz w:val="20"/>
        </w:rPr>
      </w:pPr>
      <w:r>
        <w:rPr>
          <w:rFonts w:ascii="Times New Roman" w:hAnsi="Times New Roman"/>
          <w:b/>
          <w:i/>
          <w:sz w:val="20"/>
        </w:rPr>
        <w:t>Cash Flows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following table summarizes our sources and uses of cash for each of the periods presented below:</w:t>
      </w:r>
    </w:p>
    <w:p>
      <w:pPr>
        <w:pStyle w:val="TextBody"/>
        <w:spacing w:lineRule="auto" w:line="273" w:before="0" w:after="0"/>
        <w:jc w:val="left"/>
        <w:rPr/>
      </w:pPr>
      <w:r>
        <w:rPr/>
        <w:t> </w:t>
      </w:r>
    </w:p>
    <w:tbl>
      <w:tblPr>
        <w:tblW w:w="7467" w:type="dxa"/>
        <w:jc w:val="left"/>
        <w:tblInd w:w="0" w:type="dxa"/>
        <w:tblCellMar>
          <w:top w:w="28" w:type="dxa"/>
          <w:left w:w="28" w:type="dxa"/>
          <w:bottom w:w="28" w:type="dxa"/>
          <w:right w:w="28" w:type="dxa"/>
        </w:tblCellMar>
      </w:tblPr>
      <w:tblGrid>
        <w:gridCol w:w="4711"/>
        <w:gridCol w:w="146"/>
        <w:gridCol w:w="241"/>
        <w:gridCol w:w="721"/>
        <w:gridCol w:w="189"/>
        <w:gridCol w:w="166"/>
        <w:gridCol w:w="241"/>
        <w:gridCol w:w="841"/>
        <w:gridCol w:w="211"/>
      </w:tblGrid>
      <w:tr>
        <w:trPr/>
        <w:tc>
          <w:tcPr>
            <w:tcW w:w="4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2022</w:t>
            </w:r>
          </w:p>
        </w:tc>
        <w:tc>
          <w:tcPr>
            <w:tcW w:w="1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0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99" w:type="dxa"/>
            <w:gridSpan w:val="6"/>
            <w:tcBorders/>
            <w:shd w:fill="auto" w:val="clear"/>
            <w:vAlign w:val="center"/>
          </w:tcPr>
          <w:p>
            <w:pPr>
              <w:pStyle w:val="TableContents"/>
              <w:spacing w:lineRule="auto" w:line="252" w:before="0" w:after="0"/>
              <w:ind w:left="0" w:right="0" w:hanging="0"/>
              <w:jc w:val="center"/>
              <w:rPr>
                <w:rFonts w:ascii="Times New Roman" w:hAnsi="Times New Roman"/>
                <w:b/>
                <w:sz w:val="16"/>
              </w:rPr>
            </w:pPr>
            <w:r>
              <w:rPr>
                <w:rFonts w:ascii="Times New Roman" w:hAnsi="Times New Roman"/>
                <w:b/>
                <w:sz w:val="16"/>
              </w:rPr>
              <w:t>(in thousands)</w:t>
            </w:r>
          </w:p>
        </w:tc>
        <w:tc>
          <w:tcPr>
            <w:tcW w:w="211" w:type="dxa"/>
            <w:tcBorders/>
            <w:shd w:fill="auto" w:val="clear"/>
            <w:vAlign w:val="center"/>
          </w:tcPr>
          <w:p>
            <w:pPr>
              <w:pStyle w:val="TableContents"/>
              <w:spacing w:lineRule="auto" w:line="252" w:before="0" w:after="0"/>
              <w:ind w:left="0" w:right="0" w:hanging="0"/>
              <w:jc w:val="center"/>
              <w:rPr/>
            </w:pPr>
            <w:r>
              <w:rPr/>
              <w:t> </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2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(7,533</w:t>
            </w:r>
          </w:p>
        </w:tc>
        <w:tc>
          <w:tcPr>
            <w:tcW w:w="189"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(11,206</w:t>
            </w:r>
          </w:p>
        </w:tc>
        <w:tc>
          <w:tcPr>
            <w:tcW w:w="2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pPr>
            <w:r>
              <w:rPr/>
              <w:t> </w:t>
            </w:r>
          </w:p>
        </w:tc>
        <w:tc>
          <w:tcPr>
            <w:tcW w:w="721" w:type="dxa"/>
            <w:tcBorders/>
            <w:shd w:fill="auto" w:val="clear"/>
            <w:vAlign w:val="center"/>
          </w:tcPr>
          <w:p>
            <w:pPr>
              <w:pStyle w:val="TableContents"/>
              <w:spacing w:lineRule="auto" w:line="252" w:before="0" w:after="0"/>
              <w:ind w:left="0" w:right="0" w:hanging="0"/>
              <w:jc w:val="right"/>
              <w:rPr/>
            </w:pPr>
            <w:r>
              <w:rPr/>
              <w:t>—</w:t>
            </w:r>
          </w:p>
        </w:tc>
        <w:tc>
          <w:tcPr>
            <w:tcW w:w="189"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1" w:type="dxa"/>
            <w:tcBorders/>
            <w:shd w:fill="auto" w:val="clear"/>
            <w:vAlign w:val="center"/>
          </w:tcPr>
          <w:p>
            <w:pPr>
              <w:pStyle w:val="TableContents"/>
              <w:spacing w:lineRule="auto" w:line="252" w:before="0" w:after="0"/>
              <w:ind w:left="0" w:right="0" w:hanging="0"/>
              <w:jc w:val="left"/>
              <w:rPr/>
            </w:pPr>
            <w:r>
              <w:rPr/>
              <w:t> </w:t>
            </w:r>
          </w:p>
        </w:tc>
        <w:tc>
          <w:tcPr>
            <w:tcW w:w="841" w:type="dxa"/>
            <w:tcBorders/>
            <w:shd w:fill="auto" w:val="cle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5,251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cash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8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71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Net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(7,533</w:t>
            </w:r>
          </w:p>
        </w:tc>
        <w:tc>
          <w:tcPr>
            <w:tcW w:w="18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Times New Roman" w:hAnsi="Times New Roman"/>
                <w:b w:val="false"/>
                <w:sz w:val="20"/>
              </w:rPr>
            </w:pPr>
            <w:r>
              <w:rPr>
                <w:rFonts w:ascii="Times New Roman" w:hAnsi="Times New Roman"/>
                <w:b w:val="false"/>
                <w:sz w:val="20"/>
              </w:rPr>
              <w:t>(5,955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273" w:before="240" w:after="0"/>
        <w:jc w:val="left"/>
        <w:rPr>
          <w:rFonts w:ascii="Times New Roman" w:hAnsi="Times New Roman"/>
          <w:sz w:val="20"/>
        </w:rPr>
      </w:pPr>
      <w:r>
        <w:rPr>
          <w:rFonts w:ascii="Times New Roman" w:hAnsi="Times New Roman"/>
          <w:b/>
          <w:i/>
          <w:sz w:val="20"/>
        </w:rPr>
        <w:t>Net cash used in operating activities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three months ended March 31, 2022, operating activities used $7.5 million of cash, resulting from our net loss of $8.9 million, adjusted for noncash expenses of $1.7 million and changes in our operating assets and liabilities of $0.3 million. Our net loss was primarily attributed to research and development activities related to our CTI-1601 program and our general and administrative expenses as described above. Noncash expenses primarily include stock-based compensation expense. The change in operating assets and liabilities was primarily due to a decrease in accrued expenses and offset by an increase in accounts payable and prepaid expenses.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three months ended March 31, 2021, operating activities used $11.2 million of cash, resulting from our net loss of $12.1 million, adjusted for noncash expenses of $1.2 million and changes in our operating assets and liabilities of $0.4 million. Our net loss was primarily attributed to research and development activities related to our CTI-1601 program and our general and administrative expenses as described above. Noncash expenses primarily include stock-based compensation expense. The change in operating assets and liabilities was primarily due to a decrease in accrued expenses and offset by an increase in accounts payable and prepaid expenses due to the growth in our operating activities.</w:t>
      </w:r>
    </w:p>
    <w:p>
      <w:pPr>
        <w:pStyle w:val="TextBody"/>
        <w:spacing w:lineRule="auto" w:line="273" w:before="240" w:after="0"/>
        <w:jc w:val="left"/>
        <w:rPr>
          <w:rFonts w:ascii="Times New Roman" w:hAnsi="Times New Roman"/>
          <w:b/>
          <w:i/>
          <w:sz w:val="20"/>
        </w:rPr>
      </w:pPr>
      <w:r>
        <w:rPr>
          <w:rFonts w:ascii="Times New Roman" w:hAnsi="Times New Roman"/>
          <w:b/>
          <w:i/>
          <w:sz w:val="20"/>
        </w:rPr>
        <w:t>Net cash provided by investing activities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three months ended March 31, 2022, there were no investing activities.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three months ended March 31, 2021, investing activities provided $5.3 million of cash, resulting from a $7.0 million increase from maturities of marketable debt securities, which was partially offset by $1.7 million in purchases of new marketable debt securities.</w:t>
      </w:r>
    </w:p>
    <w:p>
      <w:pPr>
        <w:pStyle w:val="TextBody"/>
        <w:spacing w:lineRule="auto" w:line="273" w:before="240" w:after="0"/>
        <w:jc w:val="left"/>
        <w:rPr>
          <w:rFonts w:ascii="Times New Roman" w:hAnsi="Times New Roman"/>
          <w:sz w:val="20"/>
        </w:rPr>
      </w:pPr>
      <w:r>
        <w:rPr>
          <w:rFonts w:ascii="Times New Roman" w:hAnsi="Times New Roman"/>
          <w:b/>
          <w:i/>
          <w:sz w:val="20"/>
        </w:rPr>
        <w:t>Net cash provided by financing activities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During the three months ended March 31, 2022 and 2021 there were no financing activities.</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rFonts w:ascii="Times New Roman" w:hAnsi="Times New Roman"/>
          <w:b/>
          <w:sz w:val="20"/>
        </w:rPr>
      </w:pPr>
      <w:r>
        <w:rPr>
          <w:rFonts w:ascii="Times New Roman" w:hAnsi="Times New Roman"/>
          <w:b/>
          <w:sz w:val="20"/>
        </w:rPr>
        <w:t>Operating Capital Requirements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not yet commercialized any products and do not expect to generate revenue from the commercial sale of any products for several years, if at all.</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have to date incurred net losses. We incurred net losses of approximately $8.9 million and $12.1 million for the three months ended March 31, 2022 and 2021, respectively. As of March 31, 2022, we had an accumulated deficit of $125.2 million and cash and cash equivalents of $62.6 million, excluding restricted cash of $1.3 million.</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continue to advance the development of CTI-1601 through additional clinical trials;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seek to identify and advance development of additional product candidates into clinical development and identify additional indications for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seek to obtain regulatory approvals for our product candidates;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identify, acquire or in-license other product candidates and technologies;</w:t>
      </w:r>
    </w:p>
    <w:p>
      <w:pPr>
        <w:pStyle w:val="TextBody"/>
        <w:spacing w:lineRule="auto" w:line="273" w:before="120" w:after="0"/>
        <w:jc w:val="left"/>
        <w:rPr/>
      </w:pPr>
      <w:r>
        <w:rPr/>
        <w:t>•</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maintain, leverage and expand our intellectual property portfolio; and</w:t>
      </w:r>
    </w:p>
    <w:p>
      <w:pPr>
        <w:pStyle w:val="TextBody"/>
        <w:spacing w:lineRule="auto" w:line="273" w:before="120" w:after="0"/>
        <w:jc w:val="left"/>
        <w:rPr/>
      </w:pPr>
      <w:r>
        <w:rPr/>
        <w:t>•</w:t>
      </w:r>
    </w:p>
    <w:p>
      <w:pPr>
        <w:pStyle w:val="TextBody"/>
        <w:spacing w:lineRule="auto" w:line="273" w:before="120" w:after="283"/>
        <w:jc w:val="left"/>
        <w:rPr>
          <w:rFonts w:ascii="Times New Roman" w:hAnsi="Times New Roman"/>
          <w:b w:val="false"/>
          <w:sz w:val="20"/>
        </w:rPr>
      </w:pPr>
      <w:r>
        <w:rPr>
          <w:rFonts w:ascii="Times New Roman" w:hAnsi="Times New Roman"/>
          <w:b w:val="false"/>
          <w:sz w:val="20"/>
        </w:rPr>
        <w:t>expand our operational, financial, commercial and management systems and personnel, including personnel to support our clinical development and future commercialization efforts and our operations as a public company.</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believe that based on our current operating plan our cash and cash equivalents will be able fund operating expenses and capital expenditure requirements for at least the next twelve months.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unrest including the potential impact of the Russian invasion of Ukraine and the possibility that the conflict could expand beyond eastern Europe, the impact of the COVID-19 pandemic and/or other health crises on the global financial markets may reduce our ability to access capital, which could negatively affect our liquidity and ability to continue as a going concern.</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spacing w:lineRule="auto" w:line="247" w:before="240" w:after="0"/>
        <w:jc w:val="left"/>
        <w:rPr>
          <w:rFonts w:ascii="Times New Roman" w:hAnsi="Times New Roman"/>
          <w:sz w:val="20"/>
        </w:rPr>
      </w:pPr>
      <w:r>
        <w:rPr>
          <w:rFonts w:ascii="Times New Roman" w:hAnsi="Times New Roman"/>
          <w:b/>
          <w:sz w:val="20"/>
        </w:rPr>
        <w:t>Off-Balance Sheet Arrangements</w:t>
      </w:r>
      <w:r>
        <w:rPr>
          <w:rFonts w:ascii="Times New Roman" w:hAnsi="Times New Roman"/>
          <w:sz w:val="20"/>
        </w:rPr>
        <w:t xml:space="preserve"> </w:t>
      </w:r>
    </w:p>
    <w:p>
      <w:pPr>
        <w:pStyle w:val="TextBody"/>
        <w:spacing w:lineRule="auto" w:line="247" w:before="120" w:after="0"/>
        <w:jc w:val="left"/>
        <w:rPr>
          <w:rFonts w:ascii="Times New Roman" w:hAnsi="Times New Roman"/>
          <w:sz w:val="20"/>
        </w:rPr>
      </w:pPr>
      <w:r>
        <w:rPr>
          <w:rFonts w:ascii="Times New Roman" w:hAnsi="Times New Roman"/>
          <w:b w:val="false"/>
          <w:sz w:val="20"/>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r>
        <w:rPr>
          <w:rFonts w:ascii="Times New Roman" w:hAnsi="Times New Roman"/>
          <w:sz w:val="20"/>
        </w:rPr>
        <w:t xml:space="preserve"> </w:t>
      </w:r>
    </w:p>
    <w:p>
      <w:pPr>
        <w:pStyle w:val="TextBody"/>
        <w:spacing w:lineRule="auto" w:line="247" w:before="240" w:after="0"/>
        <w:jc w:val="left"/>
        <w:rPr>
          <w:rFonts w:ascii="Times New Roman" w:hAnsi="Times New Roman"/>
          <w:sz w:val="20"/>
        </w:rPr>
      </w:pPr>
      <w:r>
        <w:rPr>
          <w:rFonts w:ascii="Times New Roman" w:hAnsi="Times New Roman"/>
          <w:b/>
          <w:sz w:val="20"/>
        </w:rPr>
        <w:t>Recently Issued Accounting Pronouncements</w:t>
      </w:r>
      <w:r>
        <w:rPr>
          <w:rFonts w:ascii="Times New Roman" w:hAnsi="Times New Roman"/>
          <w:sz w:val="20"/>
        </w:rPr>
        <w:t xml:space="preserve"> </w:t>
      </w:r>
    </w:p>
    <w:p>
      <w:pPr>
        <w:pStyle w:val="TextBody"/>
        <w:spacing w:lineRule="auto" w:line="247" w:before="120" w:after="0"/>
        <w:jc w:val="left"/>
        <w:rPr>
          <w:rFonts w:ascii="Times New Roman" w:hAnsi="Times New Roman"/>
          <w:sz w:val="20"/>
        </w:rPr>
      </w:pPr>
      <w:r>
        <w:rPr>
          <w:rFonts w:ascii="Times New Roman" w:hAnsi="Times New Roman"/>
          <w:b w:val="false"/>
          <w:sz w:val="20"/>
        </w:rPr>
        <w:t>Please read Note 2 to our condensed consolidated financial statements included in Part I of Item 1 of this Quarterly Report on Form 10-Q for a description of recent accounting pronouncements applicable to our business.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r>
        <w:rPr>
          <w:rFonts w:ascii="Times New Roman" w:hAnsi="Times New Roman"/>
          <w:b/>
          <w:sz w:val="20"/>
        </w:rPr>
        <w:t>Other Company Information</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10" w:name="item_3_quantitative_qualitative_disclosu"/>
      <w:bookmarkEnd w:id="10"/>
      <w:r>
        <w:rPr>
          <w:rFonts w:ascii="Times New Roman" w:hAnsi="Times New Roman"/>
          <w:b/>
          <w:sz w:val="20"/>
        </w:rPr>
        <w:t>Item 3. Quantitative and Qualitative Disclosures about Market Risk</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are a "smaller reporting company" as defined by Rule 12b-2 of the Securities Exchange Act of 1934, as amended (the "Exchange Act") and are not required to provide the information under this item.</w:t>
      </w:r>
    </w:p>
    <w:p>
      <w:pPr>
        <w:pStyle w:val="TextBody"/>
        <w:spacing w:lineRule="auto" w:line="273" w:before="240" w:after="0"/>
        <w:jc w:val="left"/>
        <w:rPr>
          <w:rFonts w:ascii="Times New Roman" w:hAnsi="Times New Roman"/>
          <w:sz w:val="20"/>
        </w:rPr>
      </w:pPr>
      <w:bookmarkStart w:id="11" w:name="item_4_controls_and_procedures"/>
      <w:bookmarkEnd w:id="11"/>
      <w:r>
        <w:rPr>
          <w:rFonts w:ascii="Times New Roman" w:hAnsi="Times New Roman"/>
          <w:b/>
          <w:sz w:val="20"/>
        </w:rPr>
        <w:t>Item 4. Controls and Procedures</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With respect to the quarter ended March 31, 2022,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spacing w:lineRule="auto" w:line="273" w:before="240" w:after="0"/>
        <w:jc w:val="left"/>
        <w:rPr>
          <w:rFonts w:ascii="Times New Roman" w:hAnsi="Times New Roman"/>
          <w:sz w:val="20"/>
        </w:rPr>
      </w:pPr>
      <w:r>
        <w:rPr>
          <w:rFonts w:ascii="Times New Roman" w:hAnsi="Times New Roman"/>
          <w:b/>
          <w:i/>
          <w:sz w:val="20"/>
        </w:rPr>
        <w:t>Changes in Internal Control Over Financial Reporting</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There were no changes in our internal control over financial reporting (as defined in Rules 13a-15(f) and 15d-15(f) under the Exchange Act) that occurred during the fiscal quarter ended March 31, 2022 which have materially affected, or are reasonably likely to materially affect, our internal control over financial reporting.</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12" w:name="part_ii_or_information"/>
      <w:bookmarkEnd w:id="12"/>
      <w:r>
        <w:rPr>
          <w:rFonts w:ascii="Times New Roman" w:hAnsi="Times New Roman"/>
          <w:b/>
          <w:sz w:val="20"/>
        </w:rPr>
        <w:t>PART II - OTHER INFORMATION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bookmarkStart w:id="13" w:name="item_1_legal_proceedings"/>
      <w:bookmarkEnd w:id="13"/>
      <w:r>
        <w:rPr>
          <w:rFonts w:ascii="Times New Roman" w:hAnsi="Times New Roman"/>
          <w:b/>
          <w:sz w:val="20"/>
        </w:rPr>
        <w:t>Item 1. Legal</w:t>
      </w:r>
      <w:r>
        <w:rPr>
          <w:rFonts w:ascii="Times New Roman" w:hAnsi="Times New Roman"/>
          <w:sz w:val="20"/>
        </w:rPr>
        <w:t xml:space="preserve"> </w:t>
      </w:r>
      <w:r>
        <w:rPr>
          <w:rFonts w:ascii="Times New Roman" w:hAnsi="Times New Roman"/>
          <w:b/>
          <w:sz w:val="20"/>
        </w:rPr>
        <w:t>Proceedings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From time to time, we are subject to claims in legal proceedings arising in the normal course of business. To our knowledge, during the three months ended March 31, 2022, there were no, and as of the date of this Quarterly Report, there are no, threatened or pending legal actions that could reasonably be expected to have a material adverse effect on our business, financial condition, results of operations or cash flows.</w:t>
      </w:r>
      <w:r>
        <w:rPr>
          <w:rFonts w:ascii="Times New Roman" w:hAnsi="Times New Roman"/>
          <w:sz w:val="20"/>
        </w:rPr>
        <w:t xml:space="preserve"> </w:t>
      </w:r>
    </w:p>
    <w:p>
      <w:pPr>
        <w:pStyle w:val="TextBody"/>
        <w:spacing w:lineRule="auto" w:line="273" w:before="240" w:after="0"/>
        <w:jc w:val="left"/>
        <w:rPr>
          <w:rFonts w:ascii="Times New Roman" w:hAnsi="Times New Roman"/>
          <w:sz w:val="20"/>
        </w:rPr>
      </w:pPr>
      <w:bookmarkStart w:id="14" w:name="item_1a_risk_factors"/>
      <w:bookmarkEnd w:id="14"/>
      <w:r>
        <w:rPr>
          <w:rFonts w:ascii="Times New Roman" w:hAnsi="Times New Roman"/>
          <w:b/>
          <w:sz w:val="20"/>
        </w:rPr>
        <w:t>Item 1A. Risk Factors</w:t>
      </w:r>
      <w:r>
        <w:rPr>
          <w:rFonts w:ascii="Times New Roman" w:hAnsi="Times New Roman"/>
          <w:sz w:val="20"/>
        </w:rPr>
        <w:t xml:space="preserve"> </w:t>
      </w:r>
    </w:p>
    <w:p>
      <w:pPr>
        <w:pStyle w:val="TextBody"/>
        <w:spacing w:lineRule="auto" w:line="273" w:before="240" w:after="0"/>
        <w:jc w:val="left"/>
        <w:rPr>
          <w:rFonts w:ascii="Times New Roman" w:hAnsi="Times New Roman"/>
          <w:b w:val="false"/>
          <w:i/>
          <w:sz w:val="20"/>
        </w:rPr>
      </w:pPr>
      <w:r>
        <w:rPr>
          <w:rFonts w:ascii="Times New Roman" w:hAnsi="Times New Roman"/>
          <w:b w:val="false"/>
          <w:i/>
          <w:sz w:val="20"/>
        </w:rPr>
        <w:t>You should carefully consider the risk factors described in our 2021 Annual Report under the caption “Item 1A. Risk Factors.” The risks described in our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spacing w:lineRule="auto" w:line="273" w:before="240" w:after="0"/>
        <w:jc w:val="left"/>
        <w:rPr>
          <w:rFonts w:ascii="Times New Roman" w:hAnsi="Times New Roman"/>
          <w:b/>
          <w:sz w:val="20"/>
        </w:rPr>
      </w:pPr>
      <w:bookmarkStart w:id="15" w:name="item_2_unregistered_sales_of_equity"/>
      <w:bookmarkEnd w:id="15"/>
      <w:r>
        <w:rPr>
          <w:rFonts w:ascii="Times New Roman" w:hAnsi="Times New Roman"/>
          <w:b/>
          <w:sz w:val="20"/>
        </w:rPr>
        <w:t>Item 2. Unregistered Sales of Equity Securities and Use of Proceeds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left"/>
        <w:rPr>
          <w:rFonts w:ascii="Times New Roman" w:hAnsi="Times New Roman"/>
          <w:b/>
          <w:sz w:val="20"/>
        </w:rPr>
      </w:pPr>
      <w:bookmarkStart w:id="16" w:name="item_3_defaults_upon_senior_securities"/>
      <w:bookmarkEnd w:id="16"/>
      <w:r>
        <w:rPr>
          <w:rFonts w:ascii="Times New Roman" w:hAnsi="Times New Roman"/>
          <w:b/>
          <w:sz w:val="20"/>
        </w:rPr>
        <w:t>Item 3. Defaults Upon Senior Securities</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left"/>
        <w:rPr>
          <w:rFonts w:ascii="Times New Roman" w:hAnsi="Times New Roman"/>
          <w:sz w:val="20"/>
        </w:rPr>
      </w:pPr>
      <w:bookmarkStart w:id="17" w:name="item_4_mine_safety_disclosures"/>
      <w:bookmarkEnd w:id="17"/>
      <w:r>
        <w:rPr>
          <w:rFonts w:ascii="Times New Roman" w:hAnsi="Times New Roman"/>
          <w:b/>
          <w:sz w:val="20"/>
        </w:rPr>
        <w:t>Item 4. Mine Safety Disclosures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Not applicable.</w:t>
      </w:r>
      <w:r>
        <w:rPr>
          <w:rFonts w:ascii="Times New Roman" w:hAnsi="Times New Roman"/>
          <w:sz w:val="20"/>
        </w:rPr>
        <w:t xml:space="preserve"> </w:t>
      </w:r>
    </w:p>
    <w:p>
      <w:pPr>
        <w:pStyle w:val="TextBody"/>
        <w:spacing w:lineRule="auto" w:line="273" w:before="240" w:after="0"/>
        <w:jc w:val="left"/>
        <w:rPr>
          <w:rFonts w:ascii="Times New Roman" w:hAnsi="Times New Roman"/>
          <w:b/>
          <w:sz w:val="20"/>
        </w:rPr>
      </w:pPr>
      <w:bookmarkStart w:id="18" w:name="item_5_other_information"/>
      <w:bookmarkEnd w:id="18"/>
      <w:r>
        <w:rPr>
          <w:rFonts w:ascii="Times New Roman" w:hAnsi="Times New Roman"/>
          <w:b/>
          <w:sz w:val="20"/>
        </w:rPr>
        <w:t>Item 5. Other Information</w:t>
      </w:r>
    </w:p>
    <w:p>
      <w:pPr>
        <w:pStyle w:val="TextBody"/>
        <w:spacing w:lineRule="auto" w:line="273" w:before="0" w:after="0"/>
        <w:jc w:val="left"/>
        <w:rPr/>
      </w:pPr>
      <w:r>
        <w:rPr/>
        <w:t> </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None.</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bookmarkStart w:id="19" w:name="item_6_exhibits"/>
      <w:bookmarkEnd w:id="19"/>
      <w:r>
        <w:rPr>
          <w:rFonts w:ascii="Times New Roman" w:hAnsi="Times New Roman"/>
          <w:b/>
          <w:sz w:val="20"/>
        </w:rPr>
        <w:t>Item 6. Exhibits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Times New Roman" w:hAnsi="Times New Roman"/>
          <w:b w:val="false"/>
          <w:sz w:val="20"/>
        </w:rPr>
        <w:t>The exhibits filed as part of this Quarterly Report are set forth on the Exhibit Index, which is incorporated herein by reference.</w:t>
      </w:r>
      <w:r>
        <w:rPr>
          <w:rFonts w:ascii="Times New Roman" w:hAnsi="Times New Roman"/>
          <w:sz w:val="20"/>
        </w:rPr>
        <w:t xml:space="preserve"> </w:t>
      </w:r>
    </w:p>
    <w:p>
      <w:pPr>
        <w:pStyle w:val="TextBody"/>
        <w:spacing w:lineRule="auto" w:line="273" w:before="360" w:after="0"/>
        <w:jc w:val="center"/>
        <w:rPr>
          <w:rFonts w:ascii="Times New Roman" w:hAnsi="Times New Roman"/>
          <w:sz w:val="20"/>
        </w:rPr>
      </w:pPr>
      <w:r>
        <w:rPr>
          <w:rFonts w:ascii="Times New Roman" w:hAnsi="Times New Roman"/>
          <w:b/>
          <w:sz w:val="20"/>
        </w:rPr>
        <w:t>EXHIBIT INDEX</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904"/>
        <w:gridCol w:w="146"/>
        <w:gridCol w:w="9155"/>
      </w:tblGrid>
      <w:tr>
        <w:trPr/>
        <w:tc>
          <w:tcPr>
            <w:tcW w:w="9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55" w:type="dxa"/>
            <w:tcBorders/>
            <w:shd w:fill="auto" w:val="clear"/>
            <w:vAlign w:val="center"/>
          </w:tcPr>
          <w:p>
            <w:pPr>
              <w:pStyle w:val="TableContents"/>
              <w:spacing w:before="0" w:after="283"/>
              <w:rPr>
                <w:sz w:val="4"/>
                <w:szCs w:val="4"/>
              </w:rPr>
            </w:pPr>
            <w:r>
              <w:rPr>
                <w:sz w:val="4"/>
                <w:szCs w:val="4"/>
              </w:rPr>
            </w:r>
          </w:p>
        </w:tc>
      </w:tr>
      <w:tr>
        <w:trPr/>
        <w:tc>
          <w:tcPr>
            <w:tcW w:w="904"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sz w:val="16"/>
              </w:rPr>
            </w:pPr>
            <w:r>
              <w:rPr>
                <w:rFonts w:ascii="Times New Roman" w:hAnsi="Times New Roman"/>
                <w:b/>
                <w:sz w:val="16"/>
              </w:rPr>
              <w:t>Exhibit No.</w:t>
            </w:r>
            <w:r>
              <w:rPr>
                <w:rFonts w:ascii="Times New Roman" w:hAnsi="Times New Roman"/>
                <w:sz w:val="16"/>
              </w:rPr>
              <w:t xml:space="preserve"> </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155"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Times New Roman" w:hAnsi="Times New Roman"/>
                <w:sz w:val="16"/>
              </w:rPr>
            </w:pPr>
            <w:r>
              <w:rPr>
                <w:rFonts w:ascii="Times New Roman" w:hAnsi="Times New Roman"/>
                <w:b/>
                <w:sz w:val="16"/>
              </w:rPr>
              <w:t>Description</w:t>
            </w:r>
            <w:r>
              <w:rPr>
                <w:rFonts w:ascii="Times New Roman" w:hAnsi="Times New Roman"/>
                <w:sz w:val="16"/>
              </w:rPr>
              <w:t xml:space="preserve">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31.1*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lrmr-ex31_1.htm">
              <w:r>
                <w:rPr>
                  <w:rStyle w:val="InternetLink"/>
                  <w:rFonts w:ascii="Times New Roman" w:hAnsi="Times New Roman"/>
                  <w:b w:val="false"/>
                  <w:sz w:val="20"/>
                  <w:u w:val="single"/>
                </w:rPr>
                <w:t>Certification of Principal Executive Officer pursuant to Rule 13a-14(a) or Rule 15d-14(a) of the Securities Exchange Act of 1934, as adopted pursuant to Section 302 of the Sarbanes-Oxley Act of 2002.</w:t>
              </w:r>
            </w:hyperlink>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31.2*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lrmr-ex31_2.htm">
              <w:r>
                <w:rPr>
                  <w:rStyle w:val="InternetLink"/>
                  <w:rFonts w:ascii="Times New Roman" w:hAnsi="Times New Roman"/>
                  <w:b w:val="false"/>
                  <w:sz w:val="20"/>
                  <w:u w:val="single"/>
                </w:rPr>
                <w:t>Certification of Principal Financial Officer pursuant to Rule 13a-14(a) or Rule 15d-14(a) of the Securities Exchange Act of 1934, as adopted pursuant to Section 302 of the Sarbanes-Oxley Act of 2002.</w:t>
              </w:r>
            </w:hyperlink>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r>
              <w:rPr>
                <w:rFonts w:ascii="Times New Roman" w:hAnsi="Times New Roman"/>
                <w:b w:val="false"/>
                <w:sz w:val="20"/>
              </w:rPr>
              <w:t>32.1**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lrmr-ex32_1.htm">
              <w:r>
                <w:rPr>
                  <w:rStyle w:val="InternetLink"/>
                  <w:rFonts w:ascii="Times New Roman" w:hAnsi="Times New Roman"/>
                  <w:b w:val="false"/>
                  <w:sz w:val="20"/>
                  <w:u w:val="single"/>
                </w:rPr>
                <w:t>Certification of Principal Executive Officer and Principal Financial Officer pursuant to 18 U.S.C. Section 1350, as adopted pursuant to Section 906 of the Sarbanes-Oxley Act of 2002.</w:t>
              </w:r>
            </w:hyperlink>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firstLine="153"/>
              <w:jc w:val="left"/>
              <w:rPr>
                <w:rFonts w:ascii="Times New Roman" w:hAnsi="Times New Roman"/>
                <w:b w:val="false"/>
                <w:sz w:val="20"/>
              </w:rPr>
            </w:pPr>
            <w:r>
              <w:rPr>
                <w:rFonts w:ascii="Times New Roman" w:hAnsi="Times New Roman"/>
                <w:b w:val="false"/>
                <w:sz w:val="20"/>
              </w:rPr>
              <w:t>101.INS*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153"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Instance Document- the instance document does not appear in the Interactive Data File because its XBRL tag re embedded within the Inline XBRL document</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firstLine="153"/>
              <w:jc w:val="left"/>
              <w:rPr>
                <w:rFonts w:ascii="Times New Roman" w:hAnsi="Times New Roman"/>
                <w:b w:val="false"/>
                <w:sz w:val="20"/>
              </w:rPr>
            </w:pPr>
            <w:r>
              <w:rPr>
                <w:rFonts w:ascii="Times New Roman" w:hAnsi="Times New Roman"/>
                <w:b w:val="false"/>
                <w:sz w:val="20"/>
              </w:rPr>
              <w:t>101.SCH*</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153"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Schema Document.</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firstLine="153"/>
              <w:jc w:val="left"/>
              <w:rPr>
                <w:rFonts w:ascii="Times New Roman" w:hAnsi="Times New Roman"/>
                <w:b w:val="false"/>
                <w:sz w:val="20"/>
              </w:rPr>
            </w:pPr>
            <w:r>
              <w:rPr>
                <w:rFonts w:ascii="Times New Roman" w:hAnsi="Times New Roman"/>
                <w:b w:val="false"/>
                <w:sz w:val="20"/>
              </w:rPr>
              <w:t>101.CAL*</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153"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Calculation Document.</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firstLine="153"/>
              <w:jc w:val="left"/>
              <w:rPr>
                <w:rFonts w:ascii="Times New Roman" w:hAnsi="Times New Roman"/>
                <w:b w:val="false"/>
                <w:sz w:val="20"/>
              </w:rPr>
            </w:pPr>
            <w:r>
              <w:rPr>
                <w:rFonts w:ascii="Times New Roman" w:hAnsi="Times New Roman"/>
                <w:b w:val="false"/>
                <w:sz w:val="20"/>
              </w:rPr>
              <w:t>101.DEF*</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153"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Definition Linkbase Document.</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firstLine="153"/>
              <w:jc w:val="left"/>
              <w:rPr>
                <w:rFonts w:ascii="Times New Roman" w:hAnsi="Times New Roman"/>
                <w:b w:val="false"/>
                <w:sz w:val="20"/>
              </w:rPr>
            </w:pPr>
            <w:r>
              <w:rPr>
                <w:rFonts w:ascii="Times New Roman" w:hAnsi="Times New Roman"/>
                <w:b w:val="false"/>
                <w:sz w:val="20"/>
              </w:rPr>
              <w:t>101.LAB*</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153"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Labels Linkbase Document.</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firstLine="153"/>
              <w:jc w:val="left"/>
              <w:rPr>
                <w:rFonts w:ascii="Times New Roman" w:hAnsi="Times New Roman"/>
                <w:b w:val="false"/>
                <w:sz w:val="20"/>
              </w:rPr>
            </w:pPr>
            <w:r>
              <w:rPr>
                <w:rFonts w:ascii="Times New Roman" w:hAnsi="Times New Roman"/>
                <w:b w:val="false"/>
                <w:sz w:val="20"/>
              </w:rPr>
              <w:t>101.PRE*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153"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Inline XBRL Taxonomy Extension Presentation Link Document.</w:t>
            </w:r>
          </w:p>
        </w:tc>
      </w:tr>
      <w:tr>
        <w:trPr/>
        <w:tc>
          <w:tcPr>
            <w:tcW w:w="904" w:type="dxa"/>
            <w:tcBorders/>
            <w:shd w:fill="auto" w:val="clear"/>
            <w:tcMar>
              <w:top w:w="0" w:type="dxa"/>
              <w:left w:w="0" w:type="dxa"/>
              <w:bottom w:w="0" w:type="dxa"/>
              <w:right w:w="0" w:type="dxa"/>
            </w:tcMar>
            <w:vAlign w:val="center"/>
          </w:tcPr>
          <w:p>
            <w:pPr>
              <w:pStyle w:val="TableContents"/>
              <w:spacing w:lineRule="auto" w:line="252" w:before="0" w:after="0"/>
              <w:ind w:left="0" w:right="0" w:firstLine="153"/>
              <w:jc w:val="left"/>
              <w:rPr>
                <w:rFonts w:ascii="Times New Roman" w:hAnsi="Times New Roman"/>
                <w:b w:val="false"/>
                <w:sz w:val="20"/>
              </w:rPr>
            </w:pPr>
            <w:r>
              <w:rPr>
                <w:rFonts w:ascii="Times New Roman" w:hAnsi="Times New Roman"/>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153" w:right="0" w:hanging="0"/>
              <w:jc w:val="left"/>
              <w:rPr/>
            </w:pPr>
            <w:r>
              <w:rPr/>
              <w:t> </w:t>
            </w:r>
          </w:p>
        </w:tc>
        <w:tc>
          <w:tcPr>
            <w:tcW w:w="9155"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Cover Page Interactive Data File (formatted as inline XBRL and contained in Exhibit 101)</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Times New Roman" w:hAnsi="Times New Roman"/>
          <w:b w:val="false"/>
          <w:sz w:val="20"/>
        </w:rPr>
        <w:t>* Filed herewith.</w:t>
      </w:r>
      <w:r>
        <w:rPr>
          <w:rFonts w:ascii="Times New Roman" w:hAnsi="Times New Roman"/>
          <w:sz w:val="20"/>
        </w:rPr>
        <w:t xml:space="preserve"> </w:t>
      </w:r>
    </w:p>
    <w:p>
      <w:pPr>
        <w:pStyle w:val="TextBody"/>
        <w:spacing w:lineRule="auto" w:line="273" w:before="120" w:after="0"/>
        <w:jc w:val="left"/>
        <w:rPr>
          <w:rFonts w:ascii="Times New Roman" w:hAnsi="Times New Roman"/>
          <w:b w:val="false"/>
          <w:sz w:val="20"/>
        </w:rPr>
      </w:pPr>
      <w:r>
        <w:rPr>
          <w:rFonts w:ascii="Times New Roman" w:hAnsi="Times New Roman"/>
          <w:b w:val="false"/>
          <w:sz w:val="20"/>
        </w:rPr>
        <w:t>** Furnished herewith.</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b/>
          <w:sz w:val="20"/>
        </w:rPr>
      </w:pPr>
      <w:bookmarkStart w:id="20" w:name="signatures"/>
      <w:bookmarkEnd w:id="20"/>
      <w:r>
        <w:rPr>
          <w:rFonts w:ascii="Times New Roman" w:hAnsi="Times New Roman"/>
          <w:b/>
          <w:sz w:val="20"/>
        </w:rPr>
        <w:t>SIGNATURES</w:t>
      </w:r>
    </w:p>
    <w:p>
      <w:pPr>
        <w:pStyle w:val="TextBody"/>
        <w:spacing w:lineRule="auto" w:line="273" w:before="240" w:after="0"/>
        <w:jc w:val="left"/>
        <w:rPr>
          <w:rFonts w:ascii="Times New Roman" w:hAnsi="Times New Roman"/>
          <w:sz w:val="20"/>
        </w:rPr>
      </w:pPr>
      <w:r>
        <w:rPr>
          <w:rFonts w:ascii="Times New Roman" w:hAnsi="Times New Roman"/>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spacing w:lineRule="auto" w:line="273" w:before="0" w:after="0"/>
        <w:jc w:val="left"/>
        <w:rPr/>
      </w:pPr>
      <w:r>
        <w:rPr/>
        <w:t> </w:t>
      </w:r>
    </w:p>
    <w:tbl>
      <w:tblPr>
        <w:tblW w:w="6310" w:type="dxa"/>
        <w:jc w:val="left"/>
        <w:tblInd w:w="0" w:type="dxa"/>
        <w:tblCellMar>
          <w:top w:w="28" w:type="dxa"/>
          <w:left w:w="28" w:type="dxa"/>
          <w:bottom w:w="28" w:type="dxa"/>
          <w:right w:w="28" w:type="dxa"/>
        </w:tblCellMar>
      </w:tblPr>
      <w:tblGrid>
        <w:gridCol w:w="1741"/>
        <w:gridCol w:w="146"/>
        <w:gridCol w:w="406"/>
        <w:gridCol w:w="146"/>
        <w:gridCol w:w="3871"/>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423" w:type="dxa"/>
            <w:gridSpan w:val="3"/>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LARIMAR THERAPEUTICS, INC.</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423" w:type="dxa"/>
            <w:gridSpan w:val="3"/>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7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Carole S. Ben-Maimon, M.D.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8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Carole S. Ben-Maimon, M.D.</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8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President and Chief Executive Officer</w:t>
            </w:r>
          </w:p>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(Principal Executive Officer)</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8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r>
      <w:tr>
        <w:trPr/>
        <w:tc>
          <w:tcPr>
            <w:tcW w:w="174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0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By:</w:t>
            </w:r>
          </w:p>
        </w:tc>
        <w:tc>
          <w:tcPr>
            <w:tcW w:w="14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7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Michael Celano</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8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Michael Celano</w:t>
            </w:r>
          </w:p>
        </w:tc>
      </w:tr>
      <w:tr>
        <w:trPr/>
        <w:tc>
          <w:tcPr>
            <w:tcW w:w="174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387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Chief Financial Officer</w:t>
            </w:r>
          </w:p>
          <w:p>
            <w:pPr>
              <w:pStyle w:val="TableContents"/>
              <w:spacing w:lineRule="auto" w:line="252" w:before="0" w:after="0"/>
              <w:ind w:left="0" w:right="0" w:hanging="0"/>
              <w:jc w:val="left"/>
              <w:rPr>
                <w:rFonts w:ascii="Times New Roman" w:hAnsi="Times New Roman"/>
                <w:b w:val="false"/>
                <w:i/>
                <w:sz w:val="20"/>
              </w:rPr>
            </w:pPr>
            <w:r>
              <w:rPr>
                <w:rFonts w:ascii="Times New Roman" w:hAnsi="Times New Roman"/>
                <w:b w:val="false"/>
                <w:i/>
                <w:sz w:val="20"/>
              </w:rPr>
              <w:t>(Principal Financial and Accounting Officer)</w:t>
            </w:r>
          </w:p>
        </w:tc>
      </w:tr>
    </w:tbl>
    <w:p>
      <w:pPr>
        <w:pStyle w:val="TextBody"/>
        <w:spacing w:lineRule="auto" w:line="273" w:before="0" w:after="0"/>
        <w:jc w:val="left"/>
        <w:rPr/>
      </w:pPr>
      <w:r>
        <w:rPr/>
        <w:t> </w:t>
      </w:r>
    </w:p>
    <w:p>
      <w:pPr>
        <w:pStyle w:val="TextBody"/>
        <w:spacing w:lineRule="auto" w:line="273" w:before="240" w:after="0"/>
        <w:jc w:val="center"/>
        <w:rPr>
          <w:rFonts w:ascii="Times New Roman" w:hAnsi="Times New Roman"/>
          <w:b w:val="false"/>
          <w:sz w:val="20"/>
        </w:rPr>
      </w:pPr>
      <w:r>
        <w:rPr>
          <w:rFonts w:ascii="Times New Roman" w:hAnsi="Times New Roman"/>
          <w:b w:val="false"/>
          <w:sz w:val="20"/>
        </w:rPr>
        <w:t>30</w:t>
      </w:r>
    </w:p>
    <w:p>
      <w:pPr>
        <w:pStyle w:val="HorizontalLine"/>
        <w:rPr/>
      </w:pPr>
      <w:r>
        <w:rPr/>
      </w:r>
      <w:r>
        <w:br w:type="page"/>
      </w:r>
    </w:p>
    <w:p>
      <w:pPr>
        <w:pStyle w:val="TextBody"/>
        <w:spacing w:lineRule="auto" w:line="273" w:before="0" w:after="0"/>
        <w:jc w:val="left"/>
        <w:rPr/>
      </w:pPr>
      <w:bookmarkStart w:id="21" w:name="lrmr-ex31_1.htm"/>
      <w:bookmarkStart w:id="22" w:name="kslrmrex31_1"/>
      <w:bookmarkEnd w:id="21"/>
      <w:bookmarkEnd w:id="22"/>
      <w:r>
        <w:rPr/>
        <w:t> </w:t>
      </w:r>
    </w:p>
    <w:p>
      <w:pPr>
        <w:pStyle w:val="TextBody"/>
        <w:spacing w:lineRule="auto" w:line="316" w:before="0" w:after="120"/>
        <w:jc w:val="right"/>
        <w:rPr>
          <w:rFonts w:ascii="Times New Roman" w:hAnsi="Times New Roman"/>
          <w:b/>
          <w:sz w:val="20"/>
        </w:rPr>
      </w:pPr>
      <w:r>
        <w:rPr>
          <w:rFonts w:ascii="Times New Roman" w:hAnsi="Times New Roman"/>
          <w:b/>
          <w:sz w:val="20"/>
        </w:rPr>
        <w:t>Exhibit 31.1</w:t>
      </w:r>
    </w:p>
    <w:p>
      <w:pPr>
        <w:pStyle w:val="TextBody"/>
        <w:spacing w:lineRule="auto" w:line="316" w:before="0" w:after="120"/>
        <w:jc w:val="center"/>
        <w:rPr>
          <w:rFonts w:ascii="Times New Roman" w:hAnsi="Times New Roman"/>
          <w:b/>
          <w:sz w:val="20"/>
        </w:rPr>
      </w:pPr>
      <w:r>
        <w:rPr>
          <w:rFonts w:ascii="Times New Roman" w:hAnsi="Times New Roman"/>
          <w:b/>
          <w:sz w:val="20"/>
        </w:rPr>
        <w:t>CERTIFICATION</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I, Carole S. Ben-Maimon, M.D., certify that:</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1. I have reviewed this Quarterly Report on Form 10-Q of Larimar Therapeutics, Inc.;</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(b)</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(c)</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(b)</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rFonts w:ascii="Times New Roman" w:hAnsi="Times New Roman"/>
          <w:b w:val="false"/>
          <w:sz w:val="20"/>
        </w:rPr>
      </w:pPr>
      <w:r>
        <w:rPr>
          <w:rFonts w:ascii="Times New Roman" w:hAnsi="Times New Roman"/>
          <w:b w:val="false"/>
          <w:sz w:val="20"/>
        </w:rPr>
        <w:t>Date: May 12, 2022</w:t>
      </w:r>
    </w:p>
    <w:tbl>
      <w:tblPr>
        <w:tblW w:w="3226" w:type="dxa"/>
        <w:jc w:val="left"/>
        <w:tblInd w:w="0" w:type="dxa"/>
        <w:tblCellMar>
          <w:top w:w="28" w:type="dxa"/>
          <w:left w:w="28" w:type="dxa"/>
          <w:bottom w:w="28" w:type="dxa"/>
          <w:right w:w="28" w:type="dxa"/>
        </w:tblCellMar>
      </w:tblPr>
      <w:tblGrid>
        <w:gridCol w:w="3226"/>
      </w:tblGrid>
      <w:tr>
        <w:trPr/>
        <w:tc>
          <w:tcPr>
            <w:tcW w:w="3226" w:type="dxa"/>
            <w:tcBorders/>
            <w:shd w:fill="auto" w:val="clear"/>
            <w:vAlign w:val="center"/>
          </w:tcPr>
          <w:p>
            <w:pPr>
              <w:pStyle w:val="TableContents"/>
              <w:spacing w:before="0" w:after="283"/>
              <w:rPr>
                <w:sz w:val="4"/>
                <w:szCs w:val="4"/>
              </w:rPr>
            </w:pPr>
            <w:r>
              <w:rPr>
                <w:sz w:val="4"/>
                <w:szCs w:val="4"/>
              </w:rPr>
            </w:r>
          </w:p>
        </w:tc>
      </w:tr>
      <w:tr>
        <w:trPr/>
        <w:tc>
          <w:tcPr>
            <w:tcW w:w="3226"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Carole S. Ben-Maimon, M.D.</w:t>
            </w:r>
          </w:p>
        </w:tc>
      </w:tr>
      <w:tr>
        <w:trPr/>
        <w:tc>
          <w:tcPr>
            <w:tcW w:w="3226"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Carole S. Ben-Maimon, M.D.</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President and Chief Executive Officer</w:t>
            </w:r>
          </w:p>
          <w:p>
            <w:pPr>
              <w:pStyle w:val="TableContents"/>
              <w:spacing w:lineRule="auto" w:line="252" w:before="0" w:after="20"/>
              <w:ind w:left="0" w:right="0" w:hanging="0"/>
              <w:jc w:val="left"/>
              <w:rPr>
                <w:rFonts w:ascii="Times New Roman" w:hAnsi="Times New Roman"/>
                <w:b w:val="false"/>
                <w:sz w:val="20"/>
              </w:rPr>
            </w:pPr>
            <w:r>
              <w:rPr>
                <w:rFonts w:ascii="Times New Roman" w:hAnsi="Times New Roman"/>
                <w:b w:val="false"/>
                <w:sz w:val="20"/>
              </w:rPr>
              <w:t>(Principal Executive Officer)</w:t>
            </w:r>
          </w:p>
        </w:tc>
      </w:tr>
    </w:tbl>
    <w:p>
      <w:pPr>
        <w:pStyle w:val="TextBody"/>
        <w:spacing w:lineRule="auto" w:line="316"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3" w:name="lrmr-ex31_2.htm"/>
      <w:bookmarkStart w:id="24" w:name="kslrmrex31_2"/>
      <w:bookmarkEnd w:id="23"/>
      <w:bookmarkEnd w:id="24"/>
      <w:r>
        <w:rPr/>
        <w:t> </w:t>
      </w:r>
    </w:p>
    <w:p>
      <w:pPr>
        <w:pStyle w:val="TextBody"/>
        <w:spacing w:lineRule="auto" w:line="316" w:before="0" w:after="120"/>
        <w:jc w:val="right"/>
        <w:rPr>
          <w:rFonts w:ascii="Times New Roman" w:hAnsi="Times New Roman"/>
          <w:b/>
          <w:sz w:val="20"/>
        </w:rPr>
      </w:pPr>
      <w:r>
        <w:rPr>
          <w:rFonts w:ascii="Times New Roman" w:hAnsi="Times New Roman"/>
          <w:b/>
          <w:sz w:val="20"/>
        </w:rPr>
        <w:t>Exhibit 31.2</w:t>
      </w:r>
    </w:p>
    <w:p>
      <w:pPr>
        <w:pStyle w:val="TextBody"/>
        <w:spacing w:lineRule="auto" w:line="316" w:before="0" w:after="120"/>
        <w:jc w:val="center"/>
        <w:rPr>
          <w:rFonts w:ascii="Times New Roman" w:hAnsi="Times New Roman"/>
          <w:b/>
          <w:sz w:val="20"/>
        </w:rPr>
      </w:pPr>
      <w:r>
        <w:rPr>
          <w:rFonts w:ascii="Times New Roman" w:hAnsi="Times New Roman"/>
          <w:b/>
          <w:sz w:val="20"/>
        </w:rPr>
        <w:t>CERTIFICATION</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I, Michael Celano, certify that:</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1. I have reviewed this Quarterly Report on Form 10-Q of Larimar Therapeutics, Inc.;</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(b)</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(c)</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(b)</w:t>
      </w:r>
    </w:p>
    <w:p>
      <w:pPr>
        <w:pStyle w:val="TextBody"/>
        <w:spacing w:lineRule="auto" w:line="316" w:before="0" w:after="80"/>
        <w:jc w:val="left"/>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273" w:before="0" w:after="0"/>
        <w:jc w:val="left"/>
        <w:rPr>
          <w:rFonts w:ascii="Times New Roman" w:hAnsi="Times New Roman"/>
          <w:sz w:val="20"/>
        </w:rPr>
      </w:pPr>
      <w:r>
        <w:rPr>
          <w:rFonts w:ascii="Times New Roman" w:hAnsi="Times New Roman"/>
          <w:b w:val="false"/>
          <w:sz w:val="20"/>
        </w:rPr>
        <w:t>Date: May 12, 2022</w:t>
      </w:r>
      <w:r>
        <w:rPr>
          <w:rFonts w:ascii="Times New Roman" w:hAnsi="Times New Roman"/>
          <w:sz w:val="20"/>
        </w:rPr>
        <w:t xml:space="preserve"> </w:t>
      </w:r>
    </w:p>
    <w:tbl>
      <w:tblPr>
        <w:tblW w:w="4381" w:type="dxa"/>
        <w:jc w:val="left"/>
        <w:tblInd w:w="0" w:type="dxa"/>
        <w:tblCellMar>
          <w:top w:w="28" w:type="dxa"/>
          <w:left w:w="28" w:type="dxa"/>
          <w:bottom w:w="28" w:type="dxa"/>
          <w:right w:w="28" w:type="dxa"/>
        </w:tblCellMar>
      </w:tblPr>
      <w:tblGrid>
        <w:gridCol w:w="4381"/>
      </w:tblGrid>
      <w:tr>
        <w:trPr/>
        <w:tc>
          <w:tcPr>
            <w:tcW w:w="4381" w:type="dxa"/>
            <w:tcBorders/>
            <w:shd w:fill="auto" w:val="clear"/>
            <w:vAlign w:val="center"/>
          </w:tcPr>
          <w:p>
            <w:pPr>
              <w:pStyle w:val="TableContents"/>
              <w:spacing w:before="0" w:after="283"/>
              <w:rPr>
                <w:sz w:val="4"/>
                <w:szCs w:val="4"/>
              </w:rPr>
            </w:pPr>
            <w:r>
              <w:rPr>
                <w:sz w:val="4"/>
                <w:szCs w:val="4"/>
              </w:rPr>
            </w:r>
          </w:p>
        </w:tc>
      </w:tr>
      <w:tr>
        <w:trPr/>
        <w:tc>
          <w:tcPr>
            <w:tcW w:w="4381" w:type="dxa"/>
            <w:tcBorders>
              <w:bottom w:val="sing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/s/ Michael Celano</w:t>
            </w:r>
          </w:p>
        </w:tc>
      </w:tr>
      <w:tr>
        <w:trPr/>
        <w:tc>
          <w:tcPr>
            <w:tcW w:w="4381" w:type="dxa"/>
            <w:tcBorders/>
            <w:shd w:fill="auto" w:val="clear"/>
            <w:vAlign w:val="center"/>
          </w:tcPr>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Michael Celano</w:t>
            </w:r>
          </w:p>
          <w:p>
            <w:pPr>
              <w:pStyle w:val="TableContents"/>
              <w:spacing w:lineRule="auto" w:line="252" w:before="0" w:after="0"/>
              <w:ind w:left="0" w:right="0" w:hanging="0"/>
              <w:jc w:val="left"/>
              <w:rPr>
                <w:rFonts w:ascii="Times New Roman" w:hAnsi="Times New Roman"/>
                <w:b w:val="false"/>
                <w:sz w:val="20"/>
              </w:rPr>
            </w:pPr>
            <w:r>
              <w:rPr>
                <w:rFonts w:ascii="Times New Roman" w:hAnsi="Times New Roman"/>
                <w:b w:val="false"/>
                <w:sz w:val="20"/>
              </w:rPr>
              <w:t>Chief Financial Officer</w:t>
            </w:r>
          </w:p>
          <w:p>
            <w:pPr>
              <w:pStyle w:val="TableContents"/>
              <w:spacing w:lineRule="auto" w:line="252" w:before="0" w:after="20"/>
              <w:ind w:left="0" w:right="0" w:hanging="0"/>
              <w:jc w:val="left"/>
              <w:rPr>
                <w:rFonts w:ascii="Times New Roman" w:hAnsi="Times New Roman"/>
                <w:b w:val="false"/>
                <w:sz w:val="20"/>
              </w:rPr>
            </w:pPr>
            <w:r>
              <w:rPr>
                <w:rFonts w:ascii="Times New Roman" w:hAnsi="Times New Roman"/>
                <w:b w:val="false"/>
                <w:sz w:val="20"/>
              </w:rPr>
              <w:t>(Principal Financial Officer and Accounting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left"/>
        <w:rPr/>
      </w:pPr>
      <w:bookmarkStart w:id="25" w:name="lrmr-ex32_1.htm"/>
      <w:bookmarkStart w:id="26" w:name="kslrmrex32_1"/>
      <w:bookmarkEnd w:id="25"/>
      <w:bookmarkEnd w:id="26"/>
      <w:r>
        <w:rPr/>
        <w:t> </w:t>
      </w:r>
    </w:p>
    <w:p>
      <w:pPr>
        <w:pStyle w:val="TextBody"/>
        <w:spacing w:lineRule="auto" w:line="316" w:before="0" w:after="200"/>
        <w:jc w:val="right"/>
        <w:rPr>
          <w:rFonts w:ascii="Times New Roman" w:hAnsi="Times New Roman"/>
          <w:b/>
          <w:sz w:val="20"/>
        </w:rPr>
      </w:pPr>
      <w:r>
        <w:rPr>
          <w:rFonts w:ascii="Times New Roman" w:hAnsi="Times New Roman"/>
          <w:b/>
          <w:sz w:val="20"/>
        </w:rPr>
        <w:t>Exhibit 32.1</w:t>
      </w:r>
    </w:p>
    <w:p>
      <w:pPr>
        <w:pStyle w:val="TextBody"/>
        <w:spacing w:lineRule="auto" w:line="316" w:before="0" w:after="0"/>
        <w:jc w:val="center"/>
        <w:rPr>
          <w:rFonts w:ascii="Times New Roman" w:hAnsi="Times New Roman"/>
          <w:sz w:val="20"/>
        </w:rPr>
      </w:pPr>
      <w:r>
        <w:rPr>
          <w:rFonts w:ascii="Times New Roman" w:hAnsi="Times New Roman"/>
          <w:b/>
          <w:sz w:val="20"/>
        </w:rPr>
        <w:t>CERTIFICATION</w:t>
      </w:r>
      <w:r>
        <w:rPr>
          <w:rFonts w:ascii="Times New Roman" w:hAnsi="Times New Roman"/>
          <w:sz w:val="20"/>
        </w:rPr>
        <w:t xml:space="preserve"> </w:t>
      </w:r>
    </w:p>
    <w:p>
      <w:pPr>
        <w:pStyle w:val="TextBody"/>
        <w:spacing w:lineRule="auto" w:line="316" w:before="0" w:after="0"/>
        <w:jc w:val="center"/>
        <w:rPr>
          <w:rFonts w:ascii="Times New Roman" w:hAnsi="Times New Roman"/>
          <w:b/>
          <w:sz w:val="20"/>
        </w:rPr>
      </w:pPr>
      <w:r>
        <w:rPr>
          <w:rFonts w:ascii="Times New Roman" w:hAnsi="Times New Roman"/>
          <w:b/>
          <w:sz w:val="20"/>
        </w:rPr>
        <w:t>Pursuant to Section 906 of the Sarbanes-Oxley Act of 2002</w:t>
      </w:r>
    </w:p>
    <w:p>
      <w:pPr>
        <w:pStyle w:val="TextBody"/>
        <w:spacing w:lineRule="auto" w:line="316" w:before="0" w:after="0"/>
        <w:jc w:val="center"/>
        <w:rPr>
          <w:rFonts w:ascii="Times New Roman" w:hAnsi="Times New Roman"/>
          <w:b/>
          <w:sz w:val="20"/>
        </w:rPr>
      </w:pPr>
      <w:r>
        <w:rPr>
          <w:rFonts w:ascii="Times New Roman" w:hAnsi="Times New Roman"/>
          <w:b/>
          <w:sz w:val="20"/>
        </w:rPr>
        <w:t>(Subsections (a) and (b) of Section 1350, Chapter 63 of Title 18, United States Code)</w:t>
      </w:r>
    </w:p>
    <w:p>
      <w:pPr>
        <w:pStyle w:val="TextBody"/>
        <w:spacing w:lineRule="auto" w:line="316" w:before="0" w:after="0"/>
        <w:jc w:val="center"/>
        <w:rPr/>
      </w:pPr>
      <w:r>
        <w:rPr/>
        <w:t> </w:t>
      </w:r>
    </w:p>
    <w:p>
      <w:pPr>
        <w:pStyle w:val="TextBody"/>
        <w:spacing w:lineRule="auto" w:line="316" w:before="0" w:after="200"/>
        <w:jc w:val="left"/>
        <w:rPr>
          <w:rFonts w:ascii="Times New Roman" w:hAnsi="Times New Roman"/>
          <w:b w:val="false"/>
          <w:sz w:val="20"/>
        </w:rPr>
      </w:pPr>
      <w:r>
        <w:rPr>
          <w:rFonts w:ascii="Times New Roman" w:hAnsi="Times New Roman"/>
          <w:b w:val="false"/>
          <w:sz w:val="20"/>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pStyle w:val="TextBody"/>
        <w:spacing w:lineRule="auto" w:line="316" w:before="0" w:after="200"/>
        <w:jc w:val="left"/>
        <w:rPr>
          <w:rFonts w:ascii="Times New Roman" w:hAnsi="Times New Roman"/>
          <w:b w:val="false"/>
          <w:sz w:val="20"/>
        </w:rPr>
      </w:pPr>
      <w:r>
        <w:rPr>
          <w:rFonts w:ascii="Times New Roman" w:hAnsi="Times New Roman"/>
          <w:b w:val="false"/>
          <w:sz w:val="20"/>
        </w:rPr>
        <w:t>(1) The Quarterly Report on Form 10-Q for the quarter ended March 31, 2022 (the “Report”) of the Company fully complies with the requirements of Section 13(a) or 15(d) of the Securities Exchange Act of 1934; and</w:t>
      </w:r>
    </w:p>
    <w:p>
      <w:pPr>
        <w:pStyle w:val="TextBody"/>
        <w:spacing w:lineRule="auto" w:line="316" w:before="0" w:after="240"/>
        <w:jc w:val="left"/>
        <w:rPr>
          <w:rFonts w:ascii="Times New Roman" w:hAnsi="Times New Roman"/>
          <w:b w:val="false"/>
          <w:sz w:val="20"/>
        </w:rPr>
      </w:pPr>
      <w:r>
        <w:rPr>
          <w:rFonts w:ascii="Times New Roman" w:hAnsi="Times New Roman"/>
          <w:b w:val="false"/>
          <w:sz w:val="20"/>
        </w:rPr>
        <w:t>(2) The information contained in the Report fairly presents, in all material respects, the financial condition and results of operations of the Company.</w:t>
      </w:r>
    </w:p>
    <w:tbl>
      <w:tblPr>
        <w:tblW w:w="6065" w:type="dxa"/>
        <w:jc w:val="left"/>
        <w:tblInd w:w="0" w:type="dxa"/>
        <w:tblCellMar>
          <w:top w:w="28" w:type="dxa"/>
          <w:left w:w="28" w:type="dxa"/>
          <w:bottom w:w="28" w:type="dxa"/>
          <w:right w:w="28" w:type="dxa"/>
        </w:tblCellMar>
      </w:tblPr>
      <w:tblGrid>
        <w:gridCol w:w="1741"/>
        <w:gridCol w:w="146"/>
        <w:gridCol w:w="146"/>
        <w:gridCol w:w="146"/>
        <w:gridCol w:w="3886"/>
      </w:tblGrid>
      <w:tr>
        <w:trPr/>
        <w:tc>
          <w:tcPr>
            <w:tcW w:w="1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8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vAlign w:val="center"/>
          </w:tcPr>
          <w:p>
            <w:pPr>
              <w:pStyle w:val="TableContents"/>
              <w:spacing w:lineRule="auto" w:line="288"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pPr>
            <w:r>
              <w:rPr/>
              <w:t>  </w:t>
            </w:r>
            <w:r>
              <w:rPr>
                <w:rFonts w:ascii="Times New Roman" w:hAnsi="Times New Roman"/>
                <w:b w:val="false"/>
                <w:sz w:val="20"/>
              </w:rPr>
              <w:t>/s/ Carole S. Ben-Maimon, M.D.</w:t>
            </w:r>
          </w:p>
        </w:tc>
      </w:tr>
      <w:tr>
        <w:trPr/>
        <w:tc>
          <w:tcPr>
            <w:tcW w:w="1741"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shd w:fill="auto" w:val="clear"/>
            <w:vAlign w:val="center"/>
          </w:tcPr>
          <w:p>
            <w:pPr>
              <w:pStyle w:val="TableContents"/>
              <w:spacing w:lineRule="auto" w:line="288" w:before="0" w:after="0"/>
              <w:ind w:left="0" w:right="0" w:hanging="0"/>
              <w:jc w:val="left"/>
              <w:rPr/>
            </w:pPr>
            <w:r>
              <w:rPr/>
              <w:t>  </w:t>
            </w:r>
            <w:r>
              <w:rPr>
                <w:rFonts w:ascii="Times New Roman" w:hAnsi="Times New Roman"/>
                <w:b w:val="false"/>
                <w:sz w:val="20"/>
              </w:rPr>
              <w:t>Carole S. Ben-Maimon, M.D.</w:t>
            </w:r>
          </w:p>
        </w:tc>
      </w:tr>
      <w:tr>
        <w:trPr/>
        <w:tc>
          <w:tcPr>
            <w:tcW w:w="1741"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shd w:fill="auto" w:val="clear"/>
            <w:vAlign w:val="center"/>
          </w:tcPr>
          <w:p>
            <w:pPr>
              <w:pStyle w:val="TableContents"/>
              <w:spacing w:lineRule="auto" w:line="288" w:before="0" w:after="0"/>
              <w:ind w:left="0" w:right="0" w:hanging="0"/>
              <w:jc w:val="left"/>
              <w:rPr/>
            </w:pPr>
            <w:r>
              <w:rPr/>
              <w:t>  </w:t>
            </w:r>
            <w:r>
              <w:rPr>
                <w:rFonts w:ascii="Times New Roman" w:hAnsi="Times New Roman"/>
                <w:b w:val="false"/>
                <w:sz w:val="20"/>
              </w:rPr>
              <w:t>President and Chief Executive Officer</w:t>
            </w:r>
          </w:p>
        </w:tc>
      </w:tr>
      <w:tr>
        <w:trPr/>
        <w:tc>
          <w:tcPr>
            <w:tcW w:w="1741"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shd w:fill="auto" w:val="clear"/>
            <w:vAlign w:val="center"/>
          </w:tcPr>
          <w:p>
            <w:pPr>
              <w:pStyle w:val="TableContents"/>
              <w:spacing w:lineRule="auto" w:line="288" w:before="0" w:after="0"/>
              <w:ind w:left="0" w:right="0" w:hanging="0"/>
              <w:jc w:val="left"/>
              <w:rPr/>
            </w:pPr>
            <w:r>
              <w:rPr/>
              <w:t>  </w:t>
            </w:r>
            <w:r>
              <w:rPr>
                <w:rFonts w:ascii="Times New Roman" w:hAnsi="Times New Roman"/>
                <w:b w:val="false"/>
                <w:sz w:val="20"/>
              </w:rPr>
              <w:t>(Principal Executive Officer)</w:t>
            </w:r>
          </w:p>
        </w:tc>
      </w:tr>
      <w:tr>
        <w:trPr/>
        <w:tc>
          <w:tcPr>
            <w:tcW w:w="1741"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shd w:fill="auto" w:val="clear"/>
            <w:vAlign w:val="center"/>
          </w:tcPr>
          <w:p>
            <w:pPr>
              <w:pStyle w:val="TableContents"/>
              <w:spacing w:lineRule="auto" w:line="288" w:before="0" w:after="0"/>
              <w:ind w:left="0" w:right="0" w:hanging="0"/>
              <w:jc w:val="left"/>
              <w:rPr/>
            </w:pPr>
            <w:r>
              <w:rPr/>
              <w:t> </w:t>
            </w:r>
          </w:p>
        </w:tc>
      </w:tr>
      <w:tr>
        <w:trPr/>
        <w:tc>
          <w:tcPr>
            <w:tcW w:w="1741" w:type="dxa"/>
            <w:tcBorders/>
            <w:shd w:fill="auto" w:val="clear"/>
            <w:vAlign w:val="center"/>
          </w:tcPr>
          <w:p>
            <w:pPr>
              <w:pStyle w:val="TableContents"/>
              <w:spacing w:lineRule="auto" w:line="288" w:before="0" w:after="0"/>
              <w:ind w:left="0" w:right="0" w:hanging="0"/>
              <w:jc w:val="left"/>
              <w:rPr>
                <w:rFonts w:ascii="Times New Roman" w:hAnsi="Times New Roman"/>
                <w:b w:val="false"/>
                <w:sz w:val="20"/>
              </w:rPr>
            </w:pPr>
            <w:r>
              <w:rPr>
                <w:rFonts w:ascii="Times New Roman" w:hAnsi="Times New Roman"/>
                <w:b w:val="false"/>
                <w:sz w:val="20"/>
              </w:rPr>
              <w:t>Date: May 12, 2022</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bottom w:val="single" w:sz="4" w:space="0" w:color="000000"/>
            </w:tcBorders>
            <w:shd w:fill="auto" w:val="clear"/>
            <w:tcMar>
              <w:top w:w="0" w:type="dxa"/>
              <w:left w:w="0" w:type="dxa"/>
              <w:right w:w="0" w:type="dxa"/>
            </w:tcMar>
            <w:vAlign w:val="center"/>
          </w:tcPr>
          <w:p>
            <w:pPr>
              <w:pStyle w:val="TableContents"/>
              <w:spacing w:lineRule="auto" w:line="288" w:before="0" w:after="0"/>
              <w:ind w:left="0" w:right="0" w:hanging="0"/>
              <w:jc w:val="left"/>
              <w:rPr/>
            </w:pPr>
            <w:r>
              <w:rPr/>
              <w:t>  </w:t>
            </w:r>
            <w:r>
              <w:rPr>
                <w:rFonts w:ascii="Times New Roman" w:hAnsi="Times New Roman"/>
                <w:b w:val="false"/>
                <w:sz w:val="20"/>
              </w:rPr>
              <w:t>/s/ Michael Celano</w:t>
            </w:r>
          </w:p>
        </w:tc>
      </w:tr>
      <w:tr>
        <w:trPr/>
        <w:tc>
          <w:tcPr>
            <w:tcW w:w="1741"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shd w:fill="auto" w:val="clear"/>
            <w:vAlign w:val="center"/>
          </w:tcPr>
          <w:p>
            <w:pPr>
              <w:pStyle w:val="TableContents"/>
              <w:spacing w:lineRule="auto" w:line="288" w:before="0" w:after="0"/>
              <w:ind w:left="0" w:right="0" w:hanging="0"/>
              <w:jc w:val="left"/>
              <w:rPr/>
            </w:pPr>
            <w:r>
              <w:rPr/>
              <w:t>  </w:t>
            </w:r>
            <w:r>
              <w:rPr>
                <w:rFonts w:ascii="Times New Roman" w:hAnsi="Times New Roman"/>
                <w:b w:val="false"/>
                <w:sz w:val="20"/>
              </w:rPr>
              <w:t>Michael Celano</w:t>
            </w:r>
          </w:p>
        </w:tc>
      </w:tr>
      <w:tr>
        <w:trPr/>
        <w:tc>
          <w:tcPr>
            <w:tcW w:w="1741"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Chief Financial Officer</w:t>
            </w:r>
          </w:p>
        </w:tc>
      </w:tr>
      <w:tr>
        <w:trPr/>
        <w:tc>
          <w:tcPr>
            <w:tcW w:w="1741"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146" w:type="dxa"/>
            <w:tcBorders/>
            <w:shd w:fill="auto" w:val="clear"/>
            <w:vAlign w:val="center"/>
          </w:tcPr>
          <w:p>
            <w:pPr>
              <w:pStyle w:val="TableContents"/>
              <w:spacing w:lineRule="auto" w:line="288" w:before="0" w:after="0"/>
              <w:ind w:left="0" w:right="0" w:hanging="0"/>
              <w:jc w:val="left"/>
              <w:rPr/>
            </w:pPr>
            <w:r>
              <w:rPr/>
              <w:t> </w:t>
            </w:r>
          </w:p>
        </w:tc>
        <w:tc>
          <w:tcPr>
            <w:tcW w:w="3886" w:type="dxa"/>
            <w:tcBorders/>
            <w:shd w:fill="auto" w:val="clear"/>
            <w:vAlign w:val="center"/>
          </w:tcPr>
          <w:p>
            <w:pPr>
              <w:pStyle w:val="TableContents"/>
              <w:spacing w:lineRule="auto" w:line="252" w:before="0" w:after="0"/>
              <w:ind w:left="0" w:right="0" w:hanging="0"/>
              <w:jc w:val="left"/>
              <w:rPr/>
            </w:pPr>
            <w:r>
              <w:rPr/>
              <w:t>  </w:t>
            </w:r>
            <w:r>
              <w:rPr>
                <w:rFonts w:ascii="Times New Roman" w:hAnsi="Times New Roman"/>
                <w:b w:val="false"/>
                <w:sz w:val="20"/>
              </w:rPr>
              <w:t>(Principal Financial and Accounting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15561</Words>
  <CharactersWithSpaces>102642</CharactersWithSpaces>
  <Paragraphs>2662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