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Hamilton Thomas Edward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60"/>
        <w:spacing w:after="0" w:line="336"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4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8"/>
          </w:tcPr>
          <w:p>
            <w:pPr>
              <w:jc w:val="center"/>
              <w:ind w:right="4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64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PA</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19004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CYNWYD</w:t>
            </w: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1.875</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05/13/2025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05/13/2035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on the earlier of (a) May 13, 2026 or (b) the date of the Company's next annual meeting of stockholders, in each case subject to the Reporting Person's continued service on the Board of Directors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05/14/2025</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69848"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2025-05-14T15:41:25Z</dcterms:created>
  <dcterms:modified xsi:type="dcterms:W3CDTF">2025-05-14T15:41:25Z</dcterms:modified>
</cp:coreProperties>
</file>