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Larimar Therapeutics,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8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001-36510</w:t>
            </w:r>
          </w:p>
        </w:tc>
        <w:tc>
          <w:tcPr>
            <w:tcW w:w="1640" w:type="dxa"/>
            <w:vAlign w:val="bottom"/>
          </w:tcPr>
          <w:p>
            <w:pPr>
              <w:jc w:val="center"/>
              <w:ind w:left="848"/>
              <w:spacing w:after="0"/>
              <w:rPr>
                <w:sz w:val="20"/>
                <w:szCs w:val="20"/>
                <w:color w:val="auto"/>
              </w:rPr>
            </w:pPr>
            <w:r>
              <w:rPr>
                <w:rFonts w:ascii="Times New Roman" w:cs="Times New Roman" w:eastAsia="Times New Roman" w:hAnsi="Times New Roman"/>
                <w:sz w:val="12"/>
                <w:szCs w:val="12"/>
                <w:b w:val="1"/>
                <w:bCs w:val="1"/>
                <w:color w:val="auto"/>
                <w:w w:val="99"/>
              </w:rPr>
              <w:t>20-3857670</w:t>
            </w:r>
          </w:p>
        </w:tc>
      </w:tr>
      <w:tr>
        <w:trPr>
          <w:trHeight w:val="99"/>
        </w:trPr>
        <w:tc>
          <w:tcPr>
            <w:tcW w:w="1920" w:type="dxa"/>
            <w:vAlign w:val="bottom"/>
          </w:tcPr>
          <w:p>
            <w:pPr>
              <w:jc w:val="center"/>
              <w:ind w:right="788"/>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2280" w:type="dxa"/>
            <w:vAlign w:val="bottom"/>
          </w:tcPr>
          <w:p>
            <w:pPr>
              <w:ind w:left="86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4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920" w:type="dxa"/>
            <w:vAlign w:val="bottom"/>
          </w:tcPr>
          <w:p>
            <w:pPr>
              <w:jc w:val="center"/>
              <w:ind w:right="8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228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19" w:lineRule="exact"/>
        <w:rPr>
          <w:sz w:val="24"/>
          <w:szCs w:val="24"/>
          <w:color w:val="auto"/>
        </w:rPr>
      </w:pPr>
    </w:p>
    <w:p>
      <w:pPr>
        <w:sectPr>
          <w:pgSz w:w="11900" w:h="16838" w:orient="portrait"/>
          <w:cols w:equalWidth="0" w:num="1">
            <w:col w:w="9019"/>
          </w:cols>
          <w:pgMar w:left="1440" w:top="297" w:right="1440" w:bottom="1440" w:gutter="0" w:footer="0" w:header="0"/>
        </w:sectPr>
      </w:pPr>
    </w:p>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Three Bala Plaza East</w:t>
      </w:r>
    </w:p>
    <w:p>
      <w:pPr>
        <w:spacing w:after="0" w:line="2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19004</w:t>
      </w:r>
    </w:p>
    <w:p>
      <w:pPr>
        <w:spacing w:after="0" w:line="21" w:lineRule="exact"/>
        <w:rPr>
          <w:sz w:val="24"/>
          <w:szCs w:val="24"/>
          <w:color w:val="auto"/>
        </w:rPr>
      </w:pPr>
    </w:p>
    <w:p>
      <w:pPr>
        <w:sectPr>
          <w:pgSz w:w="11900" w:h="16838" w:orient="portrait"/>
          <w:cols w:equalWidth="0" w:num="2">
            <w:col w:w="5520" w:space="720"/>
            <w:col w:w="2779"/>
          </w:cols>
          <w:pgMar w:left="1440" w:top="297" w:right="1440"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109" w:lineRule="exact"/>
        <w:rPr>
          <w:sz w:val="24"/>
          <w:szCs w:val="24"/>
          <w:color w:val="auto"/>
        </w:rPr>
      </w:pPr>
    </w:p>
    <w:p>
      <w:pPr>
        <w:sectPr>
          <w:pgSz w:w="11900" w:h="16838" w:orient="portrait"/>
          <w:cols w:equalWidth="0" w:num="2">
            <w:col w:w="5460" w:space="720"/>
            <w:col w:w="2839"/>
          </w:cols>
          <w:pgMar w:left="1440" w:top="29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(844) 511-9056</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130810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8"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132"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4"/>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LRMR</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NASDAQ Global Market</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4"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3"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95250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123825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 Results of Operations and Financial Condition.</w:t>
      </w:r>
    </w:p>
    <w:p>
      <w:pPr>
        <w:spacing w:after="0" w:line="82"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On March 14, 2023, Larimar Therapeutics,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announced its financial results and operational highlights for the fourth quarter of 2022 and for the year ended December 31, 2022. A copy of the press release is being furnished as Exhibit 99.1 to this Current Report on Form 8-K and is incorporated herein by reference.</w:t>
      </w:r>
    </w:p>
    <w:p>
      <w:pPr>
        <w:spacing w:after="0" w:line="119"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On March 14, 2023, the Company posted on its website an updated slide presentation, which is attached as Exhibit 99.2 to this Current Report on</w:t>
      </w:r>
    </w:p>
    <w:p>
      <w:pPr>
        <w:spacing w:after="0" w:line="17"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Form 8-K and is incorporated herein by reference. Representatives of the Company will use the presentation in various meetings with investors, analysts and other parties from time to time.</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Below is a list of exhibits included with this Current Report on Form 8-K.</w:t>
      </w:r>
    </w:p>
    <w:p>
      <w:pPr>
        <w:sectPr>
          <w:pgSz w:w="11900" w:h="16838" w:orient="portrait"/>
          <w:cols w:equalWidth="0" w:num="1">
            <w:col w:w="9019"/>
          </w:cols>
          <w:pgMar w:left="1440" w:top="242" w:right="1440" w:bottom="1440" w:gutter="0" w:footer="0" w:header="0"/>
        </w:sectPr>
      </w:pP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8"/>
          <w:szCs w:val="8"/>
          <w:b w:val="1"/>
          <w:bCs w:val="1"/>
          <w:color w:val="auto"/>
        </w:rPr>
        <w:t>Exhibit</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b w:val="1"/>
          <w:bCs w:val="1"/>
          <w:color w:val="auto"/>
        </w:rPr>
        <w:t>No.</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Document</w:t>
      </w:r>
    </w:p>
    <w:p>
      <w:pPr>
        <w:spacing w:after="0" w:line="84" w:lineRule="exact"/>
        <w:rPr>
          <w:sz w:val="20"/>
          <w:szCs w:val="20"/>
          <w:color w:val="auto"/>
        </w:rPr>
      </w:pPr>
    </w:p>
    <w:p>
      <w:pPr>
        <w:sectPr>
          <w:pgSz w:w="11900" w:h="16838" w:orient="portrait"/>
          <w:cols w:equalWidth="0" w:num="2">
            <w:col w:w="3860" w:space="720"/>
            <w:col w:w="4439"/>
          </w:cols>
          <w:pgMar w:left="1440" w:top="242" w:right="1440" w:bottom="1440" w:gutter="0" w:footer="0" w:header="0"/>
          <w:type w:val="continuous"/>
        </w:sect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Press Release issued by Larimar Therapeutics, Inc. on March 14, 2023*</w:t>
      </w:r>
    </w:p>
    <w:p>
      <w:pPr>
        <w:spacing w:after="0" w:line="78"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1"/>
          <w:szCs w:val="11"/>
          <w:u w:val="single" w:color="auto"/>
          <w:color w:val="0000EE"/>
        </w:rPr>
        <w:t>Larimar Therapeutics, Inc. Corporate Presentation, dated March 14, 2023</w:t>
      </w:r>
    </w:p>
    <w:p>
      <w:pPr>
        <w:spacing w:after="0" w:line="78" w:lineRule="exact"/>
        <w:rPr>
          <w:sz w:val="20"/>
          <w:szCs w:val="20"/>
          <w:color w:val="auto"/>
        </w:rPr>
      </w:pPr>
    </w:p>
    <w:p>
      <w:pPr>
        <w:ind w:left="840" w:right="3759" w:hanging="8"/>
        <w:spacing w:after="0" w:line="561" w:lineRule="auto"/>
        <w:tabs>
          <w:tab w:leader="none" w:pos="142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 Furnished herewith.</w:t>
      </w:r>
    </w:p>
    <w:p>
      <w:pPr>
        <w:sectPr>
          <w:pgSz w:w="11900" w:h="16838" w:orient="portrait"/>
          <w:cols w:equalWidth="0" w:num="1">
            <w:col w:w="9019"/>
          </w:cols>
          <w:pgMar w:left="1440" w:top="242" w:right="1440"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Larimar Therapeutics,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March 14,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i w:val="1"/>
          <w:iCs w:val="1"/>
          <w:color w:val="auto"/>
        </w:rPr>
        <w:t>Name: Carole S. Ben-Maimon, M.D.</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i w:val="1"/>
          <w:iCs w:val="1"/>
          <w:color w:val="auto"/>
        </w:rPr>
        <w:t>Title: President and Chief Executive Officer</w:t>
      </w:r>
    </w:p>
    <w:p>
      <w:pPr>
        <w:sectPr>
          <w:pgSz w:w="11900" w:h="16838" w:orient="portrait"/>
          <w:cols w:equalWidth="0" w:num="1">
            <w:col w:w="9019"/>
          </w:cols>
          <w:pgMar w:left="1440" w:top="242" w:right="1440" w:bottom="1440" w:gutter="0" w:footer="0" w:header="0"/>
        </w:sectPr>
      </w:pPr>
    </w:p>
    <w:bookmarkStart w:id="3" w:name="page4"/>
    <w:bookmarkEnd w:id="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13335</wp:posOffset>
            </wp:positionV>
            <wp:extent cx="920115" cy="320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0115"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Larimar Therapeutics Reports Fourth Quarter and Full Year 2022 Operating and Financial Results</w:t>
      </w:r>
    </w:p>
    <w:p>
      <w:pPr>
        <w:spacing w:after="0" w:line="89" w:lineRule="exact"/>
        <w:rPr>
          <w:sz w:val="20"/>
          <w:szCs w:val="20"/>
          <w:color w:val="auto"/>
        </w:rPr>
      </w:pPr>
    </w:p>
    <w:p>
      <w:pPr>
        <w:ind w:left="1480" w:right="1099" w:hanging="288"/>
        <w:spacing w:after="0" w:line="283"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First cohort of Larimar’s Phase 2 dose exploration trial of CTI-1601 in participants with Friedreich’s ataxia (FA) is fully enrolled and proceeding as planned</w:t>
      </w:r>
    </w:p>
    <w:p>
      <w:pPr>
        <w:spacing w:after="0" w:line="43" w:lineRule="exact"/>
        <w:rPr>
          <w:rFonts w:ascii="Times New Roman" w:cs="Times New Roman" w:eastAsia="Times New Roman" w:hAnsi="Times New Roman"/>
          <w:sz w:val="12"/>
          <w:szCs w:val="12"/>
          <w:color w:val="auto"/>
        </w:rPr>
      </w:pPr>
    </w:p>
    <w:p>
      <w:pPr>
        <w:ind w:left="1480" w:right="1039" w:hanging="288"/>
        <w:spacing w:after="0" w:line="283"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Larimar expects to provide an update on the next steps of the Phase 2 trial in Q2 2023, after the FDA and independent data monitoring committee review data from the first cohort and provide feedback to the Company</w:t>
      </w:r>
    </w:p>
    <w:p>
      <w:pPr>
        <w:spacing w:after="0" w:line="43" w:lineRule="exact"/>
        <w:rPr>
          <w:rFonts w:ascii="Times New Roman" w:cs="Times New Roman" w:eastAsia="Times New Roman" w:hAnsi="Times New Roman"/>
          <w:sz w:val="12"/>
          <w:szCs w:val="12"/>
          <w:color w:val="auto"/>
        </w:rPr>
      </w:pPr>
    </w:p>
    <w:p>
      <w:pPr>
        <w:ind w:left="1480" w:right="1259" w:hanging="288"/>
        <w:spacing w:after="0" w:line="283"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Top-line safety, pharmacokinetic, and pharmacodynamic (e.g., frataxin level) data from both of the Phase 2 trial’s planned cohorts expected in 2H 2023</w:t>
      </w:r>
    </w:p>
    <w:p>
      <w:pPr>
        <w:spacing w:after="0" w:line="4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Cash and investments of $118.4 million at December 31, 2022 provides projected cash runway into 2H 2024</w:t>
      </w:r>
    </w:p>
    <w:p>
      <w:pPr>
        <w:spacing w:after="0" w:line="148" w:lineRule="exact"/>
        <w:rPr>
          <w:sz w:val="20"/>
          <w:szCs w:val="20"/>
          <w:color w:val="auto"/>
        </w:rPr>
      </w:pPr>
    </w:p>
    <w:p>
      <w:pPr>
        <w:ind w:left="840" w:right="107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Bala Cynwyd, PA, </w:t>
      </w:r>
      <w:r>
        <w:rPr>
          <w:rFonts w:ascii="Times New Roman" w:cs="Times New Roman" w:eastAsia="Times New Roman" w:hAnsi="Times New Roman"/>
          <w:sz w:val="12"/>
          <w:szCs w:val="12"/>
          <w:color w:val="auto"/>
        </w:rPr>
        <w:t>March 14, 2023 – Larimar Therapeutics, Inc. (“Larimar”) (Nasdaq: LRMR), a clinical-stage biotechnology company focused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developing treatments for complex rare diseases, today reported its fourth quarter and full year 2022 operating and financial results.</w:t>
      </w:r>
    </w:p>
    <w:p>
      <w:pPr>
        <w:spacing w:after="0" w:line="107" w:lineRule="exact"/>
        <w:rPr>
          <w:sz w:val="20"/>
          <w:szCs w:val="20"/>
          <w:color w:val="auto"/>
        </w:rPr>
      </w:pPr>
    </w:p>
    <w:p>
      <w:pPr>
        <w:jc w:val="both"/>
        <w:ind w:left="840" w:right="1039"/>
        <w:spacing w:after="0" w:line="278" w:lineRule="auto"/>
        <w:rPr>
          <w:sz w:val="20"/>
          <w:szCs w:val="20"/>
          <w:color w:val="auto"/>
        </w:rPr>
      </w:pPr>
      <w:r>
        <w:rPr>
          <w:rFonts w:ascii="Times New Roman" w:cs="Times New Roman" w:eastAsia="Times New Roman" w:hAnsi="Times New Roman"/>
          <w:sz w:val="11"/>
          <w:szCs w:val="11"/>
          <w:color w:val="auto"/>
        </w:rPr>
        <w:t>“Our recent progress provides a strong foundation for growth as we work to develop CTI-1601 as the first FA therapy designed to potentially address frataxin deficiency, which is the underlying cause of the disease,” said Carole Ben-Maimon, MD, President and Chief Executive Officer of Larimar. “The first cohort of our Phase 2 trial is fully enrolled, with an update that will outline the next steps for the trial anticipated in the second quarter. We also recently strengthened our balance sheet and leadership team with a financing and the appointment of long-time Johnson &amp; Johnson veteran</w:t>
      </w:r>
    </w:p>
    <w:p>
      <w:pPr>
        <w:spacing w:after="0" w:line="1" w:lineRule="exact"/>
        <w:rPr>
          <w:sz w:val="20"/>
          <w:szCs w:val="20"/>
          <w:color w:val="auto"/>
        </w:rPr>
      </w:pPr>
    </w:p>
    <w:p>
      <w:pPr>
        <w:jc w:val="both"/>
        <w:ind w:left="840" w:right="959"/>
        <w:spacing w:after="0" w:line="255" w:lineRule="auto"/>
        <w:rPr>
          <w:sz w:val="20"/>
          <w:szCs w:val="20"/>
          <w:color w:val="auto"/>
        </w:rPr>
      </w:pPr>
      <w:r>
        <w:rPr>
          <w:rFonts w:ascii="Times New Roman" w:cs="Times New Roman" w:eastAsia="Times New Roman" w:hAnsi="Times New Roman"/>
          <w:sz w:val="12"/>
          <w:szCs w:val="12"/>
          <w:color w:val="auto"/>
        </w:rPr>
        <w:t>Dr. Gopi Shankar as our Chief Development Officer. Looking forward, we believe these accomplishments, together with our Phase 1 proof-of-concept data, leave us well positioned to build on our positive momentum as we seek to improve the therapeutic paradigm for patients with FA, who remain in need of a therapy that may address the root cause of the disease by increasing frataxin levels.”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2022 and Subsequent Highlights</w:t>
      </w:r>
    </w:p>
    <w:p>
      <w:pPr>
        <w:spacing w:after="0" w:line="91" w:lineRule="exact"/>
        <w:rPr>
          <w:sz w:val="20"/>
          <w:szCs w:val="20"/>
          <w:color w:val="auto"/>
        </w:rPr>
      </w:pPr>
    </w:p>
    <w:p>
      <w:pPr>
        <w:ind w:left="1480" w:right="859" w:hanging="288"/>
        <w:spacing w:after="0" w:line="254" w:lineRule="auto"/>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Larimar recently completed enrollment in the 25 mg cohort of a Phase 2, four-week, placebo-controlled, dose exploration trial of CTI-1601 in participants with FA. The trial was cleared to begin enrollment in this first cohort in September 2022, when the U.S. Food and Drug Administration (FDA) lifted the full clinical hold previously placed on the CTI-1601 program and imposed a partial hold. The initiation of additional cohorts in the Phase 2 trial and/or the initiation of other clinical trials of CTI-1601 are contingent on a review of the Phase 2 trial’s 25 mg cohort data by its independent data monitoring committee (IDMC) and the FDA. Larimar expects to provide an update on the next steps for the Phase 2 trial in Q2 2023, after it receives feedback from the FDA and IDMC on their review of data from the trial’s 25 mg cohort. Top-line safety, pharmacokinetic, and pharmacodynamic (e.g., frataxin level) data from both cohorts of the Phase 2 trial are expected in 2H 2023.</w:t>
      </w:r>
    </w:p>
    <w:p>
      <w:pPr>
        <w:spacing w:after="0" w:line="64" w:lineRule="exact"/>
        <w:rPr>
          <w:rFonts w:ascii="Times New Roman" w:cs="Times New Roman" w:eastAsia="Times New Roman" w:hAnsi="Times New Roman"/>
          <w:sz w:val="12"/>
          <w:szCs w:val="12"/>
          <w:color w:val="auto"/>
        </w:rPr>
      </w:pPr>
    </w:p>
    <w:p>
      <w:pPr>
        <w:ind w:left="1480" w:right="959" w:hanging="288"/>
        <w:spacing w:after="0" w:line="279" w:lineRule="auto"/>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September 2022, Larimar raised net proceeds of approximately $75.2 million through an underwritten offering of common stock, with Deerfield Management and other notable life science investors participating in the offering.</w:t>
      </w:r>
    </w:p>
    <w:p>
      <w:pPr>
        <w:spacing w:after="0" w:line="48" w:lineRule="exact"/>
        <w:rPr>
          <w:rFonts w:ascii="Times New Roman" w:cs="Times New Roman" w:eastAsia="Times New Roman" w:hAnsi="Times New Roman"/>
          <w:sz w:val="12"/>
          <w:szCs w:val="12"/>
          <w:color w:val="auto"/>
        </w:rPr>
      </w:pPr>
    </w:p>
    <w:p>
      <w:pPr>
        <w:ind w:left="1480" w:right="1099" w:hanging="288"/>
        <w:spacing w:after="0" w:line="279" w:lineRule="auto"/>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October 2022, Larimar announced the issuance of U.S. Patent No. 11,459,363, which provides composition of matter protection for CTI-1601 into at least July 2040.</w:t>
      </w:r>
    </w:p>
    <w:p>
      <w:pPr>
        <w:spacing w:after="0" w:line="48" w:lineRule="exact"/>
        <w:rPr>
          <w:rFonts w:ascii="Times New Roman" w:cs="Times New Roman" w:eastAsia="Times New Roman" w:hAnsi="Times New Roman"/>
          <w:sz w:val="12"/>
          <w:szCs w:val="12"/>
          <w:color w:val="auto"/>
        </w:rPr>
      </w:pPr>
    </w:p>
    <w:p>
      <w:pPr>
        <w:ind w:left="1480" w:right="939" w:hanging="288"/>
        <w:spacing w:after="0" w:line="257" w:lineRule="auto"/>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February 2023, Larimar strengthened its leadership team with the appointment of Gopi Shankar, PhD, MBA, FAAPS, to the newly created position of Chief Development Officer. In this role, Dr. Shankar is responsible for the strategic development of Larimar’s clinical and R&amp;D programs. Dr. Shankar joined Larimar with more than 20 years of experience leading the development of novel biologics, most recently serving as Vice President and Global Head, Biologics Development Sciences at Janssen Research &amp; Development (a pharmaceutical company of Johnson &amp; Johnson, Inc.).</w:t>
      </w:r>
    </w:p>
    <w:p>
      <w:pPr>
        <w:sectPr>
          <w:pgSz w:w="11900" w:h="16838" w:orient="portrait"/>
          <w:cols w:equalWidth="0" w:num="1">
            <w:col w:w="9019"/>
          </w:cols>
          <w:pgMar w:left="1440" w:top="125" w:right="1440" w:bottom="1440" w:gutter="0" w:footer="0" w:header="0"/>
        </w:sectPr>
      </w:pPr>
    </w:p>
    <w:bookmarkStart w:id="4" w:name="page5"/>
    <w:bookmarkEnd w:id="4"/>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Fourth Quarter and Full Year 2022 Financial Results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As of December 31, 2022, the Company had cash, cash equivalents and marketable securities totaling $118.4 million.</w:t>
      </w:r>
    </w:p>
    <w:p>
      <w:pPr>
        <w:spacing w:after="0" w:line="150"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The Company reported a net loss for the fourth quarter of 2022 of $9.4 million, or $0.21 per share, compared to a net loss of $9.1 million, or $0.50 per share, for the fourth quarter of 2021.</w:t>
      </w:r>
    </w:p>
    <w:p>
      <w:pPr>
        <w:spacing w:after="0" w:line="111" w:lineRule="exact"/>
        <w:rPr>
          <w:sz w:val="20"/>
          <w:szCs w:val="20"/>
          <w:color w:val="auto"/>
        </w:rPr>
      </w:pPr>
    </w:p>
    <w:p>
      <w:pPr>
        <w:ind w:left="840" w:right="959"/>
        <w:spacing w:after="0" w:line="256" w:lineRule="auto"/>
        <w:rPr>
          <w:sz w:val="20"/>
          <w:szCs w:val="20"/>
          <w:color w:val="auto"/>
        </w:rPr>
      </w:pPr>
      <w:r>
        <w:rPr>
          <w:rFonts w:ascii="Times New Roman" w:cs="Times New Roman" w:eastAsia="Times New Roman" w:hAnsi="Times New Roman"/>
          <w:sz w:val="12"/>
          <w:szCs w:val="12"/>
          <w:color w:val="auto"/>
        </w:rPr>
        <w:t>Research and development expenses for the fourth quarter of 2022 were $7.2 million compared to $6.3 million for the fourth quarter of 2021. The increase in research and development expenses compared to the prior year period was primarily driven by an increase of $1.8 million in clinical costs associated with the ongoing Phase 2 trial, an increase of $0.4 million in personnel expense, an increase of $0.3 million associated with the license milestone achievement in Q4 2022 and an increase of $0.1 million in non-cash, stock-based compensation expense associated with stock option grants made in 2022, partially offset by a decrease of $0.5 million in drug manufacturing costs, a decrease of $0.4 million in consulting expenditures, a decrease of $0.4 million in nonclinical development costs and a decrease of $0.3 million in internal lab costs.</w:t>
      </w:r>
    </w:p>
    <w:p>
      <w:pPr>
        <w:spacing w:after="0" w:line="125"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General and administrative expenses for the fourth quarter of 2022 were $3.2 million compared to $2.8 million for the fourth quarter of 2021. The increase in general and administrative expense was primarily driven by an increase of $0.2 million in legal fees associated with the new ATM agreement and patent work performed during Q4 2022, an increase of $0.2 million in personnel expense primarily associated with an employee severance agreement, partially offset by a decrease of $0.2 million in operational costs primarily related to technology and recruiting services.</w:t>
      </w:r>
    </w:p>
    <w:p>
      <w:pPr>
        <w:spacing w:after="0" w:line="122" w:lineRule="exact"/>
        <w:rPr>
          <w:sz w:val="20"/>
          <w:szCs w:val="20"/>
          <w:color w:val="auto"/>
        </w:rPr>
      </w:pPr>
    </w:p>
    <w:p>
      <w:pPr>
        <w:ind w:left="840" w:right="939"/>
        <w:spacing w:after="0" w:line="279" w:lineRule="auto"/>
        <w:rPr>
          <w:sz w:val="20"/>
          <w:szCs w:val="20"/>
          <w:color w:val="auto"/>
        </w:rPr>
      </w:pPr>
      <w:r>
        <w:rPr>
          <w:rFonts w:ascii="Times New Roman" w:cs="Times New Roman" w:eastAsia="Times New Roman" w:hAnsi="Times New Roman"/>
          <w:sz w:val="12"/>
          <w:szCs w:val="12"/>
          <w:color w:val="auto"/>
        </w:rPr>
        <w:t>For the full year 2022, the Company reported a net loss of $35.4 million, or $1.37 per share, compared to a net loss of $50.6 million, or $2.95 per share for the same period in 2021.</w:t>
      </w:r>
    </w:p>
    <w:p>
      <w:pPr>
        <w:spacing w:after="0" w:line="111" w:lineRule="exact"/>
        <w:rPr>
          <w:sz w:val="20"/>
          <w:szCs w:val="20"/>
          <w:color w:val="auto"/>
        </w:rPr>
      </w:pPr>
    </w:p>
    <w:p>
      <w:pPr>
        <w:ind w:left="840" w:right="959"/>
        <w:spacing w:after="0" w:line="256" w:lineRule="auto"/>
        <w:rPr>
          <w:sz w:val="20"/>
          <w:szCs w:val="20"/>
          <w:color w:val="auto"/>
        </w:rPr>
      </w:pPr>
      <w:r>
        <w:rPr>
          <w:rFonts w:ascii="Times New Roman" w:cs="Times New Roman" w:eastAsia="Times New Roman" w:hAnsi="Times New Roman"/>
          <w:sz w:val="12"/>
          <w:szCs w:val="12"/>
          <w:color w:val="auto"/>
        </w:rPr>
        <w:t>Research and development expenses for the full year 2022 were $24.3 million compared to $38.4 million for the same period in 2021. The decrease in research and development expenses was primarily driven by a decrease of $9.5 million in drug manufacturing costs, a decrease of $3.7 million in nonclinical development costs, a decrease of $1.6 million in clinical expense, a decrease of $0.9 million in consulting expenditures, and a decrease of $0.7 million in internal lab costs. These decreases were partially offset by an increase of $1.2 million in personnel expense, an increase of $0.7 million in non-cash, stock-based compensation expense associated with stock option grants made in 2021 and 2022 and an increase of $0.3 million in royalty fees associated with the milestone achieved in 2022.</w:t>
      </w:r>
    </w:p>
    <w:p>
      <w:pPr>
        <w:spacing w:after="0" w:line="125" w:lineRule="exact"/>
        <w:rPr>
          <w:sz w:val="20"/>
          <w:szCs w:val="20"/>
          <w:color w:val="auto"/>
        </w:rPr>
      </w:pPr>
    </w:p>
    <w:p>
      <w:pPr>
        <w:ind w:left="840" w:right="979"/>
        <w:spacing w:after="0" w:line="257" w:lineRule="auto"/>
        <w:rPr>
          <w:sz w:val="20"/>
          <w:szCs w:val="20"/>
          <w:color w:val="auto"/>
        </w:rPr>
      </w:pPr>
      <w:r>
        <w:rPr>
          <w:rFonts w:ascii="Times New Roman" w:cs="Times New Roman" w:eastAsia="Times New Roman" w:hAnsi="Times New Roman"/>
          <w:sz w:val="12"/>
          <w:szCs w:val="12"/>
          <w:color w:val="auto"/>
        </w:rPr>
        <w:t>General and administrative expenses for the full year 2022 were $12.2 million compared to $12.1 million for the same period in 2021. The increase in general and administrative expense was primarily driven by an increase of $0.5 million in stock-based compensation expense associated with stock option grants made in 2021 and 2022 and an increase of $0.5 million in personnel expense, partially offset by a decrease of $0.6 million in operational costs primarily related to technology and recruiting services and a decrease of $0.2 million in professional fees primarily associated with legal and consulting expense.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Larimar Therapeutics</w:t>
      </w:r>
    </w:p>
    <w:p>
      <w:pPr>
        <w:spacing w:after="0" w:line="8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 xml:space="preserve">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Times New Roman" w:cs="Times New Roman" w:eastAsia="Times New Roman" w:hAnsi="Times New Roman"/>
          <w:sz w:val="12"/>
          <w:szCs w:val="12"/>
          <w:u w:val="single" w:color="auto"/>
          <w:color w:val="auto"/>
        </w:rPr>
        <w:t>https://larimartx.com</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jc w:val="both"/>
        <w:ind w:left="840" w:right="89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Larimar’s expectations regarding its ability to resolve the partial clinical hold imposed by the FDA related to</w:t>
      </w:r>
    </w:p>
    <w:p>
      <w:pPr>
        <w:sectPr>
          <w:pgSz w:w="11900" w:h="16838" w:orient="portrait"/>
          <w:cols w:equalWidth="0" w:num="1">
            <w:col w:w="9019"/>
          </w:cols>
          <w:pgMar w:left="1440" w:top="224" w:right="1440" w:bottom="1440" w:gutter="0" w:footer="0" w:header="0"/>
        </w:sectPr>
      </w:pPr>
    </w:p>
    <w:bookmarkStart w:id="5" w:name="page6"/>
    <w:bookmarkEnd w:id="5"/>
    <w:p>
      <w:pPr>
        <w:ind w:left="840" w:right="8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CTI-1601, Larimar’s ability to develop and commercialize CTI-1601 and other planned product candidates, Larimar’s planned research and development efforts, including the timing of its CTI-1601 clinical development plan and other matters regarding Larimar’s business strategies, ability to raise capital, use of capital, results of operations and financial position, and plans and objectives for future operations.</w:t>
      </w:r>
    </w:p>
    <w:p>
      <w:pPr>
        <w:spacing w:after="0" w:line="119" w:lineRule="exact"/>
        <w:rPr>
          <w:sz w:val="20"/>
          <w:szCs w:val="20"/>
          <w:color w:val="auto"/>
        </w:rPr>
      </w:pPr>
    </w:p>
    <w:p>
      <w:pPr>
        <w:ind w:left="840" w:right="839"/>
        <w:spacing w:after="0" w:line="276" w:lineRule="auto"/>
        <w:rPr>
          <w:sz w:val="20"/>
          <w:szCs w:val="20"/>
          <w:color w:val="auto"/>
        </w:rPr>
      </w:pPr>
      <w:r>
        <w:rPr>
          <w:rFonts w:ascii="Times New Roman" w:cs="Times New Roman" w:eastAsia="Times New Roman" w:hAnsi="Times New Roman"/>
          <w:sz w:val="11"/>
          <w:szCs w:val="11"/>
          <w:color w:val="auto"/>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the CTI-1601 clinical trial including the FDA review of data from cohort one from the Phase 2 dose exploration trial and FDA‘s agreement to escalate the dosing in cohort two, the timing and outcomes of Larimar’s interactions with the FDA concerning the partial clinical hold, the success, cost and timing of Larimar’s product development activities, nonclinical studies and clinical trials, including CTI-1601 clinical milestones; that preliminary clinical trial results may differ from final clinical trial results, that earlier non-clinical and clinical data and testing of CTI-1601 may not be predictive of the results or success of later clinical trials, and assessments; the ongoing impact of the COVID-19 pandemic on Larimar’s future clinical trials, manufacturing, regulatory, nonclinical study timelines and operations, and general economic conditions; Larimar’s ability and the ability of third-party manufacturers Larimar engages, to optimize and scale CTI-1601’s manufacturing process; Larimar’s ability to obtain regulatory approvals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Times New Roman" w:cs="Times New Roman" w:eastAsia="Times New Roman" w:hAnsi="Times New Roman"/>
          <w:sz w:val="11"/>
          <w:szCs w:val="11"/>
          <w:u w:val="single" w:color="auto"/>
          <w:color w:val="auto"/>
        </w:rPr>
        <w:t>www.sec.gov</w:t>
      </w:r>
      <w:r>
        <w:rPr>
          <w:rFonts w:ascii="Times New Roman" w:cs="Times New Roman" w:eastAsia="Times New Roman" w:hAnsi="Times New Roman"/>
          <w:sz w:val="11"/>
          <w:szCs w:val="11"/>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2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Joyce Allaire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LifeSci Advisors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jallaire@lifesciadvisors.com</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(212) 915-2569</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Company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Michael Celano</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mcelano@larimartx.com</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(484) 414-2715</w:t>
      </w:r>
    </w:p>
    <w:p>
      <w:pPr>
        <w:sectPr>
          <w:pgSz w:w="11900" w:h="16838" w:orient="portrait"/>
          <w:cols w:equalWidth="0" w:num="1">
            <w:col w:w="9019"/>
          </w:cols>
          <w:pgMar w:left="1440" w:top="22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Larimar Therapeutics,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Consolidated Balance Sheet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(unaudited)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58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r>
      <w:tr>
        <w:trPr>
          <w:trHeight w:val="124"/>
        </w:trPr>
        <w:tc>
          <w:tcPr>
            <w:tcW w:w="5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26,825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70,097</w:t>
            </w:r>
          </w:p>
        </w:tc>
      </w:tr>
      <w:tr>
        <w:trPr>
          <w:trHeight w:val="144"/>
        </w:trPr>
        <w:tc>
          <w:tcPr>
            <w:tcW w:w="58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Marketable securities</w:t>
            </w:r>
          </w:p>
        </w:tc>
        <w:tc>
          <w:tcPr>
            <w:tcW w:w="100" w:type="dxa"/>
            <w:vAlign w:val="bottom"/>
          </w:tcPr>
          <w:p>
            <w:pPr>
              <w:spacing w:after="0"/>
              <w:rPr>
                <w:sz w:val="12"/>
                <w:szCs w:val="12"/>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91,603</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2,311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2,107</w:t>
            </w:r>
          </w:p>
        </w:tc>
      </w:tr>
      <w:tr>
        <w:trPr>
          <w:trHeight w:val="142"/>
        </w:trPr>
        <w:tc>
          <w:tcPr>
            <w:tcW w:w="586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Total current assets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120,739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72,204</w:t>
            </w:r>
          </w:p>
        </w:tc>
        <w:tc>
          <w:tcPr>
            <w:tcW w:w="8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831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1,049</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2,858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3,406</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1,339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1,339</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669</w:t>
            </w:r>
          </w:p>
        </w:tc>
      </w:tr>
      <w:tr>
        <w:trPr>
          <w:trHeight w:val="20"/>
        </w:trPr>
        <w:tc>
          <w:tcPr>
            <w:tcW w:w="5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126,405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78,667</w:t>
            </w:r>
          </w:p>
        </w:tc>
      </w:tr>
      <w:tr>
        <w:trPr>
          <w:trHeight w:val="153"/>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1,686</w:t>
            </w:r>
          </w:p>
        </w:tc>
        <w:tc>
          <w:tcPr>
            <w:tcW w:w="2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1,660</w:t>
            </w:r>
          </w:p>
        </w:tc>
      </w:tr>
      <w:tr>
        <w:trPr>
          <w:trHeight w:val="144"/>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Accrued expenses</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8,408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6,592</w:t>
            </w:r>
          </w:p>
        </w:tc>
      </w:tr>
      <w:tr>
        <w:trPr>
          <w:trHeight w:val="144"/>
        </w:trPr>
        <w:tc>
          <w:tcPr>
            <w:tcW w:w="58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100" w:type="dxa"/>
            <w:vAlign w:val="bottom"/>
          </w:tcPr>
          <w:p>
            <w:pPr>
              <w:spacing w:after="0"/>
              <w:rPr>
                <w:sz w:val="12"/>
                <w:szCs w:val="12"/>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611</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594</w:t>
            </w:r>
          </w:p>
        </w:tc>
      </w:tr>
      <w:tr>
        <w:trPr>
          <w:trHeight w:val="20"/>
        </w:trPr>
        <w:tc>
          <w:tcPr>
            <w:tcW w:w="5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10,705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8,846</w:t>
            </w:r>
          </w:p>
        </w:tc>
      </w:tr>
      <w:tr>
        <w:trPr>
          <w:trHeight w:val="144"/>
        </w:trPr>
        <w:tc>
          <w:tcPr>
            <w:tcW w:w="58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5,408</w:t>
            </w:r>
          </w:p>
        </w:tc>
      </w:tr>
      <w:tr>
        <w:trPr>
          <w:trHeight w:val="20"/>
        </w:trPr>
        <w:tc>
          <w:tcPr>
            <w:tcW w:w="5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liabilities</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15,502</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14,254</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Commitments and contingencies (See Note 8)</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3"/>
        </w:trPr>
        <w:tc>
          <w:tcPr>
            <w:tcW w:w="5860" w:type="dxa"/>
            <w:vAlign w:val="bottom"/>
          </w:tcPr>
          <w:p>
            <w:pPr>
              <w:ind w:left="480"/>
              <w:spacing w:after="0" w:line="133" w:lineRule="exact"/>
              <w:rPr>
                <w:sz w:val="20"/>
                <w:szCs w:val="20"/>
                <w:color w:val="auto"/>
              </w:rPr>
            </w:pPr>
            <w:r>
              <w:rPr>
                <w:rFonts w:ascii="Times New Roman" w:cs="Times New Roman" w:eastAsia="Times New Roman" w:hAnsi="Times New Roman"/>
                <w:sz w:val="12"/>
                <w:szCs w:val="12"/>
                <w:color w:val="auto"/>
              </w:rPr>
              <w:t>Preferred stock; $0.001 par value per share; 5,000,000 shares authorized as of December 31, 2022 and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58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December 31, 2021; no shares issued and outstanding as of December 31, 2022 and December 31, 2021</w:t>
            </w:r>
          </w:p>
        </w:tc>
        <w:tc>
          <w:tcPr>
            <w:tcW w:w="100" w:type="dxa"/>
            <w:vAlign w:val="bottom"/>
          </w:tcPr>
          <w:p>
            <w:pPr>
              <w:spacing w:after="0"/>
              <w:rPr>
                <w:sz w:val="13"/>
                <w:szCs w:val="13"/>
                <w:color w:val="auto"/>
              </w:rPr>
            </w:pP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860" w:type="dxa"/>
            <w:vAlign w:val="bottom"/>
            <w:shd w:val="clear" w:color="auto" w:fill="CCEEFF"/>
          </w:tcPr>
          <w:p>
            <w:pPr>
              <w:ind w:left="480"/>
              <w:spacing w:after="0" w:line="133" w:lineRule="exact"/>
              <w:rPr>
                <w:sz w:val="20"/>
                <w:szCs w:val="20"/>
                <w:color w:val="auto"/>
              </w:rPr>
            </w:pPr>
            <w:r>
              <w:rPr>
                <w:rFonts w:ascii="Times New Roman" w:cs="Times New Roman" w:eastAsia="Times New Roman" w:hAnsi="Times New Roman"/>
                <w:sz w:val="12"/>
                <w:szCs w:val="12"/>
                <w:color w:val="auto"/>
              </w:rPr>
              <w:t>Common stock, $0.001 par value per share; 115,000,000 shares authorized as of December 31, 2022 and</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5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December 31, 2021; 43,269,200 and 17,710,450 shares issued and outstanding as of December 31, 2022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5"/>
        </w:trPr>
        <w:tc>
          <w:tcPr>
            <w:tcW w:w="5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and December 31, 2021, respectively</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262,496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180,645</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(151,605)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(116,250)</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00" w:type="dxa"/>
            <w:vAlign w:val="bottom"/>
          </w:tcPr>
          <w:p>
            <w:pPr>
              <w:spacing w:after="0"/>
              <w:rPr>
                <w:sz w:val="12"/>
                <w:szCs w:val="12"/>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5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110,903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64,413</w:t>
            </w:r>
          </w:p>
        </w:tc>
      </w:tr>
      <w:tr>
        <w:trPr>
          <w:trHeight w:val="149"/>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126,405</w:t>
            </w: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78,667</w:t>
            </w:r>
          </w:p>
        </w:tc>
        <w:tc>
          <w:tcPr>
            <w:tcW w:w="80" w:type="dxa"/>
            <w:vAlign w:val="bottom"/>
          </w:tcPr>
          <w:p>
            <w:pPr>
              <w:spacing w:after="0"/>
              <w:rPr>
                <w:sz w:val="12"/>
                <w:szCs w:val="12"/>
                <w:color w:val="auto"/>
              </w:rPr>
            </w:pPr>
          </w:p>
        </w:tc>
      </w:tr>
    </w:tbl>
    <w:p>
      <w:pPr>
        <w:sectPr>
          <w:pgSz w:w="11900" w:h="16838" w:orient="portrait"/>
          <w:cols w:equalWidth="0" w:num="1">
            <w:col w:w="9019"/>
          </w:cols>
          <w:pgMar w:left="1440" w:top="224"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82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382905"/>
                    </a:xfrm>
                    <a:prstGeom prst="rect">
                      <a:avLst/>
                    </a:prstGeom>
                    <a:noFill/>
                  </pic:spPr>
                </pic:pic>
              </a:graphicData>
            </a:graphic>
          </wp:anchor>
        </w:drawing>
        <w:t>Larimar Therapeutics,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gridSpan w:val="5"/>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4"/>
              </w:rPr>
              <w:t>Three Months Ended December 31,</w:t>
            </w:r>
          </w:p>
        </w:tc>
        <w:tc>
          <w:tcPr>
            <w:tcW w:w="60" w:type="dxa"/>
            <w:vAlign w:val="bottom"/>
          </w:tcPr>
          <w:p>
            <w:pPr>
              <w:spacing w:after="0"/>
              <w:rPr>
                <w:sz w:val="10"/>
                <w:szCs w:val="10"/>
                <w:color w:val="auto"/>
              </w:rPr>
            </w:pPr>
          </w:p>
        </w:tc>
        <w:tc>
          <w:tcPr>
            <w:tcW w:w="148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88"/>
        </w:trPr>
        <w:tc>
          <w:tcPr>
            <w:tcW w:w="39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16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Borders>
              <w:top w:val="single" w:sz="8" w:color="auto"/>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7"/>
                <w:szCs w:val="7"/>
                <w:color w:val="auto"/>
              </w:rPr>
            </w:pPr>
          </w:p>
        </w:tc>
      </w:tr>
      <w:tr>
        <w:trPr>
          <w:trHeight w:val="124"/>
        </w:trPr>
        <w:tc>
          <w:tcPr>
            <w:tcW w:w="3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expenses:</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7,218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6,292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24,250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38,396</w:t>
            </w:r>
          </w:p>
        </w:tc>
      </w:tr>
      <w:tr>
        <w:trPr>
          <w:trHeight w:val="144"/>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3,221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2,794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12,276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12,069</w:t>
            </w:r>
          </w:p>
        </w:tc>
      </w:tr>
      <w:tr>
        <w:trPr>
          <w:trHeight w:val="142"/>
        </w:trPr>
        <w:tc>
          <w:tcPr>
            <w:tcW w:w="39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10,439</w:t>
            </w: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9,086</w:t>
            </w: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36,526</w:t>
            </w: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50,465</w:t>
            </w:r>
          </w:p>
        </w:tc>
        <w:tc>
          <w:tcPr>
            <w:tcW w:w="80" w:type="dxa"/>
            <w:vAlign w:val="bottom"/>
          </w:tcPr>
          <w:p>
            <w:pPr>
              <w:spacing w:after="0"/>
              <w:rPr>
                <w:sz w:val="12"/>
                <w:szCs w:val="12"/>
                <w:color w:val="auto"/>
              </w:rPr>
            </w:pPr>
          </w:p>
        </w:tc>
      </w:tr>
      <w:tr>
        <w:trPr>
          <w:trHeight w:val="14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(10,439)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(9,086)</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(36,526)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(50,465)</w:t>
            </w: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income (expense), net</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1,014</w:t>
            </w:r>
          </w:p>
        </w:tc>
        <w:tc>
          <w:tcPr>
            <w:tcW w:w="1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1,171</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(171)</w:t>
            </w:r>
          </w:p>
        </w:tc>
      </w:tr>
      <w:tr>
        <w:trPr>
          <w:trHeight w:val="20"/>
        </w:trPr>
        <w:tc>
          <w:tcPr>
            <w:tcW w:w="3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(9,425)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(9,134)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(35,355)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(50,636)</w:t>
            </w: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share, basic and diluted</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tcPr>
          <w:p>
            <w:pPr>
              <w:spacing w:after="0"/>
              <w:rPr>
                <w:sz w:val="14"/>
                <w:szCs w:val="14"/>
                <w:color w:val="auto"/>
              </w:rPr>
            </w:pPr>
          </w:p>
        </w:tc>
      </w:tr>
      <w:tr>
        <w:trPr>
          <w:trHeight w:val="14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 and diluted</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43,897,603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18,338,853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6"/>
              </w:rPr>
              <w:t>25,761,394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17,164,284</w:t>
            </w:r>
          </w:p>
        </w:tc>
      </w:tr>
      <w:tr>
        <w:trPr>
          <w:trHeight w:val="27"/>
        </w:trPr>
        <w:tc>
          <w:tcPr>
            <w:tcW w:w="3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872"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2023-03-14T06:56:40Z</dcterms:created>
  <dcterms:modified xsi:type="dcterms:W3CDTF">2023-03-14T06:56:40Z</dcterms:modified>
</cp:coreProperties>
</file>