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333-268312</w:t>
      </w: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160020</wp:posOffset>
            </wp:positionV>
            <wp:extent cx="261429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17,162,472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offering 17,162,472 shares of our common stock.</w:t>
      </w:r>
    </w:p>
    <w:p>
      <w:pPr>
        <w:spacing w:after="0" w:line="225" w:lineRule="exact"/>
        <w:rPr>
          <w:sz w:val="24"/>
          <w:szCs w:val="24"/>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Deerfield Management Company, L.P., which we refer to as Deerfield Management, our largest stockholder, and/or certain of its affiliates, which we refer to collectively with Deerfield Management as the Deerfield Funds, have agreed to purchase an aggregate of 4,290,617 shares of our common stock offered pursuant to this prospectus supplement in this offering at the public offering price.</w:t>
      </w:r>
    </w:p>
    <w:p>
      <w:pPr>
        <w:spacing w:after="0" w:line="176" w:lineRule="exact"/>
        <w:rPr>
          <w:sz w:val="24"/>
          <w:szCs w:val="24"/>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February 13, 2024, the last reported sale price of our common stock was $8.74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right="68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S-8 of this prospectus supplement, as well as in the documents incorporated or deemed to be incorporated by reference into this prospectus supplement and the accompanying prospectus.</w:t>
      </w:r>
    </w:p>
    <w:p>
      <w:pPr>
        <w:spacing w:after="0" w:line="132" w:lineRule="exact"/>
        <w:rPr>
          <w:sz w:val="24"/>
          <w:szCs w:val="24"/>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0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$ 8.7400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$ 0.5244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$ 8.2156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141,000,005</w:t>
            </w:r>
          </w:p>
        </w:tc>
        <w:tc>
          <w:tcPr>
            <w:tcW w:w="80" w:type="dxa"/>
            <w:vAlign w:val="bottom"/>
            <w:shd w:val="clear" w:color="auto" w:fill="CCEEFF"/>
          </w:tcPr>
          <w:p>
            <w:pPr>
              <w:spacing w:after="0"/>
              <w:rPr>
                <w:sz w:val="18"/>
                <w:szCs w:val="18"/>
                <w:color w:val="auto"/>
              </w:rPr>
            </w:pPr>
          </w:p>
        </w:tc>
      </w:tr>
    </w:tbl>
    <w:p>
      <w:pPr>
        <w:spacing w:after="0" w:line="225"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beginning on page S-24 of this prospectus supplement for additional information regarding underwriting compensation.</w:t>
      </w:r>
    </w:p>
    <w:p>
      <w:pPr>
        <w:spacing w:after="0" w:line="225" w:lineRule="exact"/>
        <w:rPr>
          <w:sz w:val="24"/>
          <w:szCs w:val="24"/>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up to 30 days from the date of this prospectus supplement to purchase up to an additional 2,574,370 shares of our common stock at the public offering price, less the underwriting discounts and commissions.</w:t>
      </w:r>
    </w:p>
    <w:p>
      <w:pPr>
        <w:spacing w:after="0" w:line="1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Delivery of the securities is expected to be made on or about February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38" w:lineRule="exact"/>
        <w:rPr>
          <w:sz w:val="24"/>
          <w:szCs w:val="24"/>
          <w:color w:val="auto"/>
        </w:rPr>
      </w:pPr>
    </w:p>
    <w:p>
      <w:pPr>
        <w:ind w:left="120"/>
        <w:spacing w:after="0"/>
        <w:tabs>
          <w:tab w:leader="none" w:pos="5140" w:val="left"/>
          <w:tab w:leader="none" w:pos="8620" w:val="left"/>
        </w:tabs>
        <w:rPr>
          <w:sz w:val="20"/>
          <w:szCs w:val="20"/>
          <w:color w:val="auto"/>
        </w:rPr>
      </w:pPr>
      <w:r>
        <w:rPr>
          <w:rFonts w:ascii="Times New Roman" w:cs="Times New Roman" w:eastAsia="Times New Roman" w:hAnsi="Times New Roman"/>
          <w:sz w:val="25"/>
          <w:szCs w:val="25"/>
          <w:b w:val="1"/>
          <w:bCs w:val="1"/>
          <w:color w:val="auto"/>
        </w:rPr>
        <w:t>Leerink Partners</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5"/>
          <w:szCs w:val="25"/>
          <w:b w:val="1"/>
          <w:bCs w:val="1"/>
          <w:color w:val="auto"/>
        </w:rPr>
        <w:t>Guggenheim Securities</w:t>
      </w:r>
    </w:p>
    <w:p>
      <w:pPr>
        <w:spacing w:after="0" w:line="2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b w:val="1"/>
          <w:bCs w:val="1"/>
          <w:i w:val="1"/>
          <w:iCs w:val="1"/>
          <w:color w:val="auto"/>
        </w:rPr>
        <w:t>Lead Manager</w:t>
      </w:r>
    </w:p>
    <w:p>
      <w:pPr>
        <w:spacing w:after="0" w:line="20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LifeSci Capital</w:t>
      </w:r>
    </w:p>
    <w:p>
      <w:pPr>
        <w:sectPr>
          <w:pgSz w:w="11900" w:h="16838" w:orient="portrait"/>
          <w:cols w:equalWidth="0" w:num="1">
            <w:col w:w="11140"/>
          </w:cols>
          <w:pgMar w:left="320" w:top="226" w:right="439" w:bottom="1440" w:gutter="0" w:footer="0" w:header="0"/>
        </w:sectPr>
      </w:pP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Prospectus Supplement dated February 14, 2024</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3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440" w:type="dxa"/>
            <w:vAlign w:val="bottom"/>
            <w:tcBorders>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20" w:type="dxa"/>
            <w:vAlign w:val="bottom"/>
            <w:gridSpan w:val="6"/>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2"/>
          </w:tcPr>
          <w:p>
            <w:pPr>
              <w:spacing w:after="0"/>
              <w:rPr>
                <w:sz w:val="17"/>
                <w:szCs w:val="17"/>
                <w:color w:val="auto"/>
              </w:rPr>
            </w:pPr>
          </w:p>
        </w:tc>
        <w:tc>
          <w:tcPr>
            <w:tcW w:w="5380" w:type="dxa"/>
            <w:vAlign w:val="bottom"/>
            <w:gridSpan w:val="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8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8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00" w:type="dxa"/>
            <w:vAlign w:val="bottom"/>
            <w:gridSpan w:val="2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08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19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0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8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434"/>
        </w:trPr>
        <w:tc>
          <w:tcPr>
            <w:tcW w:w="120" w:type="dxa"/>
            <w:vAlign w:val="bottom"/>
          </w:tcPr>
          <w:p>
            <w:pPr>
              <w:spacing w:after="0"/>
              <w:rPr>
                <w:sz w:val="24"/>
                <w:szCs w:val="24"/>
                <w:color w:val="auto"/>
              </w:rPr>
            </w:pP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3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6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8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8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LARIMAR</w:t>
            </w:r>
          </w:p>
        </w:tc>
        <w:tc>
          <w:tcPr>
            <w:tcW w:w="716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8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40" w:type="dxa"/>
            <w:vAlign w:val="bottom"/>
            <w:gridSpan w:val="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80" w:type="dxa"/>
            <w:vAlign w:val="bottom"/>
            <w:gridSpan w:val="1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40" w:type="dxa"/>
            <w:vAlign w:val="bottom"/>
            <w:gridSpan w:val="1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10"/>
          </w:tcPr>
          <w:p>
            <w:pPr>
              <w:spacing w:after="0"/>
              <w:rPr>
                <w:sz w:val="17"/>
                <w:szCs w:val="17"/>
                <w:color w:val="auto"/>
              </w:rPr>
            </w:pPr>
          </w:p>
        </w:tc>
        <w:tc>
          <w:tcPr>
            <w:tcW w:w="478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620" w:type="dxa"/>
            <w:vAlign w:val="bottom"/>
            <w:gridSpan w:val="1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left="120" w:right="6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160"/>
        <w:spacing w:after="0" w:line="216" w:lineRule="auto"/>
        <w:rPr>
          <w:sz w:val="20"/>
          <w:szCs w:val="20"/>
          <w:color w:val="auto"/>
        </w:rPr>
      </w:pPr>
      <w:r>
        <w:rPr>
          <w:rFonts w:ascii="Times New Roman" w:cs="Times New Roman" w:eastAsia="Times New Roman" w:hAnsi="Times New Roman"/>
          <w:sz w:val="18"/>
          <w:szCs w:val="18"/>
          <w:color w:val="auto"/>
        </w:rPr>
        <w:t>Larimar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 supplement and the accompanying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new International Nonproprietary Name and the United States Adopted Name for CTI-1601), is a subcutaneously administered, recombinant fusion protein intended to deliver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We have completed two Phase 1 clinical trials and, following the decision by the U.S. Food and Drug Administration, or FDA, to lift its previously imposed full clinical hold on the nomlabofusp clinical development program and impose a partial hold, the 25 mg and 50 mg cohorts of the four-week, placebo-controlled, Phase 2 dose exploration trial in patients with Friedreich’s ataxia. The dose exploration trial is designed to further characterize nomlabofusp’s safety, pharmacodynamics, or PD, and pharmacokinetics, or PK, profiles to provide information about the preferred long-term dose and dose regimen. Data from the 25 mg cohort of the Phase 2 trial indicated nomlabofusp was generally well tolerated and showed increases in FXN levels from baseline compared to placebo in all evaluated tissues (skin and buccal cells) at day 14.</w:t>
      </w:r>
    </w:p>
    <w:p>
      <w:pPr>
        <w:spacing w:after="0" w:line="187"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In January 2024, we initiated the open label extension, or OLE, trial evaluating daily subcutaneous injections of 25 mg of nomlabofusp, which will start dosing in the first quarter of 2024. Participants who complete treatment in the Phase 2 dose exploration trial, or who previously completed a prior clinical trial of nomlabofusp are potentially eligible for the OLE. Further dose expansion in the OLE trial will be considered based on safety, pharmacokinetics, and tissue FXN levels from the 25 mg dose of nomlabofusp. We expect initial data from the OLE trial in the fourth quarter of 2024.</w:t>
      </w:r>
    </w:p>
    <w:p>
      <w:pPr>
        <w:spacing w:after="0" w:line="18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have received an orphan drug designation, fast track designation and rare pediatric disease designation, from the FDA for nomlabofusp. In addition, we received orphan designation for nomlabofusp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3"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2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Top-Line Data from Phase 2 Trial at 50 mg Dose Level</w:t>
      </w:r>
    </w:p>
    <w:p>
      <w:pPr>
        <w:spacing w:after="0" w:line="121"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On February 12, 2024, we announced positive top-line data and successful completion of our four-week, placebo-controlled Phase 2 dose exploration study of nomlabofusp in participants with Friedreich’s ataxia.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Phase 2 Results</w:t>
      </w:r>
    </w:p>
    <w:p>
      <w:pPr>
        <w:spacing w:after="0" w:line="13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Median </w:t>
      </w:r>
      <w:r>
        <w:rPr>
          <w:rFonts w:ascii="Times New Roman" w:cs="Times New Roman" w:eastAsia="Times New Roman" w:hAnsi="Times New Roman"/>
          <w:sz w:val="18"/>
          <w:szCs w:val="18"/>
          <w:b w:val="1"/>
          <w:bCs w:val="1"/>
          <w:color w:val="auto"/>
        </w:rPr>
        <w:t>changes in FXN levels</w:t>
      </w:r>
      <w:r>
        <w:rPr>
          <w:rFonts w:ascii="Times New Roman" w:cs="Times New Roman" w:eastAsia="Times New Roman" w:hAnsi="Times New Roman"/>
          <w:sz w:val="18"/>
          <w:szCs w:val="18"/>
          <w:color w:val="auto"/>
        </w:rPr>
        <w:t xml:space="preserve"> from baseline for the 25 mg and 50 mg cohorts of nomlabofusp</w:t>
      </w:r>
    </w:p>
    <w:p>
      <w:pPr>
        <w:spacing w:after="0" w:line="134"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Skin cells: 2.81 pg/µg for the 25 mg cohort and 5.57 pg/µg for the 50 mg cohort</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Buccal cells: 0.56 pg/µg for the 25 mg cohort and 0.72 pg/µg for the 50 mg cohort</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seen in our multiple ascending dose (MAD) study, when dosing is switched to every other day, FXN levels decline from the levels achieved with daily dosing but remain above baseline.</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treated patients demonstrated increases in FXN levels in skin cells and the majority of patients also demonstrated increases in FXN levels in buccal cells.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Day 14, all patients with quantifiable levels at baseline and Day 14 treated with 50 mg of nomlabofusp achieved FXN levels in skin cells greater than 33% of the average level found in healthy volunteers, and 3 of the patients achieved levels greater than 50% of the average healthy volunteer level.</w:t>
      </w:r>
    </w:p>
    <w:p>
      <w:pPr>
        <w:spacing w:after="0" w:line="81" w:lineRule="exact"/>
        <w:rPr>
          <w:rFonts w:ascii="Times New Roman" w:cs="Times New Roman" w:eastAsia="Times New Roman" w:hAnsi="Times New Roman"/>
          <w:sz w:val="18"/>
          <w:szCs w:val="18"/>
          <w:color w:val="auto"/>
        </w:rPr>
      </w:pPr>
    </w:p>
    <w:p>
      <w:pPr>
        <w:ind w:left="1240" w:right="240" w:hanging="415"/>
        <w:spacing w:after="0" w:line="25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FXN levels measured in buccal cells show a high degree of correlation with FXN levels measured in skin cells, higher variability in FXN levels was seen in buccal cells compared to skin cells in both the multiple ascending dose study and the Phase 2 dose exploration study. Skin cells have a lower turnover rate and skin is a more stable tissue. The collection method for skin cells is also well-established and standardized, which provides a more reliable and reproducible measure of changes in FXN levels with treatment compared to buccal cells.</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84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7849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Median baseline tissue FXN levels in skin cells were 3.70 pg/µg and 2.12 pg/µg for the 25 mg and 50 mg cohorts, respectively, and in buccal cells were 1.78 pg/µg and 1.61 pg/µg for the 25 mg and 50 mg cohorts, respectively. Changes in FXN levels after nomlabofusp administration in the Phase 2 trial at day 14 (QD: once daily for 14 days) and day 28 (QOD: every other day after day 14) are:</w:t>
      </w:r>
    </w:p>
    <w:p>
      <w:pPr>
        <w:spacing w:after="0" w:line="1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Median Change from Baseline in FXN Levels (pg FXN/ µg total protein)</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i w:val="1"/>
          <w:iCs w:val="1"/>
          <w:color w:val="auto"/>
        </w:rPr>
        <w:t>(25th, 75th percentile)</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17"/>
        </w:trPr>
        <w:tc>
          <w:tcPr>
            <w:tcW w:w="270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Placebo</w:t>
            </w:r>
          </w:p>
        </w:tc>
        <w:tc>
          <w:tcPr>
            <w:tcW w:w="2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25 mg Nomlabofusp</w:t>
            </w:r>
          </w:p>
        </w:tc>
        <w:tc>
          <w:tcPr>
            <w:tcW w:w="2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50 mg Nomlabofusp</w:t>
            </w:r>
          </w:p>
        </w:tc>
        <w:tc>
          <w:tcPr>
            <w:tcW w:w="0" w:type="dxa"/>
            <w:vAlign w:val="bottom"/>
          </w:tcPr>
          <w:p>
            <w:pPr>
              <w:spacing w:after="0"/>
              <w:rPr>
                <w:sz w:val="1"/>
                <w:szCs w:val="1"/>
                <w:color w:val="auto"/>
              </w:rPr>
            </w:pPr>
          </w:p>
        </w:tc>
      </w:tr>
      <w:tr>
        <w:trPr>
          <w:trHeight w:val="187"/>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Skin Biopsies*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9</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9</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 10</w:t>
            </w:r>
          </w:p>
        </w:tc>
        <w:tc>
          <w:tcPr>
            <w:tcW w:w="0" w:type="dxa"/>
            <w:vAlign w:val="bottom"/>
          </w:tcPr>
          <w:p>
            <w:pPr>
              <w:spacing w:after="0"/>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-0.53</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2.81</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5.57</w:t>
            </w:r>
          </w:p>
        </w:tc>
        <w:tc>
          <w:tcPr>
            <w:tcW w:w="0" w:type="dxa"/>
            <w:vAlign w:val="bottom"/>
          </w:tcPr>
          <w:p>
            <w:pPr>
              <w:spacing w:after="0"/>
              <w:rPr>
                <w:sz w:val="1"/>
                <w:szCs w:val="1"/>
                <w:color w:val="auto"/>
              </w:rPr>
            </w:pPr>
          </w:p>
        </w:tc>
      </w:tr>
      <w:tr>
        <w:trPr>
          <w:trHeight w:val="196"/>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Day 14 QD</w:t>
            </w:r>
          </w:p>
        </w:tc>
        <w:tc>
          <w:tcPr>
            <w:tcW w:w="25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(-0.96, 0.57)</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(2.16, 3.32)</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(4.25, 6.55)</w:t>
            </w: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Day 28 QOD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-0.34</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2.28</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3.14</w:t>
            </w: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(-0.74, 0.31)</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(-0.03, 2.71)</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(2.50, 3.64)</w:t>
            </w: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Buccal Cells**</w:t>
            </w:r>
          </w:p>
        </w:tc>
        <w:tc>
          <w:tcPr>
            <w:tcW w:w="254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-0.35</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0.56</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0.72</w:t>
            </w:r>
          </w:p>
        </w:tc>
        <w:tc>
          <w:tcPr>
            <w:tcW w:w="0" w:type="dxa"/>
            <w:vAlign w:val="bottom"/>
          </w:tcPr>
          <w:p>
            <w:pPr>
              <w:spacing w:after="0"/>
              <w:rPr>
                <w:sz w:val="1"/>
                <w:szCs w:val="1"/>
                <w:color w:val="auto"/>
              </w:rPr>
            </w:pPr>
          </w:p>
        </w:tc>
      </w:tr>
      <w:tr>
        <w:trPr>
          <w:trHeight w:val="196"/>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Day 14 QD</w:t>
            </w:r>
          </w:p>
        </w:tc>
        <w:tc>
          <w:tcPr>
            <w:tcW w:w="25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(-0.75, 0.04)</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(-0.28, 0.64)</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(0.05, 1.06)</w:t>
            </w: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Day 28 QOD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-0.52</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0.48</w:t>
            </w: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(-1.07, 0.01)</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(-0.66, 0.86)</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(-0.16, 0.76)</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720" w:right="180" w:hanging="422"/>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t>
      </w:r>
      <w:r>
        <w:rPr>
          <w:rFonts w:ascii="Times New Roman" w:cs="Times New Roman" w:eastAsia="Times New Roman" w:hAnsi="Times New Roman"/>
          <w:sz w:val="18"/>
          <w:szCs w:val="18"/>
          <w:i w:val="1"/>
          <w:iCs w:val="1"/>
          <w:color w:val="auto"/>
        </w:rPr>
        <w:t>who had one or more FXN measurements below quantifiable levels are excluded from the above analysis.</w:t>
      </w:r>
      <w:r>
        <w:rPr>
          <w:rFonts w:ascii="Times New Roman" w:cs="Times New Roman" w:eastAsia="Times New Roman" w:hAnsi="Times New Roman"/>
          <w:sz w:val="18"/>
          <w:szCs w:val="18"/>
          <w:color w:val="auto"/>
        </w:rPr>
        <w:t xml:space="preserve"> For the placebo group, one participant had skin cell FXN levels below quantifiable levels on day 14 and day 28. For the 25 mg group, Day 14 and 28 skin biopsies were not collected from one nomlabofusp treated participant who discontinued treatment and one nomlabofusp treated participant had FXN levels below quantifiable levels at day 14 and day 28. For the 50 mg group, one participant had skin cell FXN levels below quantifiable levels at baseline.</w:t>
      </w:r>
    </w:p>
    <w:p>
      <w:pPr>
        <w:spacing w:after="0" w:line="1" w:lineRule="exact"/>
        <w:rPr>
          <w:sz w:val="20"/>
          <w:szCs w:val="20"/>
          <w:color w:val="auto"/>
        </w:rPr>
      </w:pPr>
    </w:p>
    <w:p>
      <w:pPr>
        <w:ind w:left="720" w:right="60" w:hanging="422"/>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t>
      </w:r>
      <w:r>
        <w:rPr>
          <w:rFonts w:ascii="Times New Roman" w:cs="Times New Roman" w:eastAsia="Times New Roman" w:hAnsi="Times New Roman"/>
          <w:sz w:val="18"/>
          <w:szCs w:val="18"/>
          <w:i w:val="1"/>
          <w:iCs w:val="1"/>
          <w:color w:val="auto"/>
        </w:rPr>
        <w:t>who had one or more FXN measurements below quantifiable levels are excluded from the above analysis</w:t>
      </w:r>
      <w:r>
        <w:rPr>
          <w:rFonts w:ascii="Times New Roman" w:cs="Times New Roman" w:eastAsia="Times New Roman" w:hAnsi="Times New Roman"/>
          <w:sz w:val="18"/>
          <w:szCs w:val="18"/>
          <w:color w:val="auto"/>
        </w:rPr>
        <w:t>. For the placebo group, one participant had buccal cell FXN levels below quantifiable levels at baseline and four participants had buccal cell FXN levels below quantifiable levels at day 14 and day 28. For 25 mg group, day 28 buccal FXN were not collected from one participant who discontinued treatment and two participants had buccal FXN levels below quantifiable levels at baseline. For the 50 mg, one participant had buccal cell FXN levels below quantifiable levels at baseline, day 14 and day 28, and two participants had buccal FXN levels below quantifiable levels at day 14 and day 28.</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Phase 2 Pharmacokinetic and Safety Data for 25 mg and 50 mg Cohorts of Nomlabofusp</w:t>
      </w:r>
    </w:p>
    <w:p>
      <w:pPr>
        <w:spacing w:after="0" w:line="135" w:lineRule="exact"/>
        <w:rPr>
          <w:sz w:val="20"/>
          <w:szCs w:val="20"/>
          <w:color w:val="auto"/>
        </w:rPr>
      </w:pPr>
    </w:p>
    <w:p>
      <w:pPr>
        <w:ind w:left="1240" w:right="1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absorption after subcutaneous administration of nomlabofusp with dose proportional increases in exposure were observed with increasing doses.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well tolerated with no serious adverse events reported.</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severe adverse events in the 50 mg cohort. One severe adverse event for an allergic reaction to the study drug was reported in the 25 mg cohort and was resolved with standard treatment.</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of the 19 participants dosed with nomlabofusp completed the trial, with one participant in the 25 mg cohort withdrawing due to the aforementioned allergic reaction that resolved with standard treatment.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events were mild and moderate injection site reactions.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Unaudited Preliminary Financial Information</w:t>
      </w:r>
    </w:p>
    <w:p>
      <w:pPr>
        <w:spacing w:after="0" w:line="121"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$86.8 million as of December 31, 2023. This amount is unaudited and preliminary and is subject to completion of financial closing</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1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7" w:lineRule="auto"/>
        <w:rPr>
          <w:sz w:val="20"/>
          <w:szCs w:val="20"/>
          <w:color w:val="auto"/>
        </w:rPr>
      </w:pPr>
      <w:r>
        <w:rPr>
          <w:rFonts w:ascii="Times New Roman" w:cs="Times New Roman" w:eastAsia="Times New Roman" w:hAnsi="Times New Roman"/>
          <w:sz w:val="18"/>
          <w:szCs w:val="18"/>
          <w:color w:val="auto"/>
        </w:rPr>
        <w:t>procedures, including the completion of management’s reviews. As a result, this amount reflects our preliminary estimate with respect to such information, based on information currently available for management, and may vary from our actual financial position as of December 31, 2023. Further, this preliminary estimate is not a comprehensive statement or estimate of our financial data or financial condition as of December 31,</w:t>
      </w:r>
    </w:p>
    <w:p>
      <w:pPr>
        <w:spacing w:after="0" w:line="1"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2023.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principles in the United States and it is not necessarily indicative of the balance to be achieved in any future period. Additional information and disclosure would be required for a more complete understanding of our financial position and results of operations as of December 31, 2023.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year ended December 31, 2023 subsequent to the completion of this offering, and consequently such financial statements will not be available to you prior to investing in this offering.</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supplement or the accompanying prospectus and is not incorporated by reference herein. We have included our website address as an inactive textual reference only.</w:t>
      </w:r>
    </w:p>
    <w:p>
      <w:pPr>
        <w:spacing w:after="0" w:line="180"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0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17,162,472 of shares of our common stock.</w:t>
      </w:r>
    </w:p>
    <w:p>
      <w:pPr>
        <w:spacing w:after="0" w:line="144" w:lineRule="exact"/>
        <w:rPr>
          <w:sz w:val="20"/>
          <w:szCs w:val="20"/>
          <w:color w:val="auto"/>
        </w:rPr>
      </w:pPr>
    </w:p>
    <w:p>
      <w:pPr>
        <w:ind w:left="16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Underwriters’ option to purchase</w:t>
      </w:r>
      <w:r>
        <w:rPr>
          <w:sz w:val="20"/>
          <w:szCs w:val="20"/>
          <w:color w:val="auto"/>
        </w:rPr>
        <w:tab/>
      </w:r>
      <w:r>
        <w:rPr>
          <w:rFonts w:ascii="Times New Roman" w:cs="Times New Roman" w:eastAsia="Times New Roman" w:hAnsi="Times New Roman"/>
          <w:sz w:val="17"/>
          <w:szCs w:val="17"/>
          <w:color w:val="auto"/>
        </w:rPr>
        <w:t>We have granted the underwriters an option for a period of up to 30 days from the date of</w:t>
      </w:r>
    </w:p>
    <w:p>
      <w:pPr>
        <w:spacing w:after="0" w:line="31" w:lineRule="exact"/>
        <w:rPr>
          <w:sz w:val="20"/>
          <w:szCs w:val="20"/>
          <w:color w:val="auto"/>
        </w:rPr>
      </w:pPr>
    </w:p>
    <w:p>
      <w:pPr>
        <w:ind w:left="4340" w:right="640" w:hanging="4036"/>
        <w:spacing w:after="0" w:line="255"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additional shares of our common stock from us</w:t>
      </w:r>
      <w:r>
        <w:rPr>
          <w:sz w:val="20"/>
          <w:szCs w:val="20"/>
          <w:color w:val="auto"/>
        </w:rPr>
        <w:tab/>
      </w:r>
      <w:r>
        <w:rPr>
          <w:rFonts w:ascii="Times New Roman" w:cs="Times New Roman" w:eastAsia="Times New Roman" w:hAnsi="Times New Roman"/>
          <w:sz w:val="18"/>
          <w:szCs w:val="18"/>
          <w:color w:val="auto"/>
        </w:rPr>
        <w:t>this prospectus supplement to purchase up to an additional 2,574,370 shares of our common stock at the public offering price, less the underwriting discount and commissions.</w:t>
      </w:r>
    </w:p>
    <w:p>
      <w:pPr>
        <w:sectPr>
          <w:pgSz w:w="11900" w:h="16838" w:orient="portrait"/>
          <w:cols w:equalWidth="0" w:num="1">
            <w:col w:w="10920"/>
          </w:cols>
          <w:pgMar w:left="320" w:top="455" w:right="659" w:bottom="1440" w:gutter="0" w:footer="0" w:header="0"/>
        </w:sectPr>
      </w:pPr>
    </w:p>
    <w:p>
      <w:pPr>
        <w:spacing w:after="0" w:line="87"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following this offering</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61,068,375 shares of our common stock (or 63,642,745 shares, if the underwriters exercise their option to purchase additional shares in full).</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support the development of nomlabofusp and other pipeline candidates, and for working capital and general corporate purposes, including research and development expenses. See “Use of Proceeds” for a more detailed discussion of our expected use of proceeds.</w:t>
      </w:r>
    </w:p>
    <w:p>
      <w:pPr>
        <w:spacing w:after="0" w:line="85" w:lineRule="exact"/>
        <w:rPr>
          <w:sz w:val="20"/>
          <w:szCs w:val="20"/>
          <w:color w:val="auto"/>
        </w:rPr>
      </w:pPr>
    </w:p>
    <w:p>
      <w:pPr>
        <w:sectPr>
          <w:pgSz w:w="11900" w:h="16838" w:orient="portrait"/>
          <w:cols w:equalWidth="0" w:num="2">
            <w:col w:w="3820" w:space="520"/>
            <w:col w:w="6580"/>
          </w:cols>
          <w:pgMar w:left="320" w:top="455" w:right="65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Indications of Interest</w:t>
      </w:r>
      <w:r>
        <w:rPr>
          <w:sz w:val="20"/>
          <w:szCs w:val="20"/>
          <w:color w:val="auto"/>
        </w:rPr>
        <w:tab/>
      </w:r>
      <w:r>
        <w:rPr>
          <w:rFonts w:ascii="Times New Roman" w:cs="Times New Roman" w:eastAsia="Times New Roman" w:hAnsi="Times New Roman"/>
          <w:sz w:val="17"/>
          <w:szCs w:val="17"/>
          <w:color w:val="auto"/>
        </w:rPr>
        <w:t>Deerfield Management, our largest stockholder, and/or certain of its affiliates have agreed</w:t>
      </w:r>
    </w:p>
    <w:p>
      <w:pPr>
        <w:spacing w:after="0" w:line="31" w:lineRule="exact"/>
        <w:rPr>
          <w:sz w:val="20"/>
          <w:szCs w:val="20"/>
          <w:color w:val="auto"/>
        </w:rPr>
      </w:pPr>
    </w:p>
    <w:p>
      <w:pPr>
        <w:ind w:left="4340" w:right="60"/>
        <w:spacing w:after="0" w:line="260" w:lineRule="auto"/>
        <w:rPr>
          <w:sz w:val="20"/>
          <w:szCs w:val="20"/>
          <w:color w:val="auto"/>
        </w:rPr>
      </w:pPr>
      <w:r>
        <w:rPr>
          <w:rFonts w:ascii="Times New Roman" w:cs="Times New Roman" w:eastAsia="Times New Roman" w:hAnsi="Times New Roman"/>
          <w:sz w:val="18"/>
          <w:szCs w:val="18"/>
          <w:color w:val="auto"/>
        </w:rPr>
        <w:t>to purchase an aggregate of 4,290,617 shares of our common stock offered pursuant to this prospectus supplement in this offering at the public offering price.</w:t>
      </w:r>
    </w:p>
    <w:p>
      <w:pPr>
        <w:spacing w:after="0" w:line="8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securities involves a high degree of risk. See “Risk Factors” beginning on</w:t>
      </w:r>
    </w:p>
    <w:p>
      <w:pPr>
        <w:spacing w:after="0" w:line="31" w:lineRule="exact"/>
        <w:rPr>
          <w:sz w:val="20"/>
          <w:szCs w:val="20"/>
          <w:color w:val="auto"/>
        </w:rPr>
      </w:pPr>
    </w:p>
    <w:p>
      <w:pPr>
        <w:ind w:left="4340" w:right="140"/>
        <w:spacing w:after="0" w:line="253" w:lineRule="auto"/>
        <w:rPr>
          <w:sz w:val="20"/>
          <w:szCs w:val="20"/>
          <w:color w:val="auto"/>
        </w:rPr>
      </w:pPr>
      <w:r>
        <w:rPr>
          <w:rFonts w:ascii="Times New Roman" w:cs="Times New Roman" w:eastAsia="Times New Roman" w:hAnsi="Times New Roman"/>
          <w:sz w:val="18"/>
          <w:szCs w:val="18"/>
          <w:color w:val="auto"/>
        </w:rPr>
        <w:t>page S-8 of this prospectus supplement and page 7 of the accompanying prospectus and other information included in this prospectus supplement, the accompanying prospectus and the documents incorporated by reference in this prospectus supplement and the accompanying prospectus for a discussion of factors you should carefully consider before deciding to invest in our securities.</w:t>
      </w:r>
    </w:p>
    <w:p>
      <w:pPr>
        <w:spacing w:after="0" w:line="8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Nasdaq Global Market symbol</w:t>
      </w:r>
      <w:r>
        <w:rPr>
          <w:sz w:val="20"/>
          <w:szCs w:val="20"/>
          <w:color w:val="auto"/>
        </w:rPr>
        <w:tab/>
      </w:r>
      <w:r>
        <w:rPr>
          <w:rFonts w:ascii="Times New Roman" w:cs="Times New Roman" w:eastAsia="Times New Roman" w:hAnsi="Times New Roman"/>
          <w:sz w:val="17"/>
          <w:szCs w:val="17"/>
          <w:color w:val="auto"/>
        </w:rPr>
        <w:t>Our common stock is listed on The Nasdaq Global Market under the symbol “LRMR.”</w:t>
      </w:r>
    </w:p>
    <w:p>
      <w:pPr>
        <w:spacing w:after="0" w:line="243" w:lineRule="exact"/>
        <w:rPr>
          <w:sz w:val="20"/>
          <w:szCs w:val="20"/>
          <w:color w:val="auto"/>
        </w:rPr>
      </w:pPr>
    </w:p>
    <w:p>
      <w:pPr>
        <w:ind w:left="300" w:right="6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43,905,903 shares of our common stock outstanding as of September 30, 2023, and excludes the following:</w:t>
      </w:r>
    </w:p>
    <w:p>
      <w:pPr>
        <w:spacing w:after="0" w:line="67" w:lineRule="exact"/>
        <w:rPr>
          <w:sz w:val="20"/>
          <w:szCs w:val="20"/>
          <w:color w:val="auto"/>
        </w:rPr>
      </w:pPr>
    </w:p>
    <w:p>
      <w:pPr>
        <w:ind w:left="1240" w:right="7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4,485,997 shares of our common stock issuable upon the exercise of stock options outstanding as of September 30, 2023 at a weighted-average exercise price of $9.33 per share;</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1,531,975 shares of our common stock issuable upon the exercise of stock options that were granted after September 30, 2023 at a weighted-average exercise price of $4.17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615,000 shares of our common stock issuable upon the vesting and settlement of restricted stock units outstanding as of September 30, 2023;</w:t>
      </w:r>
    </w:p>
    <w:p>
      <w:pPr>
        <w:spacing w:after="0" w:line="67"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243,363 shares of our common stock issuable upon the vesting and settlement of restricted stock units that were granted after September 30, 2023;</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272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1272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1,106,459 shares of our common stock available for future issuance as of September 30, 2023 under our 2020 Equity Incentive Plan; and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1,756,363 shares of our common stock added to shares available for future issuance on January 1, 2024 as permitted under our 2020 Equity Incentive Plan.</w:t>
      </w:r>
    </w:p>
    <w:p>
      <w:pPr>
        <w:spacing w:after="0" w:line="162"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and no exercise by the underwriters of their option to purchase additional shares.</w:t>
      </w:r>
    </w:p>
    <w:p>
      <w:pPr>
        <w:spacing w:after="0" w:line="2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780"/>
          </w:cols>
          <w:pgMar w:left="320" w:top="455"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left="12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If the offering is not completed prior to the filing of our 2023 Annual Report or if we do not raise sufficient funds by other means, the opinion from our independent registered public accounting firm will express substantial doubt about our ability to continue as a going concern.</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we estimate that we had cash, cash equivalents and marketable securities of $86.8 million. We have incurred significant net losses since inception and also expect to incur substantial losses in future periods. Our continuation as a going concern is dependent on our ability to generate sufficient cash flows from operations and/or obtain additional capital through equity or debt financings, partnerships, collaborations, or other sources. Based upon our current operating plan, our current cash, cash equivalents and marketable securities will be sufficient to fund our operations into the first quarter of 2025.</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this offering is not completed prior to the filing of our Annual Report on Form 10-K for the year ended December 31 2023, or the 2023 Annual Report, or if we do not raise sufficient funds through other means, then we expect that we will disclose in such filing that we would have substantial doubt about our ability to fund our operations for more than one year beyond the filing date of the 2023 Annual Report. We would also expect that the opinion from our independent registered public accounting firm on such annual financial statements contained in our 2023 Annual Report would contain an explanatory paragraph about such substantial doubt about our ability to continue as a going concern. There is no assurance that we will be successful in obtaining sufficient funding on acceptable terms, if at all. 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188"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proceeds from this offering, and may not use the proceeds effectively.</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offering and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common stock purchased in this offering.</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The exercise of outstanding stock options and vesting and settlement of restricted stock units may result in further dilution of your investment. See “Dilution” for a more detailed discussion of the dilution you will incur if you purchase shares of our common stock in this offering.</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w:t>
      </w:r>
    </w:p>
    <w:p>
      <w:pPr>
        <w:spacing w:after="0" w:line="5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at prices and in a manner we determine from time to time, which may cause your ownership interest to be diluted. As of September 30, 2023, there were options to purchase 4,485,997 shares of our common stock outstanding at a weighted average exercise price of $9.33. If these securities are exercised, you may incur further dilution. Moreover, to the extent that we issue additional shares of our common stock, options to purchase, or securities convertible into or exchangeable for, shares of our common stock in the future and those options or other securities are exercised, converted or exchanged, stockholders may experience further dilution. The price per share at which we sell additional shares of our common stock or other securities convertible into or exchangeable for our common stock in future transactions may be higher or lower than the price per share in this offering.</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which may depress the market price for our common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or the perception by the market that those sales could occur, could cause the market price of our common stock to decline. We are unable to predict the effect that such sales may have on the prevailing market price of our common stock. Immediately after this offering, we will have 61,068,375 outstanding shares of our common stock (or 63,642,745 shares if the underwriters exercise their option to purchase additional shares of our common stock in full), based on the number of shares of our common stock outstanding as of September 30, 2023. This includes the shares of our common stock that we are selling in this offering, which may be resold in the public market immediately without restriction, unless purchased by our directors, officers or affiliates. Of the remaining shares, approximately 17,645,245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addition, we have also registered the shares of our common stock that we may issue under our equity incentive plans. As a result, these shares can be freely sold in the public market upon issuance, subject to restrictions under securities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potential delays related to public health crises;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by our significant stockholders, of our shares or other securities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 including disruptions to the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in Part I, Item 1A of our Annual Report on Form 10-K for the fiscal year ended December 31, 2022 and Quarterly Report on Form 10-Q for the period ended June 30, 2023.</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determine that we need to explore doses higher than 50 mg or higher than 25 mg for long-term dosing and the FDA determines not to allow further dose escalation in the Phase 2 dose exploration study and OLE trials, our development timelines and our business may be adversely affected and our stock price may decline.</w:t>
      </w:r>
    </w:p>
    <w:p>
      <w:pPr>
        <w:spacing w:after="0" w:line="6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February 2024, we announced positive top-line data and successful completion of our four-week, placebo-controlled Phase 2 dose exploration study of nomlabofusp in participants with Friedreich’s ataxia.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Further dose expansion in the Phase 2 dose exploration study and the initiation of additional U.S. clinical trials evaluating nomlabofusp are contingent on FDA review of results from the Phase 2 trial’s 50 mg cohort in accordance with a partial clinical hold. In January 2024, we initiated the OLE trial evaluating daily subcutaneous injections of 25 mg of nomlabofusp, which will start dosing in the first quarter of 2024. Further dose expansion in the OLE trial will be considered based on safety, pharmacokinetics, and tissue FXN levels from the 25 mg dose of nomlabofusp. We expect initial data from the OLE trial in the fourth quarter of 2024.</w:t>
      </w:r>
    </w:p>
    <w:p>
      <w:pPr>
        <w:spacing w:after="0" w:line="18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If we are unable to reach agreement with the FDA to lift the partial clinical hold and we determine that we need to explore doses higher than 50 mg or higher than 25 mg for long-term dosing, we would be unable to complete our nomlabofusp clinical trials without delays in our clinical development plans and anticipated data milestones and additional clinical development costs, any of which could impair our ability, cost or timeline to obtain U.S. regulatory approval for nomlabofusp.</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cannot be certain whether or when the FDA will lift the partial clinical hold and/or permit us to conduct clinical trials with doses higher than 50 mg or long-term doses higher than 25 mg. If the FDA does not lift the partial clinical hold in a timely manner, or at all, our development timelines and our business may be adversely affected and our stock price may decline. Further, even if the FDA lifts the partial clinical hold, or if the FDA or other regulatory agencies continue to express safety concerns after the partial clinical hold is lifted, additional nomlabofusp non-clinical or clinical studies may be required and future preclinical or clinical studies involving nomlabofusp may be more burdensome or include additional preclinical or clinical endpoints that are difficult to meet. In such instances, our progress in the development of nomlabofusp may be significantly slowed and the associated costs may be significantly increased, which could adversely affect our business, impair our ability to ultimately obtain FDA approval for nomlabofusp and cause our stock price to decline.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intend to pursue accelerated approval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5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intend to pursue an accelerated approval for nomlabofusp for the treatment of Friedreich’s ataxia using FXN levels, supportive pharmacodynamic and clinical information and safety data from the open label extension study, along with additional nonclinical pharmacology information needed to support our surrogate biomarker 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Although we have initiated discussions with FDA concerning our surrogate biomarker approach, there can be no assurance that data we intend to generate will be successful in establishing, among other things, that dose-dependent FXN levels demonstrate clinical benefit. For example, buccal cells have higher FXN variability.</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Approval of other therapies for the treatment Friedreich’s ataxia, including the approval of omaveloxolone for the treatment of Friedreich’s ataxia, could negatively impact our ability to demonstrate a benefit over existing treatments and therefore utilize the accelerated approval pathway.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Moreover, the FDA may withdraw approval of any product candidate approved under the accelerated approval pathway if, for example:</w:t>
      </w:r>
    </w:p>
    <w:p>
      <w:pPr>
        <w:spacing w:after="0" w:line="131" w:lineRule="exact"/>
        <w:rPr>
          <w:sz w:val="20"/>
          <w:szCs w:val="20"/>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the product candidate fails to verify such benefit or do not demonstrate sufficient clinical benefit to justify the risks associated with such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2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7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67" w:lineRule="exact"/>
        <w:rPr>
          <w:sz w:val="20"/>
          <w:szCs w:val="20"/>
          <w:color w:val="auto"/>
        </w:rPr>
      </w:pPr>
    </w:p>
    <w:p>
      <w:pPr>
        <w:ind w:left="1080" w:right="1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 that we may develop in the future and unexpected costs that may result therefrom;</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(whether clinical or non-clinical),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open label extension trial;</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candidates, if approved, (including the impact of potential barriers to entry if a competitor is able to establish a strong market position before we are able to commercialize our products);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common stock will be approximately $140.7 million (or approximately $161.8 million if the underwriters exercise their option to purchase additional shares of our common stock in full) after deducting underwriting discounts and commissions and estimated offering expenses payable by us.</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$86.8 million as of December 31, 2023. This estimate is unaudited and preliminary and is subject to completion of financial closing procedures, including the completion of management’s reviews.</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not audited, reviewed, examined, compiled, nor applied agreed-upon procedures with respect to the preliminary financial results. Accordingly, PricewaterhouseCoopers LLP does not express an opinion or any other form of assurance with respect thereto.</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the proposed offering, together with our existing cash, cash equivalents and marketable securities, to support the development of nomlabofusp and other pipeline candidates, and for working capital and general corporate purposes, including research and development expenses.</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together with the anticipated net proceeds from this offering, will be sufficient to fund our operating expenses and capital expenditure requirements into 2026.</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as described above, we intend to invest the net proceeds from this offering in a variety of capital preservation investments, including short-term, investment-grade, interest-bearing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September 30, 2023, our net tangible book value was $89.8 million, or $2.05 per share. Net tangible book value per share represents our total tangible assets (excluding operating lease right-of-use assets) less our total liabilities, divided by the number of shares outstanding. After giving effect to the sale of 17,162,472 shares of our common stock in this offering at the public offering price of $8.74 per share, and after deducting underwriting discounts and estimated offering expenses payable by us, our as adjusted net tangible book value as of September 30, 2023 would have been $230.5 million, or $3.77 per share. This amount would represent an immediate increase in net tangible book value of $1.72 per share to existing stockholders and an immediate dilution in net tangible book value of $4.97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$2.05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6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6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investors purchasing shares in this offering</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As adjusted net tangible book value after this offering</w:t>
            </w:r>
          </w:p>
        </w:tc>
        <w:tc>
          <w:tcPr>
            <w:tcW w:w="4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to purchase an additional 2,574,370 shares of our common stock in full at the public offering price of $8.74 per share, our as adjusted net tangible book value as of September 30, 2023 would have been $251.6 million, or $3.95 per share. This amount would represent an immediate increase in net tangible book value of $1.90 per share to existing stockholders and an immediate dilution in net tangible book value of $4.79 per share to new investors purchasing common stock in this offering.</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(other than the historical net tangible book value calculation) are based on 43,905,903 shares of our common stock outstanding as of September 30, 2023, and excludes the following:</w:t>
      </w:r>
    </w:p>
    <w:p>
      <w:pPr>
        <w:spacing w:after="0" w:line="67" w:lineRule="exact"/>
        <w:rPr>
          <w:sz w:val="20"/>
          <w:szCs w:val="20"/>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4,485,997 shares of our common stock issuable upon the exercise of stock options outstanding as of September 30, 2023 at a weighted-average exercise price of $9.33 per share;</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1,531,975 shares of our common stock issuable upon the exercise of stock options that were granted after September 30, 2023 at a weighted-average exercise price of $4.17 per share;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615,000 shares of our common stock issuable upon the vesting and settlement of restricted stock units outstanding as of September 30,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243,363 shares of our common stock issuable upon the vesting and settlement of restricted stock units that were granted after September 30,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1,106,459 shares of our common stock available for future issuance as of September 30, 2023 under our 2020 Equity Incentive Plan;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1,756,363 shares of our common stock added to shares available for future issuance on January 1, 2024 as permitted under our 2020 Equity Incentive Plan.</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and no exercise by the underwriters of their option to purchase additional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8"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the special tax accounting rules under Section 451(b) of the Code and the alternative minimum tax. In addition, it does not address consequences relevant to Non-U.S. Holders subject to special rules, including, without limitation:</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22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common stock that is not an entity or arrangement treated as a partnership for U.S. federal income tax purposes and not,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w:t>
      </w:r>
    </w:p>
    <w:p>
      <w:pPr>
        <w:spacing w:after="0" w:line="172" w:lineRule="exact"/>
        <w:rPr>
          <w:sz w:val="20"/>
          <w:szCs w:val="20"/>
          <w:color w:val="auto"/>
        </w:rPr>
      </w:pPr>
    </w:p>
    <w:p>
      <w:pPr>
        <w:ind w:left="120" w:right="2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upon the sale or other taxable disposition of our common stock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w:t>
      </w:r>
    </w:p>
    <w:p>
      <w:pPr>
        <w:spacing w:after="0" w:line="176" w:lineRule="exact"/>
        <w:rPr>
          <w:sz w:val="20"/>
          <w:szCs w:val="20"/>
          <w:color w:val="auto"/>
        </w:rPr>
      </w:pPr>
    </w:p>
    <w:p>
      <w:pPr>
        <w:jc w:val="both"/>
        <w:ind w:left="120" w:right="52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w:t>
      </w:r>
    </w:p>
    <w:p>
      <w:pPr>
        <w:jc w:val="center"/>
        <w:ind w:right="180"/>
        <w:spacing w:after="0" w:line="433" w:lineRule="auto"/>
        <w:rPr>
          <w:sz w:val="20"/>
          <w:szCs w:val="20"/>
          <w:color w:val="auto"/>
        </w:rPr>
      </w:pPr>
      <w:r>
        <w:rPr>
          <w:rFonts w:ascii="Times New Roman" w:cs="Times New Roman" w:eastAsia="Times New Roman" w:hAnsi="Times New Roman"/>
          <w:sz w:val="18"/>
          <w:szCs w:val="18"/>
          <w:color w:val="auto"/>
        </w:rPr>
        <w:t>Form W-8BEN, W-8BEN-E or W-8ECI or otherwise establishes an exemption. However, information returns are required to be filed with the IRS in 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Under proposed Treasury Regulations, FATCA withholding on payments of gross proceeds has been eliminated. Taxpayers generally may rely on these proposed Treasury Regulations until final Treasury Regulations are issued.</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58"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Leerink Partners LLC, Citigroup Global Markets Inc.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6,521,739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4,462,243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4,462,243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1,716,247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17,162,472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initial public offering price set forth on the cover page of this prospectus supplement and to dealers at that price less a concession not in excess of $0.31464 per share. After the initial offering of the shares, the public offering price, concession or any other term of this offering may be changed by the representatives.</w:t>
      </w:r>
    </w:p>
    <w:p>
      <w:pPr>
        <w:spacing w:after="0" w:line="176" w:lineRule="exact"/>
        <w:rPr>
          <w:sz w:val="20"/>
          <w:szCs w:val="20"/>
          <w:color w:val="auto"/>
        </w:rPr>
      </w:pPr>
    </w:p>
    <w:p>
      <w:pPr>
        <w:jc w:val="both"/>
        <w:ind w:left="120" w:right="740"/>
        <w:spacing w:after="0" w:line="312" w:lineRule="auto"/>
        <w:rPr>
          <w:sz w:val="20"/>
          <w:szCs w:val="20"/>
          <w:color w:val="auto"/>
        </w:rPr>
      </w:pPr>
      <w:r>
        <w:rPr>
          <w:rFonts w:ascii="Times New Roman" w:cs="Times New Roman" w:eastAsia="Times New Roman" w:hAnsi="Times New Roman"/>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Without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With Full</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$ 8.7400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$ 0.5244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10,350,000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$ 8.2156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141,000,005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162,149,999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$390,000. We also have agreed to reimburse the underwriters for up to $50,000 for their FINRA counsel fee. In accordance with FINRA Rule 5110, this reimbursed fee is deemed underwriting compensation for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2,574,370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Leerink Partners LLC, Citigroup Global Markets Inc. and Guggenheim Securities, LLC on behalf of the underwriters. We have agreed not to sell or transfer any of our common stock or securities convertible into or exchangeable or exercisable for our common stock, for 60 days after the date of this prospectus supplement without first obtaining the written consent of Leerink Partners LLC, Citigroup Global Markets Inc. and Guggenheim Securities, LLC on behalf of the underwriters. Specifically, we and these other persons have agreed, with certain limited exceptions, not to directly or indirectly:</w:t>
      </w:r>
    </w:p>
    <w:p>
      <w:pPr>
        <w:spacing w:after="0" w:line="9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offers to purchase or for us and effect any short sale of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submit or file a registration statement related to our common stock;</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derivative or other agreement or any transaction that transfers, in whole or in part, the economic consequence of ownership of any of our common stock, whether any such swap, agreement or transaction is to be settled by delivery of shares or other securities, in cash or otherwise;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lock-up provisions apply to our common stock and to securities convertible into or exchangeable or exercisable for our common stock. They also apply to our common stock owned now or acquired later by the person executing the lock-up agreement or for which the person executing the lock-up agreement later acquires the power of disposition.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lock-up provisions that apply to our executive officers, directors and certain of our existing securityholders are subject to certain exceptions, including: (i) the transfer of securities as gifts, by will or intestate succession, to family members, to a trust for the benefit of the securityholder or its family members, by operation of law, to a charitable trust or if the securityholder is a trust, to the beneficiary of such trust; (ii) transfers to us in to satisfy tax withholding obligations in connection with the vesting or exercise of equity awards, pursuant to the net exercise or cashless exercise of equity awards or upon the death, disability or termination of an executive officer; (iii) distributions to limited partners, members or stockholders, transactions relating to securities acquired in the offering or in the open market after the closing of the offering; (iv) transactions relating to securities acquired in this offering or in open market transactions after the closing of this offering; (v) the transfer pursuant to a change of control of us; (vi) the transfer to a business entity wholly owned by the securityholder and/or its family members, to affiliates or investment fund or manager controlling or under common control with the securityholder; and (vii)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 (vii) (solely in the case of subsequent transfer upon foreclosure under any such pledge) that, each resulting transferee of securities agrees to be bound by the same lock-up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Until the distribution of the common stock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8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of our common stock may be offered to the public in that Relevant State at any time:</w:t>
      </w:r>
    </w:p>
    <w:p>
      <w:pPr>
        <w:spacing w:after="0" w:line="8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 shares of our common stock have been offered or will be offered pursuant to the offering to the public in the United Kingdom prior to the publication of a prospectus in relation to the shares which has been approved by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Conduct Authority, except that the shares of our common stock may be offered to the public in the United Kingdom at any time:</w:t>
      </w:r>
    </w:p>
    <w:p>
      <w:pPr>
        <w:spacing w:after="0" w:line="13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any representative to publish a prospectus pursuant to Section 85 of the FSMA or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in this prospectus supplement will be passed upon for us by Goodwin Procter LLP. Certain legal matters will be passed upon for the underwriters by Cooley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9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14, 2023;</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filed with the SEC on </w:t>
      </w:r>
      <w:hyperlink r:id="rId50">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2022 from our Definitive Proxy Statement on </w:t>
      </w:r>
      <w:hyperlink r:id="rId5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11, 2023;</w:t>
      </w:r>
    </w:p>
    <w:p>
      <w:pPr>
        <w:spacing w:after="0" w:line="9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21"/>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12,</w:t>
        </w:r>
      </w:hyperlink>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 xml:space="preserve">February 14, 2024 </w:t>
        </w:r>
      </w:hyperlink>
      <w:hyperlink r:id="rId56">
        <w:r>
          <w:rPr>
            <w:rFonts w:ascii="Times New Roman" w:cs="Times New Roman" w:eastAsia="Times New Roman" w:hAnsi="Times New Roman"/>
            <w:sz w:val="18"/>
            <w:szCs w:val="18"/>
            <w:color w:val="000000"/>
          </w:rPr>
          <w:t>(in each case other than any portions thereof deemed furnished and not filed); and</w:t>
        </w:r>
      </w:hyperlink>
    </w:p>
    <w:p>
      <w:pPr>
        <w:spacing w:after="0" w:line="81"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2022.</w:t>
      </w:r>
    </w:p>
    <w:p>
      <w:pPr>
        <w:spacing w:after="0" w:line="176" w:lineRule="exact"/>
        <w:rPr>
          <w:rFonts w:ascii="Times New Roman" w:cs="Times New Roman" w:eastAsia="Times New Roman" w:hAnsi="Times New Roman"/>
          <w:sz w:val="18"/>
          <w:szCs w:val="18"/>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87" w:lineRule="exact"/>
        <w:rPr>
          <w:rFonts w:ascii="Times New Roman" w:cs="Times New Roman" w:eastAsia="Times New Roman" w:hAnsi="Times New Roman"/>
          <w:sz w:val="18"/>
          <w:szCs w:val="18"/>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rFonts w:ascii="Times New Roman" w:cs="Times New Roman" w:eastAsia="Times New Roman" w:hAnsi="Times New Roman"/>
          <w:sz w:val="18"/>
          <w:szCs w:val="18"/>
          <w:color w:val="auto"/>
        </w:rPr>
      </w:pPr>
    </w:p>
    <w:p>
      <w:pPr>
        <w:ind w:left="5500" w:hanging="435"/>
        <w:spacing w:after="0"/>
        <w:tabs>
          <w:tab w:leader="none" w:pos="5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182245</wp:posOffset>
            </wp:positionV>
            <wp:extent cx="2614295" cy="98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November 9, 2022, the last reported sale price of our common stock on the Nasdaq Global Market was $2.96 per share.</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21, 2022.</w:t>
      </w:r>
    </w:p>
    <w:p>
      <w:pPr>
        <w:sectPr>
          <w:pgSz w:w="11900" w:h="16838" w:orient="portrait"/>
          <w:cols w:equalWidth="0" w:num="1">
            <w:col w:w="11100"/>
          </w:cols>
          <w:pgMar w:left="320" w:top="455" w:right="4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24"/>
                <w:szCs w:val="24"/>
                <w:color w:val="auto"/>
              </w:rPr>
            </w:pPr>
          </w:p>
        </w:tc>
        <w:tc>
          <w:tcPr>
            <w:tcW w:w="482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2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712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9"/>
          </w:tcPr>
          <w:p>
            <w:pPr>
              <w:spacing w:after="0"/>
              <w:rPr>
                <w:sz w:val="24"/>
                <w:szCs w:val="24"/>
                <w:color w:val="auto"/>
              </w:rPr>
            </w:pPr>
          </w:p>
        </w:tc>
        <w:tc>
          <w:tcPr>
            <w:tcW w:w="47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58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from time to time, offer and sell, either individually or in combination, in one or more offerings, up to a total dollar amount of $200,000,000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24" w:lineRule="auto"/>
        <w:rPr>
          <w:sz w:val="20"/>
          <w:szCs w:val="20"/>
          <w:color w:val="auto"/>
        </w:rPr>
      </w:pPr>
      <w:r>
        <w:rPr>
          <w:rFonts w:ascii="Times New Roman" w:cs="Times New Roman" w:eastAsia="Times New Roman" w:hAnsi="Times New Roman"/>
          <w:sz w:val="18"/>
          <w:szCs w:val="18"/>
          <w:color w:val="auto"/>
        </w:rPr>
        <w:t xml:space="preserve">Solely for convenience,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68">
        <w:r>
          <w:rPr>
            <w:rFonts w:ascii="Times New Roman" w:cs="Times New Roman" w:eastAsia="Times New Roman" w:hAnsi="Times New Roman"/>
            <w:sz w:val="18"/>
            <w:szCs w:val="18"/>
            <w:u w:val="single" w:color="auto"/>
            <w:color w:val="0000EE"/>
          </w:rPr>
          <w:t>March 25,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filed with the SEC on </w:t>
      </w:r>
      <w:hyperlink r:id="rId69">
        <w:r>
          <w:rPr>
            <w:rFonts w:ascii="Times New Roman" w:cs="Times New Roman" w:eastAsia="Times New Roman" w:hAnsi="Times New Roman"/>
            <w:sz w:val="18"/>
            <w:szCs w:val="18"/>
            <w:u w:val="single" w:color="auto"/>
            <w:color w:val="0000EE"/>
          </w:rPr>
          <w:t>May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 xml:space="preserve">August 11,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7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12,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3"/>
        </w:numPr>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12, 2022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hyperlink r:id="rId74">
        <w:r>
          <w:rPr>
            <w:rFonts w:ascii="Times New Roman" w:cs="Times New Roman" w:eastAsia="Times New Roman" w:hAnsi="Times New Roman"/>
            <w:sz w:val="18"/>
            <w:szCs w:val="18"/>
            <w:u w:val="single" w:color="auto"/>
            <w:color w:val="0000EE"/>
          </w:rPr>
          <w:t>both filings</w:t>
        </w:r>
      </w:hyperlink>
      <w:hyperlink r:id="rId7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5">
        <w:r>
          <w:rPr>
            <w:rFonts w:ascii="Times New Roman" w:cs="Times New Roman" w:eastAsia="Times New Roman" w:hAnsi="Times New Roman"/>
            <w:sz w:val="18"/>
            <w:szCs w:val="18"/>
            <w:u w:val="single" w:color="auto"/>
            <w:color w:val="0000EE"/>
          </w:rPr>
          <w:t>August 11, 2022</w:t>
        </w:r>
      </w:hyperlink>
      <w:hyperlink r:id="rId7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6">
        <w:r>
          <w:rPr>
            <w:rFonts w:ascii="Times New Roman" w:cs="Times New Roman" w:eastAsia="Times New Roman" w:hAnsi="Times New Roman"/>
            <w:sz w:val="18"/>
            <w:szCs w:val="18"/>
            <w:u w:val="single" w:color="auto"/>
            <w:color w:val="0000EE"/>
          </w:rPr>
          <w:t xml:space="preserve">September 14, 2022 </w:t>
        </w:r>
      </w:hyperlink>
      <w:hyperlink r:id="rId73">
        <w:r>
          <w:rPr>
            <w:rFonts w:ascii="Times New Roman" w:cs="Times New Roman" w:eastAsia="Times New Roman" w:hAnsi="Times New Roman"/>
            <w:sz w:val="18"/>
            <w:szCs w:val="18"/>
            <w:color w:val="000000"/>
          </w:rPr>
          <w:t>(</w:t>
        </w:r>
      </w:hyperlink>
      <w:hyperlink r:id="rId77">
        <w:r>
          <w:rPr>
            <w:rFonts w:ascii="Times New Roman" w:cs="Times New Roman" w:eastAsia="Times New Roman" w:hAnsi="Times New Roman"/>
            <w:sz w:val="18"/>
            <w:szCs w:val="18"/>
            <w:u w:val="single" w:color="auto"/>
            <w:color w:val="0000EE"/>
          </w:rPr>
          <w:t>both filings</w:t>
        </w:r>
      </w:hyperlink>
      <w:hyperlink r:id="rId7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 xml:space="preserve">October 20, 2022 </w:t>
        </w:r>
      </w:hyperlink>
      <w:hyperlink r:id="rId7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 xml:space="preserve">November 10, 2022 </w:t>
        </w:r>
      </w:hyperlink>
      <w:hyperlink r:id="rId73">
        <w:r>
          <w:rPr>
            <w:rFonts w:ascii="Times New Roman" w:cs="Times New Roman" w:eastAsia="Times New Roman" w:hAnsi="Times New Roman"/>
            <w:sz w:val="18"/>
            <w:szCs w:val="18"/>
            <w:color w:val="000000"/>
          </w:rPr>
          <w:t xml:space="preserve">(in each case </w:t>
        </w:r>
      </w:hyperlink>
      <w:r>
        <w:rPr>
          <w:rFonts w:ascii="Times New Roman" w:cs="Times New Roman" w:eastAsia="Times New Roman" w:hAnsi="Times New Roman"/>
          <w:sz w:val="18"/>
          <w:szCs w:val="18"/>
          <w:color w:val="0000EE"/>
        </w:rPr>
        <w:t xml:space="preserve">other </w:t>
      </w:r>
      <w:r>
        <w:rPr>
          <w:rFonts w:ascii="Times New Roman" w:cs="Times New Roman" w:eastAsia="Times New Roman" w:hAnsi="Times New Roman"/>
          <w:sz w:val="18"/>
          <w:szCs w:val="18"/>
          <w:color w:val="000000"/>
        </w:rPr>
        <w:t>than any portions thereof deemed furnished and not filed); and</w:t>
      </w:r>
    </w:p>
    <w:p>
      <w:pPr>
        <w:spacing w:after="0" w:line="81"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Exhibit 4.2 to our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76"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jc w:val="both"/>
        <w:ind w:left="1080" w:right="1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with, and satisfactorily respond to, requests from the U.S. Food and Drug Administration, or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or EMA, and other comparable regulatory authorities for marketing approval for CTI-1601 or any other product candidate that we may develop in the future and unexpected costs that may result therefrom;</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(including the impact of other clinical trials of competitive products), delays as a result of clinical</w:t>
      </w:r>
    </w:p>
    <w:p>
      <w:pPr>
        <w:spacing w:after="0" w:line="27" w:lineRule="exact"/>
        <w:rPr>
          <w:rFonts w:ascii="Times New Roman" w:cs="Times New Roman" w:eastAsia="Times New Roman" w:hAnsi="Times New Roman"/>
          <w:sz w:val="18"/>
          <w:szCs w:val="18"/>
          <w:color w:val="auto"/>
        </w:rPr>
      </w:pPr>
    </w:p>
    <w:p>
      <w:pPr>
        <w:ind w:left="10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non-clinical results and FDA’s request for additional studies, changes in clinical protocols, regulatory restrictions, including additional clinical holds, and milestones for CTI-1601, including those associated with COVID-19 and the efforts to mitigate it;</w:t>
      </w:r>
    </w:p>
    <w:p>
      <w:pPr>
        <w:spacing w:after="0" w:line="86"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45" w:lineRule="exact"/>
        <w:rPr>
          <w:rFonts w:ascii="Times New Roman" w:cs="Times New Roman" w:eastAsia="Times New Roman" w:hAnsi="Times New Roman"/>
          <w:sz w:val="17"/>
          <w:szCs w:val="17"/>
          <w:color w:val="auto"/>
        </w:rPr>
      </w:pPr>
    </w:p>
    <w:p>
      <w:pPr>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therapies and products including those that are currently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upon which we depend, including third-party contract research organizations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 and to identify and contract with alternate or secondary key vendors;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unforeseen emergencies and other outbreaks of communicable diseases, including the</w:t>
      </w:r>
    </w:p>
    <w:p>
      <w:pPr>
        <w:spacing w:after="0" w:line="27" w:lineRule="exact"/>
        <w:rPr>
          <w:rFonts w:ascii="Times New Roman" w:cs="Times New Roman" w:eastAsia="Times New Roman" w:hAnsi="Times New Roman"/>
          <w:sz w:val="18"/>
          <w:szCs w:val="18"/>
          <w:color w:val="auto"/>
        </w:rPr>
      </w:pPr>
    </w:p>
    <w:p>
      <w:pPr>
        <w:ind w:left="108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COVID-19 pandemic and the efforts to mitigate it, and geopolitical turmoil could disrupt our operations, the operations of third parties on which we rely or the operations of regulatory agencies we interact with in the development of CTI-1601; and</w:t>
      </w:r>
    </w:p>
    <w:p>
      <w:pPr>
        <w:spacing w:after="0" w:line="86"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completed two Phase 1 clinical trials in patients with Friedreich’s ataxia. We have received an orphan drug designation, fast track designation and rare pediatric disease designation, from the U.S. Food and Drug Administration, or FDA, for CTI-1601. In addition, we received orphan drug designation for CTI-1601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cell penetrating peptide technology platform, which enables a therapeutic molecule to cross a cell membrane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4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subsidiary.</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43,269,200 shares have been issued and are outstanding as of November 9, 2022,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November 9, 2022,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$2.96 per share. As of November 9, 2022, we had approximately 24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8"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203, a business combination between a corporation and an interested stockholder is prohibited unless it satisfies one of the following conditions:</w:t>
      </w:r>
    </w:p>
    <w:p>
      <w:pPr>
        <w:spacing w:after="0" w:line="142"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if any,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360" w:firstLine="536"/>
        <w:spacing w:after="0" w:line="578" w:lineRule="auto"/>
        <w:tabs>
          <w:tab w:leader="none" w:pos="109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right="20" w:hanging="4884"/>
        <w:spacing w:after="0" w:line="454" w:lineRule="auto"/>
        <w:tabs>
          <w:tab w:leader="none" w:pos="10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right="2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20"/>
          </w:cols>
          <w:pgMar w:left="320" w:top="455" w:right="7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20" w:hanging="424"/>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and/or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162"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 or otherwise affect the price of the securities. This may include over-allotments or short sales of the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Troutman Pepper Hamilton Sanders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643890</wp:posOffset>
            </wp:positionV>
            <wp:extent cx="2614295" cy="986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17,162,472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1867535</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356235</wp:posOffset>
            </wp:positionV>
            <wp:extent cx="1474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309" w:lineRule="exact"/>
        <w:rPr>
          <w:sz w:val="20"/>
          <w:szCs w:val="20"/>
          <w:color w:val="auto"/>
        </w:rPr>
      </w:pPr>
    </w:p>
    <w:p>
      <w:pPr>
        <w:ind w:left="980"/>
        <w:spacing w:after="0"/>
        <w:tabs>
          <w:tab w:leader="none" w:pos="5360" w:val="left"/>
          <w:tab w:leader="none" w:pos="8100" w:val="left"/>
        </w:tabs>
        <w:rPr>
          <w:sz w:val="20"/>
          <w:szCs w:val="20"/>
          <w:color w:val="auto"/>
        </w:rPr>
      </w:pP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Lead Manager</w:t>
      </w:r>
    </w:p>
    <w:p>
      <w:pPr>
        <w:spacing w:after="0" w:line="1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60"/>
      </w:cols>
      <w:pgMar w:left="320" w:top="45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lvl w:ilvl="1">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upperLetter"/>
      <w:start w:val="1"/>
    </w:lvl>
  </w:abstractNum>
  <w:abstractNum w:abstractNumId="18">
    <w:nsid w:val="6CEAF087"/>
    <w:multiLevelType w:val="hybridMultilevel"/>
    <w:lvl w:ilvl="0">
      <w:lvlJc w:val="left"/>
      <w:lvlText w:val="%1."/>
      <w:numFmt w:val="upperLetter"/>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844"/>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844"/>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jpe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49" Type="http://schemas.openxmlformats.org/officeDocument/2006/relationships/hyperlink" Target="http://www.sec.gov/ix?doc=/Archives/edgar/data/1374690/000095017023007855/lrmr-20221231.htm" TargetMode="External"/><Relationship Id="rId50" Type="http://schemas.openxmlformats.org/officeDocument/2006/relationships/hyperlink" Target="http://www.sec.gov/ix?doc=/Archives/edgar/data/1374690/000095017023022187/lrmr-20230331.htm" TargetMode="External"/><Relationship Id="rId51" Type="http://schemas.openxmlformats.org/officeDocument/2006/relationships/hyperlink" Target="http://www.sec.gov/ix?doc=/Archives/edgar/data/1374690/000095017023041293/lrmr-20230630.htm" TargetMode="External"/><Relationship Id="rId52" Type="http://schemas.openxmlformats.org/officeDocument/2006/relationships/hyperlink" Target="http://www.sec.gov/ix?doc=/Archives/edgar/data/1374690/000095017023063517/lrmr-20230930.htm" TargetMode="External"/><Relationship Id="rId53" Type="http://schemas.openxmlformats.org/officeDocument/2006/relationships/hyperlink" Target="http://www.sec.gov/Archives/edgar/data/1374690/000119312523097798/d433893ddef14a.htm" TargetMode="External"/><Relationship Id="rId55" Type="http://schemas.openxmlformats.org/officeDocument/2006/relationships/hyperlink" Target="http://www.sec.gov/ix?doc=/Archives/edgar/data/1374690/000095017023021747/lrmr-20230509.htm" TargetMode="External"/><Relationship Id="rId56" Type="http://schemas.openxmlformats.org/officeDocument/2006/relationships/hyperlink" Target="http://www.sec.gov/ix?doc=/Archives/edgar/data/1374690/000095017024013563/lrmr-20240212.htm" TargetMode="External"/><Relationship Id="rId57" Type="http://schemas.openxmlformats.org/officeDocument/2006/relationships/hyperlink" Target="http://www.sec.gov/ix?doc=/Archives/edgar/data/1374690/000095017024014919/lrmr-20240213.htm" TargetMode="External"/><Relationship Id="rId58" Type="http://schemas.openxmlformats.org/officeDocument/2006/relationships/hyperlink" Target="http://www.sec.gov/Archives/edgar/data/1374690/000119312514240257/d745277d8a12b.htm" TargetMode="External"/><Relationship Id="rId59" Type="http://schemas.openxmlformats.org/officeDocument/2006/relationships/hyperlink" Target="http://www.sec.gov/Archives/edgar/data/1374690/000156459021011003/lrmr-ex42_407.htm" TargetMode="External"/><Relationship Id="rId68" Type="http://schemas.openxmlformats.org/officeDocument/2006/relationships/hyperlink" Target="http://www.sec.gov/ix?doc=/Archives/edgar/data/1374690/000095017022004637/lrmr-20211231.htm" TargetMode="External"/><Relationship Id="rId69" Type="http://schemas.openxmlformats.org/officeDocument/2006/relationships/hyperlink" Target="http://www.sec.gov/ix?doc=/Archives/edgar/data/1374690/000095017022009590/lrmr-20220331.htm" TargetMode="External"/><Relationship Id="rId70" Type="http://schemas.openxmlformats.org/officeDocument/2006/relationships/hyperlink" Target="http://www.sec.gov/ix?doc=/Archives/edgar/data/1374690/000095017022016917/lrmr-20220630.htm" TargetMode="External"/><Relationship Id="rId71" Type="http://schemas.openxmlformats.org/officeDocument/2006/relationships/hyperlink" Target="http://www.sec.gov/ix?doc=/Archives/edgar/data/0001374690/000095017022024223/lrmr-20220930.htm" TargetMode="External"/><Relationship Id="rId72" Type="http://schemas.openxmlformats.org/officeDocument/2006/relationships/hyperlink" Target="http://www.sec.gov/Archives/edgar/data/1374690/000119312522102289/d301043ddef14a.htm" TargetMode="External"/><Relationship Id="rId73" Type="http://schemas.openxmlformats.org/officeDocument/2006/relationships/hyperlink" Target="http://www.sec.gov/ix?doc=/Archives/edgar/data/1374690/000119312522148057/d348537d8k.htm" TargetMode="External"/><Relationship Id="rId74" Type="http://schemas.openxmlformats.org/officeDocument/2006/relationships/hyperlink" Target="http://www.sec.gov/ix?doc=/Archives/edgar/data/1374690/000119312522148643/d309018d8k.htm" TargetMode="External"/><Relationship Id="rId75" Type="http://schemas.openxmlformats.org/officeDocument/2006/relationships/hyperlink" Target="http://www.sec.gov/ix?doc=/Archives/edgar/data/1374690/000095017022016881/lrmr-20220811.htm" TargetMode="External"/><Relationship Id="rId76" Type="http://schemas.openxmlformats.org/officeDocument/2006/relationships/hyperlink" Target="http://www.sec.gov/ix?doc=/Archives/edgar/data/1374690/000119312522244248/d392070d8k.htm" TargetMode="External"/><Relationship Id="rId77" Type="http://schemas.openxmlformats.org/officeDocument/2006/relationships/hyperlink" Target="http://www.sec.gov/ix?doc=/Archives/edgar/data/1374690/000119312522244317/d404741d8k.htm" TargetMode="External"/><Relationship Id="rId78" Type="http://schemas.openxmlformats.org/officeDocument/2006/relationships/hyperlink" Target="http://www.sec.gov/ix?doc=/Archives/edgar/data/1374690/000095017022019769/lrmr-20221020.htm" TargetMode="External"/><Relationship Id="rId79" Type="http://schemas.openxmlformats.org/officeDocument/2006/relationships/hyperlink" Target="http://www.sec.gov/ix?doc=/Archives/edgar/data/0001374690/000095017022024139/lrmr-202211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2024-02-14T17:44:57Z</dcterms:created>
  <dcterms:modified xsi:type="dcterms:W3CDTF">2024-02-14T17:44:57Z</dcterms:modified>
</cp:coreProperties>
</file>