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31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21, 2021, Larimar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entered into a Securities Purchase Agreement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with certain investors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 pursuant to which the Company agreed to sell to the Purchasers in a private placement (the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4,479,192 shares of the Company’s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pre-funded warrants to purchase an aggregate of 2,616,856 shares of the Company’s Common Stock. Under the terms of the Purchase Agreement, the closing of the Private Placement is conditioned upon the satisfaction of certain customary closing conditions. Given that certain closing conditions did not occur, the Company delivered a notice to the Purchasers on May 25, 2021 terminating the Purchase Agreement.</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May 25, 2021, the Company issued a press release providing an update on the status of its CTI-1601 Phase 1 clinical trials in patients with Friedreich’s ataxia (FA) and on its Private Placement, which the Company announced on May 21, 2021. A copy of this press release is filed as Exhibit 99.1 hereto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Larimar Therapeutics, Inc., dated May 25, 2021*</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40"/>
          </w:cols>
          <w:pgMar w:left="440" w:top="270" w:right="5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2275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Larimar Therapeutics Reports FDA Clinical Hold on CTI-1601 and Termination of Recently Announced Private Placement Financing</w:t>
      </w:r>
    </w:p>
    <w:p>
      <w:pPr>
        <w:spacing w:after="0" w:line="2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Bala Cynwyd, PA, May 25, 2021 </w:t>
      </w:r>
      <w:r>
        <w:rPr>
          <w:rFonts w:ascii="Arial" w:cs="Arial" w:eastAsia="Arial" w:hAnsi="Arial"/>
          <w:sz w:val="18"/>
          <w:szCs w:val="18"/>
          <w:color w:val="auto"/>
        </w:rPr>
        <w:t>– Larimar Therapeutics, Inc. (“Larimar”) (Nasdaq: LRMR), a clinical-stage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treatments for Friedreich’s ataxia (FA) and other complex rare diseases, today announced that the United States Food and Drug Administration (FDA) has placed a clinical hold on the CTI-1601 clinical program and that the company will not be closing a previously announced private placement financing. CTI-1601 is a recombinant fusion protein intended to deliver human frataxin into the mitochondria of patients with FA who are unable to produce enough of this essential protein.</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clinical hold follows the previous notification by Larimar to the FDA of mortalities which occurred at the highest dose levels in an ongoing 180-day non-human primate (NHP) toxicology study, which is designed to support extended dosing of patients with CTI-1601. In the clinical hold letter, the FDA stated it needs a full study report from the ongoing NHP study and Larimar may not initiate additional clinical trials until the company has submitted the report and received notification from the agency that additional clinical trials may commence.</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“While the notification of a formal clinical hold is disappointing, it does not change our previously stated clinical development strategy for CTI-1601,” said Carole Ben-Maimon, MD, President and Chief Executive Officer of Larimar. “Patient safety is our top priority, and we will continue with our plan to complete the NHP toxicology study, assess the data, and discuss that data with FDA to obtain their consent prior to initiating our Jive and pediatric MAD trials. Based on all of the information we have regarding CTI-1601’s safety profile to date, we continue to believe there is a path forward toward the initiation of our Jive and pediatric MAD trials. However, due to the additional regulatory requirements that come with responding to a formal clinical hold, we believe there is a possibility that the initiation of these trials may be delayed into 2022. Regarding the termination of the previously announced private placement financing, as of March 31, 2021, we have $81.4 million in cash and investments, which provides cash runway through the first half of 2022.”</w:t>
      </w:r>
    </w:p>
    <w:p>
      <w:pPr>
        <w:spacing w:after="0" w:line="19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safety of CTI-1601 was previously evaluated in Phase 1 single- and multiple-ascending dose clinical trials. Recently announced data from these trials indicate that repeated subcutaneous injections of CTI-1601 were generally well tolerated at doses up to 100 mg administered daily for 13 days. No serious adverse events, important medical events, or treatment-related severe adverse events were reported in the trial and the number and severity of adverse events did not increase with increasing exposure to CTI-1601. The most common adverse events were mild and moderate injection site reactions. Data from the MAD trial also showed that daily subcutaneous injections of CTI-1601 at doses of 50 mg or 100 mg resulted in frataxin levels in peripheral tissues (buccal cells) that were at or in excess of those that would be expected in phenotypically normal heterozygous carriers.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CTI-1601</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CTI-1601 is a recombinant fusion protein intended to deliver human frataxin into the mitochondria of patients with Friedreich’s ataxia who are unable to produce enough of this essential protein. Currently in Phase 1 clinical trials in the U.S., CTI-1601 has been granted Rare Pediatric Disease designation, Fast Track designation and Orphan Drug designation by the U.S. Food and Drug Administration (FDA), Orphan Drug Designation by the European Commission, and PRIME designation by the European Medicines Agency.</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Larimar Therapeutics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Larimar Therapeutics, Inc. (Nasdaq: LRMR), is a clinical-stage biotechnology company focused on developing treatments for complex rare diseases. Larimar’s lead compound, CTI-1601, is currently being evaluated in a Phase 1 clinical program in the U.S. as a potential treatment for FA.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8"/>
          <w:szCs w:val="18"/>
          <w:u w:val="single" w:color="auto"/>
          <w:color w:val="auto"/>
        </w:rPr>
        <w:t>https://larimartx.com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expectations regarding its ability to resolve the clinical hold imposed by the FDA related to CTI-1601,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CTI-1601, the timing and outcome of Larimar’s planned interactions with the FDA concerning such the clinical hold on CTI-1601, the success, cost and timing of Larimar’s product development activities, nonclinical studies and clinical trials, including CTI-1601 clinical milestones; that clinical trial results may differ from final clinical trial results, that earlier non-clinical and clinical data and testing of CTI-1601 may not be predictive of the results or success of clinical trials, and assessments; the ongoing impact of the COVID-19 pandemic on Larimar’s future clinical trials, manufacturing, regulatory and nonclinical study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 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 looking statements for any reason, except as required by law.</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620" w:type="dxa"/>
            <w:vAlign w:val="bottom"/>
            <w:gridSpan w:val="2"/>
          </w:tcPr>
          <w:p>
            <w:pPr>
              <w:ind w:left="1840"/>
              <w:spacing w:after="0"/>
              <w:rPr>
                <w:sz w:val="20"/>
                <w:szCs w:val="20"/>
                <w:color w:val="auto"/>
              </w:rPr>
            </w:pPr>
            <w:r>
              <w:rPr>
                <w:rFonts w:ascii="Arial" w:cs="Arial" w:eastAsia="Arial" w:hAnsi="Arial"/>
                <w:sz w:val="18"/>
                <w:szCs w:val="18"/>
                <w:b w:val="1"/>
                <w:bCs w:val="1"/>
                <w:color w:val="auto"/>
              </w:rPr>
              <w:t>Company Contact: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Joyce Allaire</w:t>
            </w: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rPr>
              <w:t>Michael Celano</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LifeSci Advisors</w:t>
            </w: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w w:val="99"/>
              </w:rPr>
              <w:t>Chief Financial Officer</w:t>
            </w:r>
          </w:p>
        </w:tc>
      </w:tr>
      <w:tr>
        <w:trPr>
          <w:trHeight w:val="190"/>
        </w:trPr>
        <w:tc>
          <w:tcPr>
            <w:tcW w:w="2060" w:type="dxa"/>
            <w:vAlign w:val="bottom"/>
          </w:tcPr>
          <w:p>
            <w:pPr>
              <w:spacing w:after="0" w:line="190" w:lineRule="exact"/>
              <w:rPr>
                <w:sz w:val="20"/>
                <w:szCs w:val="20"/>
                <w:color w:val="auto"/>
              </w:rPr>
            </w:pPr>
            <w:r>
              <w:rPr>
                <w:rFonts w:ascii="Arial" w:cs="Arial" w:eastAsia="Arial" w:hAnsi="Arial"/>
                <w:sz w:val="18"/>
                <w:szCs w:val="18"/>
                <w:color w:val="auto"/>
                <w:w w:val="92"/>
              </w:rPr>
              <w:t>jallaire@lifesciadvisors.com</w:t>
            </w:r>
          </w:p>
        </w:tc>
        <w:tc>
          <w:tcPr>
            <w:tcW w:w="1840" w:type="dxa"/>
            <w:vAlign w:val="bottom"/>
          </w:tcPr>
          <w:p>
            <w:pPr>
              <w:spacing w:after="0"/>
              <w:rPr>
                <w:sz w:val="16"/>
                <w:szCs w:val="16"/>
                <w:color w:val="auto"/>
              </w:rPr>
            </w:pPr>
          </w:p>
        </w:tc>
        <w:tc>
          <w:tcPr>
            <w:tcW w:w="3620" w:type="dxa"/>
            <w:vAlign w:val="bottom"/>
            <w:gridSpan w:val="2"/>
          </w:tcPr>
          <w:p>
            <w:pPr>
              <w:ind w:left="1840"/>
              <w:spacing w:after="0" w:line="190" w:lineRule="exact"/>
              <w:rPr>
                <w:sz w:val="20"/>
                <w:szCs w:val="20"/>
                <w:color w:val="auto"/>
              </w:rPr>
            </w:pPr>
            <w:r>
              <w:rPr>
                <w:rFonts w:ascii="Arial" w:cs="Arial" w:eastAsia="Arial" w:hAnsi="Arial"/>
                <w:sz w:val="18"/>
                <w:szCs w:val="18"/>
                <w:color w:val="auto"/>
                <w:w w:val="90"/>
              </w:rPr>
              <w:t>mcelano@larimartx.com</w:t>
            </w:r>
          </w:p>
        </w:tc>
      </w:tr>
      <w:tr>
        <w:trPr>
          <w:trHeight w:val="20"/>
        </w:trPr>
        <w:tc>
          <w:tcPr>
            <w:tcW w:w="20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(212) 915-2569</w:t>
            </w:r>
          </w:p>
        </w:tc>
        <w:tc>
          <w:tcPr>
            <w:tcW w:w="1840" w:type="dxa"/>
            <w:vAlign w:val="bottom"/>
          </w:tcPr>
          <w:p>
            <w:pPr>
              <w:spacing w:after="0"/>
              <w:rPr>
                <w:sz w:val="20"/>
                <w:szCs w:val="20"/>
                <w:color w:val="auto"/>
              </w:rPr>
            </w:pPr>
          </w:p>
        </w:tc>
        <w:tc>
          <w:tcPr>
            <w:tcW w:w="3620" w:type="dxa"/>
            <w:vAlign w:val="bottom"/>
            <w:gridSpan w:val="2"/>
          </w:tcPr>
          <w:p>
            <w:pPr>
              <w:ind w:left="1840"/>
              <w:spacing w:after="0"/>
              <w:rPr>
                <w:sz w:val="20"/>
                <w:szCs w:val="20"/>
                <w:color w:val="auto"/>
              </w:rPr>
            </w:pPr>
            <w:r>
              <w:rPr>
                <w:rFonts w:ascii="Arial" w:cs="Arial" w:eastAsia="Arial" w:hAnsi="Arial"/>
                <w:sz w:val="18"/>
                <w:szCs w:val="18"/>
                <w:color w:val="auto"/>
              </w:rPr>
              <w:t>(484) 414-2715</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2021-05-26T09:19:28Z</dcterms:created>
  <dcterms:modified xsi:type="dcterms:W3CDTF">2021-05-26T09:19:28Z</dcterms:modified>
</cp:coreProperties>
</file>