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September 17,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242570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3540" w:type="dxa"/>
            <w:vAlign w:val="bottom"/>
          </w:tcPr>
          <w:p>
            <w:pPr>
              <w:jc w:val="center"/>
              <w:ind w:right="1839"/>
              <w:spacing w:after="0"/>
              <w:rPr>
                <w:sz w:val="20"/>
                <w:szCs w:val="20"/>
                <w:color w:val="auto"/>
              </w:rPr>
            </w:pPr>
            <w:r>
              <w:rPr>
                <w:rFonts w:ascii="Arial" w:cs="Arial" w:eastAsia="Arial" w:hAnsi="Arial"/>
                <w:sz w:val="18"/>
                <w:szCs w:val="18"/>
                <w:b w:val="1"/>
                <w:bCs w:val="1"/>
                <w:color w:val="auto"/>
                <w:w w:val="98"/>
              </w:rPr>
              <w:t>DELAWARE</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001-36510</w:t>
            </w:r>
          </w:p>
        </w:tc>
        <w:tc>
          <w:tcPr>
            <w:tcW w:w="2800" w:type="dxa"/>
            <w:vAlign w:val="bottom"/>
          </w:tcPr>
          <w:p>
            <w:pPr>
              <w:jc w:val="center"/>
              <w:ind w:left="1601"/>
              <w:spacing w:after="0"/>
              <w:rPr>
                <w:sz w:val="20"/>
                <w:szCs w:val="20"/>
                <w:color w:val="auto"/>
              </w:rPr>
            </w:pPr>
            <w:r>
              <w:rPr>
                <w:rFonts w:ascii="Arial" w:cs="Arial" w:eastAsia="Arial" w:hAnsi="Arial"/>
                <w:sz w:val="18"/>
                <w:szCs w:val="18"/>
                <w:b w:val="1"/>
                <w:bCs w:val="1"/>
                <w:color w:val="auto"/>
                <w:w w:val="91"/>
              </w:rPr>
              <w:t>20-3857670</w:t>
            </w:r>
          </w:p>
        </w:tc>
      </w:tr>
      <w:tr>
        <w:trPr>
          <w:trHeight w:val="149"/>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6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54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60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54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3 Center Plaza, Suite 610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6"/>
              </w:rPr>
              <w:t>Boston, Massachusetts</w:t>
            </w:r>
          </w:p>
        </w:tc>
        <w:tc>
          <w:tcPr>
            <w:tcW w:w="2420" w:type="dxa"/>
            <w:vAlign w:val="bottom"/>
          </w:tcPr>
          <w:p>
            <w:pPr>
              <w:spacing w:after="0"/>
              <w:rPr>
                <w:sz w:val="19"/>
                <w:szCs w:val="19"/>
                <w:color w:val="auto"/>
              </w:rPr>
            </w:pPr>
          </w:p>
        </w:tc>
        <w:tc>
          <w:tcPr>
            <w:tcW w:w="2800" w:type="dxa"/>
            <w:vAlign w:val="bottom"/>
          </w:tcPr>
          <w:p>
            <w:pPr>
              <w:jc w:val="right"/>
              <w:ind w:right="1161"/>
              <w:spacing w:after="0"/>
              <w:rPr>
                <w:sz w:val="20"/>
                <w:szCs w:val="20"/>
                <w:color w:val="auto"/>
              </w:rPr>
            </w:pPr>
            <w:r>
              <w:rPr>
                <w:rFonts w:ascii="Arial" w:cs="Arial" w:eastAsia="Arial" w:hAnsi="Arial"/>
                <w:sz w:val="18"/>
                <w:szCs w:val="18"/>
                <w:b w:val="1"/>
                <w:bCs w:val="1"/>
                <w:color w:val="auto"/>
              </w:rPr>
              <w:t>02108</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ZFGN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NASDAQ Global Market</w:t>
            </w:r>
          </w:p>
        </w:tc>
      </w:tr>
    </w:tbl>
    <w:p>
      <w:pPr>
        <w:spacing w:after="0" w:line="183"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449"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3.01. Notice of Delisting or Failure to Satisfy a Continued Listing Rule or Standard; Transfer of Listing.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September 17, 2019, Zafgen, Inc. (the “Company”) received a letter (the “Notice”) from The Nasdaq Stock Market (“Nasdaq”) advising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that for 30 consecutive trading days preceding the date of the Notice, the bid price of the Company’s common stock had closed below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per share minimum required for continued listing on the Nasdaq Global Market pursuant to Nasdaq Listing Rule 5550(a)(1) (the “Minimum Bid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Requirement”). The Notice has no effect on the listing of the Company’s common stock at this time, and the Company’s common stock continues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trade on the Nasdaq Global Market under the symbol “ZFGN.”</w:t>
      </w:r>
    </w:p>
    <w:p>
      <w:pPr>
        <w:spacing w:after="0" w:line="21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Under Nasdaq Listing Rule 5810(c)(3)(A), if during the 180 calendar day period following the date of the Notice, which for the Company is until March 16, 2020 (the “Compliance Period”), the closing bid price of the Company’s common stock is at or above $1.00 for a minimum of 10 consecutive business days, the Company will regain compliance with the Minimum Bid Price Requirement and its common stock will continue to be eligible for listing on the Nasdaq Global Market, absent noncompliance with any other requirement for continued listing.</w:t>
      </w:r>
    </w:p>
    <w:p>
      <w:pPr>
        <w:spacing w:after="0" w:line="171"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If the Company does not regain compliance with the Minimum Bid Price Requirement by the end of the Compliance Period, then under Nasdaq Listing Rule 5810(c)(3)(A)(i) the Company may transfer to The Nasdaq Capital Market, provided that it meets the applicable market value of publicly held shares requirement for continued listing as well as all other standards for initial listing of its common stock on the Nasdaq Capital Market (other than the Minimum Bid Price Requirement) and notifies Nasdaq of its intention to cure the deficiency during a second compliance period (by effecting a reverse stock split if necessary). Following a transfer to The Nasdaq Capital Market, under Nasdaq Listing Rule 5810(c)(3)(A)(ii), the Company may be afforded an additional 180-days to regain compliance with the Minimum Bid Price Requirement.</w:t>
      </w:r>
    </w:p>
    <w:p>
      <w:pPr>
        <w:spacing w:after="0" w:line="178"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If the Company does not regain compliance with the Minimum Bid Price Requirement by the end of the Compliance Period (or the Compliance Period as may be extended) the Company’s common stock will be subject to delisting.</w:t>
      </w:r>
    </w:p>
    <w:p>
      <w:pPr>
        <w:spacing w:after="0" w:line="170"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The Company intends to monitor the closing bid price of its common stock and may, if appropriate, consider implementing available options to regain compliance with the Minimum Bid Price Requirement under the Nasdaq Listing Rules.</w:t>
      </w:r>
    </w:p>
    <w:p>
      <w:pPr>
        <w:spacing w:after="0" w:line="170" w:lineRule="exact"/>
        <w:rPr>
          <w:sz w:val="20"/>
          <w:szCs w:val="20"/>
          <w:color w:val="auto"/>
        </w:rPr>
      </w:pPr>
    </w:p>
    <w:p>
      <w:pPr>
        <w:ind w:left="5020"/>
        <w:spacing w:after="0"/>
        <w:tabs>
          <w:tab w:leader="none" w:pos="5440" w:val="left"/>
          <w:tab w:leader="none" w:pos="5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000"/>
          </w:cols>
          <w:pgMar w:left="440" w:top="270" w:right="4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280" w:type="dxa"/>
            <w:vAlign w:val="bottom"/>
            <w:gridSpan w:val="2"/>
          </w:tcPr>
          <w:p>
            <w:pPr>
              <w:ind w:left="1880"/>
              <w:spacing w:after="0"/>
              <w:rPr>
                <w:sz w:val="20"/>
                <w:szCs w:val="20"/>
                <w:color w:val="auto"/>
              </w:rPr>
            </w:pPr>
            <w:r>
              <w:rPr>
                <w:rFonts w:ascii="Arial" w:cs="Arial" w:eastAsia="Arial" w:hAnsi="Arial"/>
                <w:sz w:val="18"/>
                <w:szCs w:val="18"/>
                <w:b w:val="1"/>
                <w:bCs w:val="1"/>
                <w:color w:val="auto"/>
              </w:rPr>
              <w:t>ZAFGEN,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September 19, 2019</w:t>
            </w:r>
          </w:p>
        </w:tc>
        <w:tc>
          <w:tcPr>
            <w:tcW w:w="7280" w:type="dxa"/>
            <w:vAlign w:val="bottom"/>
            <w:gridSpan w:val="2"/>
          </w:tcPr>
          <w:p>
            <w:pPr>
              <w:ind w:left="1880"/>
              <w:spacing w:after="0"/>
              <w:rPr>
                <w:sz w:val="20"/>
                <w:szCs w:val="20"/>
                <w:color w:val="auto"/>
              </w:rPr>
            </w:pPr>
            <w:r>
              <w:rPr>
                <w:rFonts w:ascii="Arial" w:cs="Arial" w:eastAsia="Arial" w:hAnsi="Arial"/>
                <w:sz w:val="18"/>
                <w:szCs w:val="18"/>
                <w:color w:val="auto"/>
              </w:rPr>
              <w:t>By:  /s/ Jeffrey S. Hatfield</w:t>
            </w:r>
          </w:p>
        </w:tc>
      </w:tr>
      <w:tr>
        <w:trPr>
          <w:trHeight w:val="195"/>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Jeffrey S. Hatfield</w:t>
            </w:r>
          </w:p>
        </w:tc>
      </w:tr>
      <w:tr>
        <w:trPr>
          <w:trHeight w:val="230"/>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2019-12-21T01:27:26Z</dcterms:created>
  <dcterms:modified xsi:type="dcterms:W3CDTF">2019-12-21T01:27:26Z</dcterms:modified>
</cp:coreProperties>
</file>