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May 21,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Larimar Therapeutics,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964" w:type="dxa"/>
        <w:tblCellMar>
          <w:top w:w="0" w:type="dxa"/>
          <w:left w:w="0" w:type="dxa"/>
          <w:bottom w:w="0" w:type="dxa"/>
          <w:right w:w="0" w:type="dxa"/>
        </w:tblCellMar>
      </w:tblPr>
      <w:tr>
        <w:trPr>
          <w:trHeight w:val="212"/>
        </w:trPr>
        <w:tc>
          <w:tcPr>
            <w:tcW w:w="4120" w:type="dxa"/>
            <w:vAlign w:val="bottom"/>
          </w:tcPr>
          <w:p>
            <w:pPr>
              <w:jc w:val="center"/>
              <w:ind w:right="2239"/>
              <w:spacing w:after="0"/>
              <w:rPr>
                <w:sz w:val="20"/>
                <w:szCs w:val="20"/>
                <w:color w:val="auto"/>
              </w:rPr>
            </w:pPr>
            <w:r>
              <w:rPr>
                <w:rFonts w:ascii="Arial" w:cs="Arial" w:eastAsia="Arial" w:hAnsi="Arial"/>
                <w:sz w:val="18"/>
                <w:szCs w:val="18"/>
                <w:b w:val="1"/>
                <w:bCs w:val="1"/>
                <w:color w:val="auto"/>
                <w:w w:val="91"/>
              </w:rPr>
              <w:t>Delaware</w:t>
            </w:r>
          </w:p>
        </w:tc>
        <w:tc>
          <w:tcPr>
            <w:tcW w:w="2280" w:type="dxa"/>
            <w:vAlign w:val="bottom"/>
          </w:tcPr>
          <w:p>
            <w:pPr>
              <w:ind w:left="140"/>
              <w:spacing w:after="0"/>
              <w:rPr>
                <w:sz w:val="20"/>
                <w:szCs w:val="20"/>
                <w:color w:val="auto"/>
              </w:rPr>
            </w:pPr>
            <w:r>
              <w:rPr>
                <w:rFonts w:ascii="Arial" w:cs="Arial" w:eastAsia="Arial" w:hAnsi="Arial"/>
                <w:sz w:val="18"/>
                <w:szCs w:val="18"/>
                <w:b w:val="1"/>
                <w:bCs w:val="1"/>
                <w:color w:val="auto"/>
              </w:rPr>
              <w:t>001-36510</w:t>
            </w:r>
          </w:p>
        </w:tc>
        <w:tc>
          <w:tcPr>
            <w:tcW w:w="2460" w:type="dxa"/>
            <w:vAlign w:val="bottom"/>
          </w:tcPr>
          <w:p>
            <w:pPr>
              <w:jc w:val="right"/>
              <w:ind w:right="61"/>
              <w:spacing w:after="0"/>
              <w:rPr>
                <w:sz w:val="20"/>
                <w:szCs w:val="20"/>
                <w:color w:val="auto"/>
              </w:rPr>
            </w:pPr>
            <w:r>
              <w:rPr>
                <w:rFonts w:ascii="Arial" w:cs="Arial" w:eastAsia="Arial" w:hAnsi="Arial"/>
                <w:sz w:val="18"/>
                <w:szCs w:val="18"/>
                <w:b w:val="1"/>
                <w:bCs w:val="1"/>
                <w:color w:val="auto"/>
              </w:rPr>
              <w:t>20-3857670</w:t>
            </w:r>
          </w:p>
        </w:tc>
      </w:tr>
      <w:tr>
        <w:trPr>
          <w:trHeight w:val="148"/>
        </w:trPr>
        <w:tc>
          <w:tcPr>
            <w:tcW w:w="4120" w:type="dxa"/>
            <w:vAlign w:val="bottom"/>
          </w:tcPr>
          <w:p>
            <w:pPr>
              <w:jc w:val="center"/>
              <w:ind w:right="223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28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4120" w:type="dxa"/>
            <w:vAlign w:val="bottom"/>
          </w:tcPr>
          <w:p>
            <w:pPr>
              <w:jc w:val="center"/>
              <w:ind w:right="2219"/>
              <w:spacing w:after="0"/>
              <w:rPr>
                <w:sz w:val="20"/>
                <w:szCs w:val="20"/>
                <w:color w:val="auto"/>
              </w:rPr>
            </w:pPr>
            <w:r>
              <w:rPr>
                <w:rFonts w:ascii="Arial" w:cs="Arial" w:eastAsia="Arial" w:hAnsi="Arial"/>
                <w:sz w:val="14"/>
                <w:szCs w:val="14"/>
                <w:b w:val="1"/>
                <w:bCs w:val="1"/>
                <w:color w:val="auto"/>
                <w:w w:val="94"/>
              </w:rPr>
              <w:t>incorporation)</w:t>
            </w:r>
          </w:p>
        </w:tc>
        <w:tc>
          <w:tcPr>
            <w:tcW w:w="2280" w:type="dxa"/>
            <w:vAlign w:val="bottom"/>
          </w:tcPr>
          <w:p>
            <w:pPr>
              <w:ind w:left="120"/>
              <w:spacing w:after="0"/>
              <w:rPr>
                <w:sz w:val="20"/>
                <w:szCs w:val="20"/>
                <w:color w:val="auto"/>
              </w:rPr>
            </w:pPr>
            <w:r>
              <w:rPr>
                <w:rFonts w:ascii="Arial" w:cs="Arial" w:eastAsia="Arial" w:hAnsi="Arial"/>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4120" w:type="dxa"/>
            <w:vAlign w:val="bottom"/>
          </w:tcPr>
          <w:p>
            <w:pPr>
              <w:jc w:val="center"/>
              <w:ind w:left="1259"/>
              <w:spacing w:after="0"/>
              <w:rPr>
                <w:sz w:val="20"/>
                <w:szCs w:val="20"/>
                <w:color w:val="auto"/>
              </w:rPr>
            </w:pPr>
            <w:r>
              <w:rPr>
                <w:rFonts w:ascii="Arial" w:cs="Arial" w:eastAsia="Arial" w:hAnsi="Arial"/>
                <w:sz w:val="18"/>
                <w:szCs w:val="18"/>
                <w:b w:val="1"/>
                <w:bCs w:val="1"/>
                <w:color w:val="auto"/>
                <w:w w:val="90"/>
              </w:rPr>
              <w:t>Three Bala Plaza East, Suite 506</w:t>
            </w:r>
          </w:p>
        </w:tc>
        <w:tc>
          <w:tcPr>
            <w:tcW w:w="228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25"/>
        </w:trPr>
        <w:tc>
          <w:tcPr>
            <w:tcW w:w="4120" w:type="dxa"/>
            <w:vAlign w:val="bottom"/>
          </w:tcPr>
          <w:p>
            <w:pPr>
              <w:jc w:val="center"/>
              <w:ind w:left="1259"/>
              <w:spacing w:after="0"/>
              <w:rPr>
                <w:sz w:val="20"/>
                <w:szCs w:val="20"/>
                <w:color w:val="auto"/>
              </w:rPr>
            </w:pPr>
            <w:r>
              <w:rPr>
                <w:rFonts w:ascii="Arial" w:cs="Arial" w:eastAsia="Arial" w:hAnsi="Arial"/>
                <w:sz w:val="18"/>
                <w:szCs w:val="18"/>
                <w:b w:val="1"/>
                <w:bCs w:val="1"/>
                <w:color w:val="auto"/>
                <w:w w:val="90"/>
              </w:rPr>
              <w:t>Bala Cynwyd, Pennsylvania</w:t>
            </w:r>
          </w:p>
        </w:tc>
        <w:tc>
          <w:tcPr>
            <w:tcW w:w="2280" w:type="dxa"/>
            <w:vAlign w:val="bottom"/>
          </w:tcPr>
          <w:p>
            <w:pPr>
              <w:spacing w:after="0"/>
              <w:rPr>
                <w:sz w:val="19"/>
                <w:szCs w:val="19"/>
                <w:color w:val="auto"/>
              </w:rPr>
            </w:pPr>
          </w:p>
        </w:tc>
        <w:tc>
          <w:tcPr>
            <w:tcW w:w="2460" w:type="dxa"/>
            <w:vAlign w:val="bottom"/>
          </w:tcPr>
          <w:p>
            <w:pPr>
              <w:jc w:val="right"/>
              <w:ind w:right="261"/>
              <w:spacing w:after="0"/>
              <w:rPr>
                <w:sz w:val="20"/>
                <w:szCs w:val="20"/>
                <w:color w:val="auto"/>
              </w:rPr>
            </w:pPr>
            <w:r>
              <w:rPr>
                <w:rFonts w:ascii="Arial" w:cs="Arial" w:eastAsia="Arial" w:hAnsi="Arial"/>
                <w:sz w:val="18"/>
                <w:szCs w:val="18"/>
                <w:b w:val="1"/>
                <w:bCs w:val="1"/>
                <w:color w:val="auto"/>
              </w:rPr>
              <w:t>19004</w:t>
            </w:r>
          </w:p>
        </w:tc>
      </w:tr>
      <w:tr>
        <w:trPr>
          <w:trHeight w:val="186"/>
        </w:trPr>
        <w:tc>
          <w:tcPr>
            <w:tcW w:w="4120" w:type="dxa"/>
            <w:vAlign w:val="bottom"/>
          </w:tcPr>
          <w:p>
            <w:pPr>
              <w:jc w:val="center"/>
              <w:ind w:left="125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28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5"/>
              </w:rPr>
              <w:t>(Zip Code)</w:t>
            </w:r>
          </w:p>
        </w:tc>
      </w:tr>
    </w:tbl>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(844) 511-9056</w:t>
      </w:r>
    </w:p>
    <w:p>
      <w:pPr>
        <w:spacing w:after="0" w:line="113"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212090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LRMR</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Nasdaq Global Market</w:t>
            </w:r>
          </w:p>
        </w:tc>
        <w:tc>
          <w:tcPr>
            <w:tcW w:w="0" w:type="dxa"/>
            <w:vAlign w:val="bottom"/>
          </w:tcPr>
          <w:p>
            <w:pPr>
              <w:spacing w:after="0"/>
              <w:rPr>
                <w:sz w:val="1"/>
                <w:szCs w:val="1"/>
                <w:color w:val="auto"/>
              </w:rPr>
            </w:pPr>
          </w:p>
        </w:tc>
      </w:tr>
    </w:tbl>
    <w:p>
      <w:pPr>
        <w:spacing w:after="0" w:line="14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1" w:lineRule="exact"/>
        <w:rPr>
          <w:sz w:val="24"/>
          <w:szCs w:val="24"/>
          <w:color w:val="auto"/>
        </w:rPr>
      </w:pPr>
    </w:p>
    <w:p>
      <w:pPr>
        <w:ind w:left="880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40"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159385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201930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1.01 Entry into a Material Definitive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 and Securities Purchase Agreement</w:t>
      </w:r>
    </w:p>
    <w:p>
      <w:pPr>
        <w:spacing w:after="0" w:line="117" w:lineRule="exact"/>
        <w:rPr>
          <w:sz w:val="20"/>
          <w:szCs w:val="20"/>
          <w:color w:val="auto"/>
        </w:rPr>
      </w:pPr>
    </w:p>
    <w:p>
      <w:pPr>
        <w:ind w:right="240"/>
        <w:spacing w:after="0" w:line="275" w:lineRule="auto"/>
        <w:rPr>
          <w:sz w:val="20"/>
          <w:szCs w:val="20"/>
          <w:color w:val="auto"/>
        </w:rPr>
      </w:pPr>
      <w:r>
        <w:rPr>
          <w:rFonts w:ascii="Arial" w:cs="Arial" w:eastAsia="Arial" w:hAnsi="Arial"/>
          <w:sz w:val="17"/>
          <w:szCs w:val="17"/>
          <w:color w:val="auto"/>
        </w:rPr>
        <w:t>On May 21, 2021, Larimar Therapeutics,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or “</w:t>
      </w:r>
      <w:r>
        <w:rPr>
          <w:rFonts w:ascii="Arial" w:cs="Arial" w:eastAsia="Arial" w:hAnsi="Arial"/>
          <w:sz w:val="17"/>
          <w:szCs w:val="17"/>
          <w:b w:val="1"/>
          <w:bCs w:val="1"/>
          <w:i w:val="1"/>
          <w:iCs w:val="1"/>
          <w:color w:val="auto"/>
        </w:rPr>
        <w:t>Larimar</w:t>
      </w:r>
      <w:r>
        <w:rPr>
          <w:rFonts w:ascii="Arial" w:cs="Arial" w:eastAsia="Arial" w:hAnsi="Arial"/>
          <w:sz w:val="17"/>
          <w:szCs w:val="17"/>
          <w:color w:val="auto"/>
        </w:rPr>
        <w:t>”) entered into a Securities Purchase Agreement (the “</w:t>
      </w:r>
      <w:r>
        <w:rPr>
          <w:rFonts w:ascii="Arial" w:cs="Arial" w:eastAsia="Arial" w:hAnsi="Arial"/>
          <w:sz w:val="17"/>
          <w:szCs w:val="17"/>
          <w:b w:val="1"/>
          <w:bCs w:val="1"/>
          <w:i w:val="1"/>
          <w:iCs w:val="1"/>
          <w:color w:val="auto"/>
        </w:rPr>
        <w:t>Purchase</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with certain investors (the “</w:t>
      </w:r>
      <w:r>
        <w:rPr>
          <w:rFonts w:ascii="Arial" w:cs="Arial" w:eastAsia="Arial" w:hAnsi="Arial"/>
          <w:sz w:val="17"/>
          <w:szCs w:val="17"/>
          <w:b w:val="1"/>
          <w:bCs w:val="1"/>
          <w:i w:val="1"/>
          <w:iCs w:val="1"/>
          <w:color w:val="auto"/>
        </w:rPr>
        <w:t>Purchasers</w:t>
      </w:r>
      <w:r>
        <w:rPr>
          <w:rFonts w:ascii="Arial" w:cs="Arial" w:eastAsia="Arial" w:hAnsi="Arial"/>
          <w:sz w:val="17"/>
          <w:szCs w:val="17"/>
          <w:color w:val="auto"/>
        </w:rPr>
        <w:t>”) for the sale by the Company in a private placement (the “</w:t>
      </w:r>
      <w:r>
        <w:rPr>
          <w:rFonts w:ascii="Arial" w:cs="Arial" w:eastAsia="Arial" w:hAnsi="Arial"/>
          <w:sz w:val="17"/>
          <w:szCs w:val="17"/>
          <w:b w:val="1"/>
          <w:bCs w:val="1"/>
          <w:i w:val="1"/>
          <w:iCs w:val="1"/>
          <w:color w:val="auto"/>
        </w:rPr>
        <w:t>Private Placement</w:t>
      </w:r>
      <w:r>
        <w:rPr>
          <w:rFonts w:ascii="Arial" w:cs="Arial" w:eastAsia="Arial" w:hAnsi="Arial"/>
          <w:sz w:val="17"/>
          <w:szCs w:val="17"/>
          <w:color w:val="auto"/>
        </w:rPr>
        <w:t>”) of 4,479,192</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shares (the “</w:t>
      </w:r>
      <w:r>
        <w:rPr>
          <w:rFonts w:ascii="Arial" w:cs="Arial" w:eastAsia="Arial" w:hAnsi="Arial"/>
          <w:sz w:val="17"/>
          <w:szCs w:val="17"/>
          <w:b w:val="1"/>
          <w:bCs w:val="1"/>
          <w:i w:val="1"/>
          <w:iCs w:val="1"/>
          <w:color w:val="auto"/>
        </w:rPr>
        <w:t>Shares</w:t>
      </w:r>
      <w:r>
        <w:rPr>
          <w:rFonts w:ascii="Arial" w:cs="Arial" w:eastAsia="Arial" w:hAnsi="Arial"/>
          <w:sz w:val="17"/>
          <w:szCs w:val="17"/>
          <w:color w:val="auto"/>
        </w:rPr>
        <w:t>”) of the Company’s common stock, par value $0.001 per share (the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and pre-funded warrants to purchase an aggregate of 2,616,856 shares of the Company’s Common Stock (the “</w:t>
      </w:r>
      <w:r>
        <w:rPr>
          <w:rFonts w:ascii="Arial" w:cs="Arial" w:eastAsia="Arial" w:hAnsi="Arial"/>
          <w:sz w:val="17"/>
          <w:szCs w:val="17"/>
          <w:b w:val="1"/>
          <w:bCs w:val="1"/>
          <w:i w:val="1"/>
          <w:iCs w:val="1"/>
          <w:color w:val="auto"/>
        </w:rPr>
        <w:t>Pre-Funded Warrants</w:t>
      </w:r>
      <w:r>
        <w:rPr>
          <w:rFonts w:ascii="Arial" w:cs="Arial" w:eastAsia="Arial" w:hAnsi="Arial"/>
          <w:sz w:val="17"/>
          <w:szCs w:val="17"/>
          <w:color w:val="auto"/>
        </w:rPr>
        <w:t>”) for a price of $13.43 per share of Common Stock and $13.42 per share of Common Stock underlying each Pre-Funded Warrant.</w:t>
      </w:r>
    </w:p>
    <w:p>
      <w:pPr>
        <w:spacing w:after="0" w:line="176"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The Pre-Funded Warrants will be immediately exercisable at an exercise price of $0.01 per share of Common Stock underlying each such warrant and will be exercisable indefinitely. The Purchasers may exercise the Pre-Funded Warrants on a cashless basis. The Pre-Funded Warrants to be issued in the Private Placement will provide that a holder of Pre-Funded Warrants will not have the right to exercise any portion of its Pre-Funded Warrants if such holder, together with its affiliates, would beneficially own in excess of 4.985% or 9.99%, at the holder’s election, of the number of shares of the Company’s Common Stock outstanding immediately after giving effect to such exercise.</w:t>
      </w:r>
    </w:p>
    <w:p>
      <w:pPr>
        <w:spacing w:after="0" w:line="176"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Private Placement is expected to close on or about May 25, 2021. The aggregate gross proceeds for the issuance and sale of the Shares and Pre-Funded Warrants are expected to be $95.3 million, before deducting estimated offering expenses payable by the Company and the $0.01 per share exercise price of the Pre-Funded Warrants. The Company intends to use the net proceeds from the Private Placement to support the clinical development of CTI-1601, for additional research and development and for working capital and general corporate purposes.</w:t>
      </w:r>
    </w:p>
    <w:p>
      <w:pPr>
        <w:spacing w:after="0" w:line="171"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The Private Placement is exempt from the registration requirements of the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pursuant to the exemption for transactions by an issuer not involving any public offering under Section 4(a)(2) of the Securities Act. The Shares and Pre-Funded Warrants were offered without any general solicitation by the Company or its representatives.</w:t>
      </w:r>
    </w:p>
    <w:p>
      <w:pPr>
        <w:spacing w:after="0" w:line="18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Shares, the Pre-Funded Warrants and the shares of Common Stock underlying the Pre-Funded Warrants (the “</w:t>
      </w:r>
      <w:r>
        <w:rPr>
          <w:rFonts w:ascii="Arial" w:cs="Arial" w:eastAsia="Arial" w:hAnsi="Arial"/>
          <w:sz w:val="18"/>
          <w:szCs w:val="18"/>
          <w:b w:val="1"/>
          <w:bCs w:val="1"/>
          <w:i w:val="1"/>
          <w:iCs w:val="1"/>
          <w:color w:val="auto"/>
        </w:rPr>
        <w:t>Warrant Shares</w:t>
      </w:r>
      <w:r>
        <w:rPr>
          <w:rFonts w:ascii="Arial" w:cs="Arial" w:eastAsia="Arial" w:hAnsi="Arial"/>
          <w:sz w:val="18"/>
          <w:szCs w:val="18"/>
          <w:color w:val="auto"/>
        </w:rPr>
        <w:t>” and, together with the Shares and the Pre-Funded Warrants, the “</w:t>
      </w:r>
      <w:r>
        <w:rPr>
          <w:rFonts w:ascii="Arial" w:cs="Arial" w:eastAsia="Arial" w:hAnsi="Arial"/>
          <w:sz w:val="18"/>
          <w:szCs w:val="18"/>
          <w:b w:val="1"/>
          <w:bCs w:val="1"/>
          <w:i w:val="1"/>
          <w:iCs w:val="1"/>
          <w:color w:val="auto"/>
        </w:rPr>
        <w:t>Securities</w:t>
      </w:r>
      <w:r>
        <w:rPr>
          <w:rFonts w:ascii="Arial" w:cs="Arial" w:eastAsia="Arial" w:hAnsi="Arial"/>
          <w:sz w:val="18"/>
          <w:szCs w:val="18"/>
          <w:color w:val="auto"/>
        </w:rPr>
        <w:t>”) sold and issued in the Private Placement are not registered under the Securities Act or any state securities laws and may not be offered or sold in the United States absent registration with the Securities and Exchange Commission (the “</w:t>
      </w:r>
      <w:r>
        <w:rPr>
          <w:rFonts w:ascii="Arial" w:cs="Arial" w:eastAsia="Arial" w:hAnsi="Arial"/>
          <w:sz w:val="18"/>
          <w:szCs w:val="18"/>
          <w:b w:val="1"/>
          <w:bCs w:val="1"/>
          <w:i w:val="1"/>
          <w:iCs w:val="1"/>
          <w:color w:val="auto"/>
        </w:rPr>
        <w:t>SEC</w:t>
      </w:r>
      <w:r>
        <w:rPr>
          <w:rFonts w:ascii="Arial" w:cs="Arial" w:eastAsia="Arial" w:hAnsi="Arial"/>
          <w:sz w:val="18"/>
          <w:szCs w:val="18"/>
          <w:color w:val="auto"/>
        </w:rPr>
        <w:t>”) or an applicable exemption from the registration requirements.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 Agreement</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Upon the closing of the Private Placement, the Company will enter into a registration rights agreement (the “</w:t>
      </w:r>
      <w:r>
        <w:rPr>
          <w:rFonts w:ascii="Arial" w:cs="Arial" w:eastAsia="Arial" w:hAnsi="Arial"/>
          <w:sz w:val="18"/>
          <w:szCs w:val="18"/>
          <w:b w:val="1"/>
          <w:bCs w:val="1"/>
          <w:i w:val="1"/>
          <w:iCs w:val="1"/>
          <w:color w:val="auto"/>
        </w:rPr>
        <w:t>Registration Rights Agreement</w:t>
      </w:r>
      <w:r>
        <w:rPr>
          <w:rFonts w:ascii="Arial" w:cs="Arial" w:eastAsia="Arial" w:hAnsi="Arial"/>
          <w:sz w:val="18"/>
          <w:szCs w:val="18"/>
          <w:color w:val="auto"/>
        </w:rPr>
        <w:t>”) with certain of the Purchasers. Pursuant to the Registration Rights Agreement, the Company will provide the Purchasers with certain registration rights that will require the Company to file a registration statement on Form S-3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with the SEC within 30 days following the Closing (the “</w:t>
      </w:r>
      <w:r>
        <w:rPr>
          <w:rFonts w:ascii="Arial" w:cs="Arial" w:eastAsia="Arial" w:hAnsi="Arial"/>
          <w:sz w:val="18"/>
          <w:szCs w:val="18"/>
          <w:b w:val="1"/>
          <w:bCs w:val="1"/>
          <w:i w:val="1"/>
          <w:iCs w:val="1"/>
          <w:color w:val="auto"/>
        </w:rPr>
        <w:t>Registration Deadline</w:t>
      </w:r>
      <w:r>
        <w:rPr>
          <w:rFonts w:ascii="Arial" w:cs="Arial" w:eastAsia="Arial" w:hAnsi="Arial"/>
          <w:sz w:val="18"/>
          <w:szCs w:val="18"/>
          <w:color w:val="auto"/>
        </w:rPr>
        <w:t>”) to register the Shares and the Warrant Shares. If the Company fails to meet the Registration Deadline or maintain the effectiveness of the Registration Statement for the required effectiveness period, subject to certain permitted exceptions, the Company will be required to pay liquidated damages to the Purchasers. The Company also agreed, among other things, to indemnify the selling holders under the Registration Statement from certain liabilities and to pay all fees and expenses incident to the Company’s performance of or compliance with the Registration Rights Agreement.</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Registration Rights Agreement</w:t>
      </w:r>
    </w:p>
    <w:p>
      <w:pPr>
        <w:spacing w:after="0" w:line="11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Upon the closing of the Private Placement, the Company will enter into an amended and restated registration rights agreement (the “</w:t>
      </w:r>
      <w:r>
        <w:rPr>
          <w:rFonts w:ascii="Arial" w:cs="Arial" w:eastAsia="Arial" w:hAnsi="Arial"/>
          <w:sz w:val="18"/>
          <w:szCs w:val="18"/>
          <w:b w:val="1"/>
          <w:bCs w:val="1"/>
          <w:i w:val="1"/>
          <w:iCs w:val="1"/>
          <w:color w:val="auto"/>
        </w:rPr>
        <w:t>A&amp;R Registration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Rights Agreement</w:t>
      </w:r>
      <w:r>
        <w:rPr>
          <w:rFonts w:ascii="Arial" w:cs="Arial" w:eastAsia="Arial" w:hAnsi="Arial"/>
          <w:sz w:val="18"/>
          <w:szCs w:val="18"/>
          <w:color w:val="auto"/>
        </w:rPr>
        <w:t>”), which will amend and restate the Company’s registration rights agreement, dated as of June 8, 2020 (the “</w:t>
      </w:r>
      <w:r>
        <w:rPr>
          <w:rFonts w:ascii="Arial" w:cs="Arial" w:eastAsia="Arial" w:hAnsi="Arial"/>
          <w:sz w:val="18"/>
          <w:szCs w:val="18"/>
          <w:b w:val="1"/>
          <w:bCs w:val="1"/>
          <w:i w:val="1"/>
          <w:iCs w:val="1"/>
          <w:color w:val="auto"/>
        </w:rPr>
        <w:t>Original Registration Rights Agreement</w:t>
      </w:r>
      <w:r>
        <w:rPr>
          <w:rFonts w:ascii="Arial" w:cs="Arial" w:eastAsia="Arial" w:hAnsi="Arial"/>
          <w:sz w:val="18"/>
          <w:szCs w:val="18"/>
          <w:color w:val="auto"/>
        </w:rPr>
        <w:t>”), by and among the Company and the investors party thereto. The Original Registration Rights Agreement will be amended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restated to provide that the securities purchased by Deerfield Private Design Fund III, L.P., Deerfield Private Design Fund IV, L.P. and Deerfield Healthcare Innovations Fund, L.P (the “</w:t>
      </w:r>
      <w:r>
        <w:rPr>
          <w:rFonts w:ascii="Arial" w:cs="Arial" w:eastAsia="Arial" w:hAnsi="Arial"/>
          <w:sz w:val="18"/>
          <w:szCs w:val="18"/>
          <w:b w:val="1"/>
          <w:bCs w:val="1"/>
          <w:i w:val="1"/>
          <w:iCs w:val="1"/>
          <w:color w:val="auto"/>
        </w:rPr>
        <w:t>Deerfield Funds</w:t>
      </w:r>
      <w:r>
        <w:rPr>
          <w:rFonts w:ascii="Arial" w:cs="Arial" w:eastAsia="Arial" w:hAnsi="Arial"/>
          <w:sz w:val="18"/>
          <w:szCs w:val="18"/>
          <w:color w:val="auto"/>
        </w:rPr>
        <w:t>”) in the Private Placement will constitute “Registrable Securities” under the A&amp;R Registration Rights Agreement, and provide the Deerfield Funds with similar rights with respect to such securities as those rights contained in the Original Registration Rights Agreement.</w:t>
      </w:r>
    </w:p>
    <w:p>
      <w:pPr>
        <w:spacing w:after="0" w:line="195"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foregoing descriptions of the Purchase Agreement, Registration Rights Agreement, Amended Registration Rights Agreement and Pre-Funded Warrants do not purport to be complete and are qualified in their entirety by reference to the full text of the Purchase Agreement, Registration Rights Agreement, Amended Registration Rights Agreement and Form of Pre-Funded Warrant, which are filed hereto as Exhibits 10.1, 10.2, 10.3 and 4.1, respectively, and are incorporated herein by reference.</w:t>
      </w:r>
    </w:p>
    <w:p>
      <w:pPr>
        <w:sectPr>
          <w:pgSz w:w="11900" w:h="16838" w:orient="portrait"/>
          <w:cols w:equalWidth="0" w:num="1">
            <w:col w:w="11000"/>
          </w:cols>
          <w:pgMar w:left="440" w:top="270" w:right="4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3.02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2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information contained in Item 1.01 of this Current Report on Form 8-K is incorporated by reference into this Item 3.02. The Securities were offered and sold in transactions exempt from registration under the Securities Act, in reliance on Section 4(a)(2) thereof. The Company relied on this exemption from registration for private placements based in part on the representations made by the Purchasers, including the representations with respect to each Purchaser’s investment intent. The Securities have not been registered under the Securities Act and such Securities may not be offered or sold in the United States absent registration or an exemption from registration under the Securities Act and any applicable state securities laws. Neither this Current Report on Form 8-K nor any of the exhibits attached hereto is an offer to sell or the solicitation of an offer to buy shares of common stock or any other securities of the Company.</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Current Report on Form 8-K contains forward-looking statements within the meaning of The Private Securities Litigation Reform Act of 1995, including without limitation statements regarding the expected closing of the Private Placement, anticipated proceeds from the Private Placement and the use thereof, the Company’s plans to file a registration statement to register the resale of the shares of Common Stock to be issued and sold in the Private Placement and the issuance of the shares of Common Stock issuable upon exercise of the Pre-Funded Warrants. The words “may,” “will,” “could,” “would,” “should,” “expect,” “intend,” “plan,” “anticipate,” “believe,” “estimate,” “predict,” “project,” “potential,” “continue,” “ongoing” or the negative of these terms or other comparable terminology are intended to identify forward-looking statements, although not all forward-looking statements contain these identifying words. Actual results or events could differ materially from the plans, intentions and expectations disclosed in these forward-looking statements as a result of various important factors, including risks relating to the Company’s inability, or the inability of the Purchasers, to satisfy the conditions to closing for the Private Placement, the closing of the Private Placement and risks described under the caption “Risk Factors” in the Company’s Quarterly Report on Form 10-Q for the quarter ended March 31, 2021, which is on file with the SEC and risks described in other filings that the Company makes with the SEC in the future. Any forward-looking statements contained in this Current Report on Form 8-K speak only as of the date hereof, and the Company expressly disclaims any obligation to update any forward-looking statements, whether because of new information, future events or otherwise.</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Below is a list of exhibits included with this Current Report on Form 8-K.</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jc w:val="center"/>
              <w:ind w:right="2508"/>
              <w:spacing w:after="0"/>
              <w:rPr>
                <w:sz w:val="20"/>
                <w:szCs w:val="20"/>
                <w:color w:val="auto"/>
              </w:rPr>
            </w:pPr>
            <w:r>
              <w:rPr>
                <w:rFonts w:ascii="Arial" w:cs="Arial" w:eastAsia="Arial" w:hAnsi="Arial"/>
                <w:sz w:val="14"/>
                <w:szCs w:val="14"/>
                <w:b w:val="1"/>
                <w:bCs w:val="1"/>
                <w:color w:val="auto"/>
                <w:w w:val="98"/>
              </w:rPr>
              <w:t>Exhibit</w:t>
            </w:r>
          </w:p>
        </w:tc>
        <w:tc>
          <w:tcPr>
            <w:tcW w:w="3220" w:type="dxa"/>
            <w:vAlign w:val="bottom"/>
            <w:vMerge w:val="restart"/>
          </w:tcPr>
          <w:p>
            <w:pPr>
              <w:ind w:left="2580"/>
              <w:spacing w:after="0"/>
              <w:rPr>
                <w:sz w:val="20"/>
                <w:szCs w:val="20"/>
                <w:color w:val="auto"/>
              </w:rPr>
            </w:pPr>
            <w:r>
              <w:rPr>
                <w:rFonts w:ascii="Arial" w:cs="Arial" w:eastAsia="Arial" w:hAnsi="Arial"/>
                <w:sz w:val="14"/>
                <w:szCs w:val="14"/>
                <w:b w:val="1"/>
                <w:bCs w:val="1"/>
                <w:color w:val="auto"/>
                <w:w w:val="90"/>
              </w:rPr>
              <w:t>Document</w:t>
            </w:r>
          </w:p>
        </w:tc>
        <w:tc>
          <w:tcPr>
            <w:tcW w:w="0" w:type="dxa"/>
            <w:vAlign w:val="bottom"/>
          </w:tcPr>
          <w:p>
            <w:pPr>
              <w:spacing w:after="0"/>
              <w:rPr>
                <w:sz w:val="1"/>
                <w:szCs w:val="1"/>
                <w:color w:val="auto"/>
              </w:rPr>
            </w:pPr>
          </w:p>
        </w:tc>
      </w:tr>
      <w:tr>
        <w:trPr>
          <w:trHeight w:val="186"/>
        </w:trPr>
        <w:tc>
          <w:tcPr>
            <w:tcW w:w="3040" w:type="dxa"/>
            <w:vAlign w:val="bottom"/>
          </w:tcPr>
          <w:p>
            <w:pPr>
              <w:jc w:val="center"/>
              <w:ind w:right="2508"/>
              <w:spacing w:after="0"/>
              <w:rPr>
                <w:sz w:val="20"/>
                <w:szCs w:val="20"/>
                <w:color w:val="auto"/>
              </w:rPr>
            </w:pPr>
            <w:r>
              <w:rPr>
                <w:rFonts w:ascii="Arial" w:cs="Arial" w:eastAsia="Arial" w:hAnsi="Arial"/>
                <w:sz w:val="14"/>
                <w:szCs w:val="14"/>
                <w:b w:val="1"/>
                <w:bCs w:val="1"/>
                <w:color w:val="auto"/>
                <w:w w:val="97"/>
              </w:rPr>
              <w:t>No.</w:t>
            </w:r>
          </w:p>
        </w:tc>
        <w:tc>
          <w:tcPr>
            <w:tcW w:w="3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59" w:lineRule="exact"/>
        <w:rPr>
          <w:sz w:val="20"/>
          <w:szCs w:val="20"/>
          <w:color w:val="auto"/>
        </w:rPr>
      </w:pPr>
    </w:p>
    <w:p>
      <w:pPr>
        <w:ind w:left="80"/>
        <w:spacing w:after="0"/>
        <w:tabs>
          <w:tab w:leader="none" w:pos="860" w:val="left"/>
        </w:tabs>
        <w:rPr>
          <w:rFonts w:ascii="Arial" w:cs="Arial" w:eastAsia="Arial" w:hAnsi="Arial"/>
          <w:sz w:val="16"/>
          <w:szCs w:val="16"/>
          <w:u w:val="single" w:color="auto"/>
          <w:color w:val="0000EE"/>
        </w:rPr>
      </w:pPr>
      <w:r>
        <w:rPr>
          <w:rFonts w:ascii="Arial" w:cs="Arial" w:eastAsia="Arial" w:hAnsi="Arial"/>
          <w:sz w:val="18"/>
          <w:szCs w:val="18"/>
          <w:color w:val="auto"/>
        </w:rPr>
        <w:t>4.1</w:t>
      </w:r>
      <w:r>
        <w:rPr>
          <w:sz w:val="20"/>
          <w:szCs w:val="20"/>
          <w:color w:val="auto"/>
        </w:rPr>
        <w:tab/>
      </w:r>
      <w:hyperlink w:anchor="page5">
        <w:r>
          <w:rPr>
            <w:rFonts w:ascii="Arial" w:cs="Arial" w:eastAsia="Arial" w:hAnsi="Arial"/>
            <w:sz w:val="16"/>
            <w:szCs w:val="16"/>
            <w:u w:val="single" w:color="auto"/>
            <w:color w:val="0000EE"/>
          </w:rPr>
          <w:t>Form of Pre-Funded Warrant*</w:t>
        </w:r>
      </w:hyperlink>
    </w:p>
    <w:p>
      <w:pPr>
        <w:spacing w:after="0" w:line="117" w:lineRule="exact"/>
        <w:rPr>
          <w:sz w:val="20"/>
          <w:szCs w:val="20"/>
          <w:color w:val="auto"/>
        </w:rPr>
      </w:pPr>
    </w:p>
    <w:p>
      <w:pPr>
        <w:ind w:left="880" w:hanging="876"/>
        <w:spacing w:after="0" w:line="277"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10.1</w:t>
      </w:r>
      <w:r>
        <w:rPr>
          <w:sz w:val="20"/>
          <w:szCs w:val="20"/>
          <w:color w:val="auto"/>
        </w:rPr>
        <w:tab/>
      </w:r>
      <w:hyperlink w:anchor="page25">
        <w:r>
          <w:rPr>
            <w:rFonts w:ascii="Arial" w:cs="Arial" w:eastAsia="Arial" w:hAnsi="Arial"/>
            <w:sz w:val="18"/>
            <w:szCs w:val="18"/>
            <w:u w:val="single" w:color="auto"/>
            <w:color w:val="0000EE"/>
          </w:rPr>
          <w:t>Securities Purchase Agreement, dated as of May 21, 2021, by and among Larimar Therapeutics, Inc. and the investors listed on the Schedule</w:t>
        </w:r>
      </w:hyperlink>
      <w:r>
        <w:rPr>
          <w:rFonts w:ascii="Arial" w:cs="Arial" w:eastAsia="Arial" w:hAnsi="Arial"/>
          <w:sz w:val="18"/>
          <w:szCs w:val="18"/>
          <w:u w:val="single" w:color="auto"/>
          <w:color w:val="0000EE"/>
        </w:rPr>
        <w:t xml:space="preserve"> </w:t>
      </w:r>
      <w:hyperlink w:anchor="page25">
        <w:r>
          <w:rPr>
            <w:rFonts w:ascii="Arial" w:cs="Arial" w:eastAsia="Arial" w:hAnsi="Arial"/>
            <w:sz w:val="18"/>
            <w:szCs w:val="18"/>
            <w:u w:val="single" w:color="auto"/>
            <w:color w:val="0000EE"/>
          </w:rPr>
          <w:t>of Investors attached thereto*</w:t>
        </w:r>
      </w:hyperlink>
    </w:p>
    <w:p>
      <w:pPr>
        <w:spacing w:after="0" w:line="62" w:lineRule="exact"/>
        <w:rPr>
          <w:sz w:val="20"/>
          <w:szCs w:val="20"/>
          <w:color w:val="auto"/>
        </w:rPr>
      </w:pPr>
    </w:p>
    <w:p>
      <w:pPr>
        <w:spacing w:after="0"/>
        <w:tabs>
          <w:tab w:leader="none" w:pos="860" w:val="left"/>
        </w:tabs>
        <w:rPr>
          <w:rFonts w:ascii="Arial" w:cs="Arial" w:eastAsia="Arial" w:hAnsi="Arial"/>
          <w:sz w:val="16"/>
          <w:szCs w:val="16"/>
          <w:u w:val="single" w:color="auto"/>
          <w:color w:val="0000EE"/>
        </w:rPr>
      </w:pPr>
      <w:r>
        <w:rPr>
          <w:rFonts w:ascii="Arial" w:cs="Arial" w:eastAsia="Arial" w:hAnsi="Arial"/>
          <w:sz w:val="18"/>
          <w:szCs w:val="18"/>
          <w:color w:val="auto"/>
        </w:rPr>
        <w:t>10.2</w:t>
      </w:r>
      <w:r>
        <w:rPr>
          <w:sz w:val="20"/>
          <w:szCs w:val="20"/>
          <w:color w:val="auto"/>
        </w:rPr>
        <w:tab/>
      </w:r>
      <w:hyperlink w:anchor="page63">
        <w:r>
          <w:rPr>
            <w:rFonts w:ascii="Arial" w:cs="Arial" w:eastAsia="Arial" w:hAnsi="Arial"/>
            <w:sz w:val="16"/>
            <w:szCs w:val="16"/>
            <w:u w:val="single" w:color="auto"/>
            <w:color w:val="0000EE"/>
          </w:rPr>
          <w:t>Form of Registration Rights Agreement, by and among Larimar Therapeutics, Inc. and certain Investors*</w:t>
        </w:r>
      </w:hyperlink>
    </w:p>
    <w:p>
      <w:pPr>
        <w:spacing w:after="0" w:line="117" w:lineRule="exact"/>
        <w:rPr>
          <w:sz w:val="20"/>
          <w:szCs w:val="20"/>
          <w:color w:val="auto"/>
        </w:rPr>
      </w:pPr>
    </w:p>
    <w:p>
      <w:pPr>
        <w:spacing w:after="0"/>
        <w:tabs>
          <w:tab w:leader="none" w:pos="860" w:val="left"/>
        </w:tabs>
        <w:rPr>
          <w:rFonts w:ascii="Arial" w:cs="Arial" w:eastAsia="Arial" w:hAnsi="Arial"/>
          <w:sz w:val="16"/>
          <w:szCs w:val="16"/>
          <w:u w:val="single" w:color="auto"/>
          <w:color w:val="0000EE"/>
        </w:rPr>
      </w:pPr>
      <w:r>
        <w:rPr>
          <w:rFonts w:ascii="Arial" w:cs="Arial" w:eastAsia="Arial" w:hAnsi="Arial"/>
          <w:sz w:val="18"/>
          <w:szCs w:val="18"/>
          <w:color w:val="auto"/>
        </w:rPr>
        <w:t>10.3</w:t>
      </w:r>
      <w:r>
        <w:rPr>
          <w:sz w:val="20"/>
          <w:szCs w:val="20"/>
          <w:color w:val="auto"/>
        </w:rPr>
        <w:tab/>
      </w:r>
      <w:hyperlink w:anchor="page83">
        <w:r>
          <w:rPr>
            <w:rFonts w:ascii="Arial" w:cs="Arial" w:eastAsia="Arial" w:hAnsi="Arial"/>
            <w:sz w:val="16"/>
            <w:szCs w:val="16"/>
            <w:u w:val="single" w:color="auto"/>
            <w:color w:val="0000EE"/>
          </w:rPr>
          <w:t>Form of Amended and Restated Registration Rights Agreement, by and among Larimar Therapeutics, Inc. and certain Investors*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ectPr>
          <w:pgSz w:w="11900" w:h="16838" w:orient="portrait"/>
          <w:cols w:equalWidth="0" w:num="1">
            <w:col w:w="11000"/>
          </w:cols>
          <w:pgMar w:left="440" w:top="270" w:right="4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Larimar Therapeutics, Inc.</w:t>
      </w:r>
    </w:p>
    <w:p>
      <w:pPr>
        <w:spacing w:after="0" w:line="225"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Carole S. Ben-Maimon, M.D.</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i w:val="1"/>
                <w:iCs w:val="1"/>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i w:val="1"/>
                <w:iCs w:val="1"/>
                <w:color w:val="auto"/>
              </w:rPr>
              <w:t>Carole S. Ben-Maimon, M.D.</w:t>
            </w:r>
          </w:p>
        </w:tc>
      </w:tr>
      <w:tr>
        <w:trPr>
          <w:trHeight w:val="230"/>
        </w:trPr>
        <w:tc>
          <w:tcPr>
            <w:tcW w:w="520" w:type="dxa"/>
            <w:vAlign w:val="bottom"/>
          </w:tcPr>
          <w:p>
            <w:pPr>
              <w:spacing w:after="0"/>
              <w:rPr>
                <w:sz w:val="20"/>
                <w:szCs w:val="20"/>
                <w:color w:val="auto"/>
              </w:rPr>
            </w:pPr>
            <w:r>
              <w:rPr>
                <w:rFonts w:ascii="Arial" w:cs="Arial" w:eastAsia="Arial" w:hAnsi="Arial"/>
                <w:sz w:val="18"/>
                <w:szCs w:val="18"/>
                <w:i w:val="1"/>
                <w:iCs w:val="1"/>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i w:val="1"/>
                <w:iCs w:val="1"/>
                <w:color w:val="auto"/>
              </w:rPr>
              <w:t>President and Chief Executive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May 21, 2021</w:t>
      </w:r>
    </w:p>
    <w:p>
      <w:pPr>
        <w:sectPr>
          <w:pgSz w:w="11900" w:h="16838" w:orient="portrait"/>
          <w:cols w:equalWidth="0" w:num="1">
            <w:col w:w="11020"/>
          </w:cols>
          <w:pgMar w:left="440" w:top="270" w:right="439" w:bottom="1440" w:gutter="0" w:footer="0" w:header="0"/>
        </w:sectPr>
      </w:pPr>
    </w:p>
    <w:bookmarkStart w:id="4" w:name="page5"/>
    <w:bookmarkEnd w:id="4"/>
    <w:p>
      <w:pPr>
        <w:ind w:left="10180"/>
        <w:spacing w:after="0"/>
        <w:rPr>
          <w:sz w:val="20"/>
          <w:szCs w:val="20"/>
          <w:color w:val="auto"/>
        </w:rPr>
      </w:pPr>
      <w:r>
        <w:rPr>
          <w:rFonts w:ascii="Arial" w:cs="Arial" w:eastAsia="Arial" w:hAnsi="Arial"/>
          <w:sz w:val="16"/>
          <w:szCs w:val="16"/>
          <w:b w:val="1"/>
          <w:bCs w:val="1"/>
          <w:color w:val="auto"/>
        </w:rPr>
        <w:t>Exhibit 4.1</w:t>
      </w:r>
    </w:p>
    <w:p>
      <w:pPr>
        <w:spacing w:after="0" w:line="25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THIS WARRANT AND THE SECURITIES ISSUABLE UPON THE EXERCISE HEREOF HAVE NOT BEEN REGISTERED UNDER THE SECURITIES ACT OF 1933, AS AMENDED, OR THE SECURITIES LAWS OF ANY STATE OF THE UNITED STATES. THE SECURITIES MAY NOT BE SOLD, OFFERED FOR SALE, PLEDGED (OTHER THAN IN THE ORDINARY COURSE OF BUSINESS AS PART OF MARGIN OR PRIME BROKERAGE ARRANGEMENTS), HYPOTHECATED, TRANSFERRED OR ASSIGNED IN THE ABSENCE OF AN EFFECTIVE REGISTRATION STATEMENT FOR THE SECURITIES UNDER APPLICABLE SECURITIES LAWS, UNLESS OFFERED, SOLD, PLEDGED, HYPOTHECATED OR TRANSFERRED PURSUANT TO AN AVAILABLE EXEMPTION FROM THE REGISTRATION REQUIREMENTS OF THOSE LAWS. THE COMPANY SHALL BE ENTITLED TO REQUIRE AN OPINION OF COUNSEL SATISFACTORY TO THE COMPANY THAT SUCH REGISTRATION IS NOT REQUIRED.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LARIMAR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PRE-FUNDED WARRANT TO PURCHASE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Warrant No.: [•]</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of Common Stock: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of Issuance: May [•], 2021 (“</w:t>
      </w:r>
      <w:r>
        <w:rPr>
          <w:rFonts w:ascii="Arial" w:cs="Arial" w:eastAsia="Arial" w:hAnsi="Arial"/>
          <w:sz w:val="18"/>
          <w:szCs w:val="18"/>
          <w:b w:val="1"/>
          <w:bCs w:val="1"/>
          <w:color w:val="auto"/>
        </w:rPr>
        <w:t>Issuance Date</w:t>
      </w:r>
      <w:r>
        <w:rPr>
          <w:rFonts w:ascii="Arial" w:cs="Arial" w:eastAsia="Arial" w:hAnsi="Arial"/>
          <w:sz w:val="18"/>
          <w:szCs w:val="18"/>
          <w:color w:val="auto"/>
        </w:rPr>
        <w:t>”)</w:t>
      </w:r>
    </w:p>
    <w:p>
      <w:pPr>
        <w:spacing w:after="0" w:line="207"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color w:val="auto"/>
        </w:rPr>
        <w:t>Larimar Therapeutics,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hereby certifies that, for good and valuable consideration, the receipt and sufficiency of which are hereby acknowledged, the registered holder hereof or its permitted assigns (the “</w:t>
      </w:r>
      <w:r>
        <w:rPr>
          <w:rFonts w:ascii="Arial" w:cs="Arial" w:eastAsia="Arial" w:hAnsi="Arial"/>
          <w:sz w:val="18"/>
          <w:szCs w:val="18"/>
          <w:b w:val="1"/>
          <w:bCs w:val="1"/>
          <w:color w:val="auto"/>
        </w:rPr>
        <w:t>Holder</w:t>
      </w:r>
      <w:r>
        <w:rPr>
          <w:rFonts w:ascii="Arial" w:cs="Arial" w:eastAsia="Arial" w:hAnsi="Arial"/>
          <w:sz w:val="18"/>
          <w:szCs w:val="18"/>
          <w:color w:val="auto"/>
        </w:rPr>
        <w:t>”), is entitled, subject to the terms set forth below, to purchase from the Company, at the Exercise Price (as defined below) then in effect, at any time or times on or after the Issuance Date (the “</w:t>
      </w:r>
      <w:r>
        <w:rPr>
          <w:rFonts w:ascii="Arial" w:cs="Arial" w:eastAsia="Arial" w:hAnsi="Arial"/>
          <w:sz w:val="18"/>
          <w:szCs w:val="18"/>
          <w:b w:val="1"/>
          <w:bCs w:val="1"/>
          <w:color w:val="auto"/>
        </w:rPr>
        <w:t>Initial Exercisability Date</w:t>
      </w:r>
      <w:r>
        <w:rPr>
          <w:rFonts w:ascii="Arial" w:cs="Arial" w:eastAsia="Arial" w:hAnsi="Arial"/>
          <w:sz w:val="18"/>
          <w:szCs w:val="18"/>
          <w:color w:val="auto"/>
        </w:rPr>
        <w:t>”), until exercised in full, [•] fully paid non-assessable shares of Common Stock (as defined below), subject to adjustment as provided herein (the “</w:t>
      </w:r>
      <w:r>
        <w:rPr>
          <w:rFonts w:ascii="Arial" w:cs="Arial" w:eastAsia="Arial" w:hAnsi="Arial"/>
          <w:sz w:val="18"/>
          <w:szCs w:val="18"/>
          <w:b w:val="1"/>
          <w:bCs w:val="1"/>
          <w:color w:val="auto"/>
        </w:rPr>
        <w:t>Warrant Shares</w:t>
      </w:r>
      <w:r>
        <w:rPr>
          <w:rFonts w:ascii="Arial" w:cs="Arial" w:eastAsia="Arial" w:hAnsi="Arial"/>
          <w:sz w:val="18"/>
          <w:szCs w:val="18"/>
          <w:color w:val="auto"/>
        </w:rPr>
        <w:t>”). Except as otherwise defined herein, capitalized terms in this Pre-funded Warrant to Purchase Common Stock (including any Warrants to Purchase Common Stock issued in exchange, transfer or replacement hereof, this “</w:t>
      </w:r>
      <w:r>
        <w:rPr>
          <w:rFonts w:ascii="Arial" w:cs="Arial" w:eastAsia="Arial" w:hAnsi="Arial"/>
          <w:sz w:val="18"/>
          <w:szCs w:val="18"/>
          <w:b w:val="1"/>
          <w:bCs w:val="1"/>
          <w:color w:val="auto"/>
        </w:rPr>
        <w:t>Warrant</w:t>
      </w:r>
      <w:r>
        <w:rPr>
          <w:rFonts w:ascii="Arial" w:cs="Arial" w:eastAsia="Arial" w:hAnsi="Arial"/>
          <w:sz w:val="18"/>
          <w:szCs w:val="18"/>
          <w:color w:val="auto"/>
        </w:rPr>
        <w:t>”), shall have the meanings set forth in Section 17. This Warrant is one of the Pre-Funded Warrants to purchase Common Stock (the “</w:t>
      </w:r>
      <w:r>
        <w:rPr>
          <w:rFonts w:ascii="Arial" w:cs="Arial" w:eastAsia="Arial" w:hAnsi="Arial"/>
          <w:sz w:val="18"/>
          <w:szCs w:val="18"/>
          <w:b w:val="1"/>
          <w:bCs w:val="1"/>
          <w:color w:val="auto"/>
        </w:rPr>
        <w:t>Warrants</w:t>
      </w:r>
      <w:r>
        <w:rPr>
          <w:rFonts w:ascii="Arial" w:cs="Arial" w:eastAsia="Arial" w:hAnsi="Arial"/>
          <w:sz w:val="18"/>
          <w:szCs w:val="18"/>
          <w:color w:val="auto"/>
        </w:rPr>
        <w:t>”) issued in connection with the transactions contemplated by that certain Securities Purchase Agreement, dated as of May [•], 2021, by and among the Company and other parties thereto.</w:t>
      </w:r>
    </w:p>
    <w:p>
      <w:pPr>
        <w:spacing w:after="0" w:line="84" w:lineRule="exact"/>
        <w:rPr>
          <w:sz w:val="20"/>
          <w:szCs w:val="20"/>
          <w:color w:val="auto"/>
        </w:rPr>
      </w:pPr>
    </w:p>
    <w:p>
      <w:pPr>
        <w:ind w:left="620" w:hanging="184"/>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EXERCISE OF WARRANT.</w:t>
      </w:r>
    </w:p>
    <w:p>
      <w:pPr>
        <w:spacing w:after="0" w:line="117" w:lineRule="exact"/>
        <w:rPr>
          <w:rFonts w:ascii="Arial" w:cs="Arial" w:eastAsia="Arial" w:hAnsi="Arial"/>
          <w:sz w:val="18"/>
          <w:szCs w:val="18"/>
          <w:color w:val="auto"/>
        </w:rPr>
      </w:pPr>
    </w:p>
    <w:p>
      <w:pPr>
        <w:ind w:left="440" w:right="20" w:firstLine="419"/>
        <w:spacing w:after="0" w:line="286" w:lineRule="auto"/>
        <w:tabs>
          <w:tab w:leader="none" w:pos="1107" w:val="left"/>
        </w:tabs>
        <w:numPr>
          <w:ilvl w:val="1"/>
          <w:numId w:val="2"/>
        </w:numPr>
        <w:rPr>
          <w:rFonts w:ascii="Arial" w:cs="Arial" w:eastAsia="Arial" w:hAnsi="Arial"/>
          <w:sz w:val="16"/>
          <w:szCs w:val="16"/>
          <w:color w:val="auto"/>
        </w:rPr>
      </w:pPr>
      <w:r>
        <w:rPr>
          <w:rFonts w:ascii="Arial" w:cs="Arial" w:eastAsia="Arial" w:hAnsi="Arial"/>
          <w:sz w:val="16"/>
          <w:szCs w:val="16"/>
          <w:u w:val="single" w:color="auto"/>
          <w:color w:val="auto"/>
        </w:rPr>
        <w:t>Mechanics of Exercise</w:t>
      </w:r>
      <w:r>
        <w:rPr>
          <w:rFonts w:ascii="Arial" w:cs="Arial" w:eastAsia="Arial" w:hAnsi="Arial"/>
          <w:sz w:val="16"/>
          <w:szCs w:val="16"/>
          <w:color w:val="auto"/>
        </w:rPr>
        <w:t xml:space="preserve">. Subject to the terms and conditions hereof (including, without limitation, the limitations set forth in Section 1(f)), this Warrant may be exercised by the Holder at any time or from time to time on or after the Issuance Date, in whole or in part, by delivery (whether via facsimile, electronic mail or otherwise) of a written notice,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b w:val="1"/>
          <w:bCs w:val="1"/>
          <w:color w:val="auto"/>
        </w:rPr>
        <w:t>Exercise Notice</w:t>
      </w:r>
      <w:r>
        <w:rPr>
          <w:rFonts w:ascii="Arial" w:cs="Arial" w:eastAsia="Arial" w:hAnsi="Arial"/>
          <w:sz w:val="16"/>
          <w:szCs w:val="16"/>
          <w:color w:val="auto"/>
        </w:rPr>
        <w:t>”), of the Holder’s election to exercise this Warrant. No ink-original Exercise Notice shall be required, nor shall any medallion guarantee (or other type of guarantee or notarization) of any Exercise Notice be required. Within one (1) Trading Day following the delivery of the Exercise Notice, the Holder shall make payment to the Company of an amount equal to the Exercise Price in effect on the date of such exercise multiplied by the number of Warrant Shares as to which this Warrant is being exercised (the “</w:t>
      </w:r>
      <w:r>
        <w:rPr>
          <w:rFonts w:ascii="Arial" w:cs="Arial" w:eastAsia="Arial" w:hAnsi="Arial"/>
          <w:sz w:val="16"/>
          <w:szCs w:val="16"/>
          <w:b w:val="1"/>
          <w:bCs w:val="1"/>
          <w:color w:val="auto"/>
        </w:rPr>
        <w:t>Aggregate Exercise Price</w:t>
      </w:r>
      <w:r>
        <w:rPr>
          <w:rFonts w:ascii="Arial" w:cs="Arial" w:eastAsia="Arial" w:hAnsi="Arial"/>
          <w:sz w:val="16"/>
          <w:szCs w:val="16"/>
          <w:color w:val="auto"/>
        </w:rPr>
        <w:t>”), in cash by wire transfer of immediately available funds or by notifying the Company that this Warrant is being exercised pursuant to a Cashless Exercise (as defined below). Execution and delivery of the Exercise Notice with respect to less than all of the Warrant Shares shall have the same effect as cancellation of the original Warrant and issuance of a new Warrant evidencing the right to purchase the remaining number of Warrant Shares, and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Exercise Notice is delivered to the Company. The Holder and the Company shall maintain records showing the number of Warrant Shares purchased and the remaining number of Warrant</w:t>
      </w:r>
    </w:p>
    <w:p>
      <w:pPr>
        <w:sectPr>
          <w:pgSz w:w="11900" w:h="16838" w:orient="portrait"/>
          <w:cols w:equalWidth="0" w:num="1">
            <w:col w:w="11020"/>
          </w:cols>
          <w:pgMar w:left="440" w:top="121" w:right="439" w:bottom="1440" w:gutter="0" w:footer="0" w:header="0"/>
        </w:sectPr>
      </w:pPr>
    </w:p>
    <w:bookmarkStart w:id="5" w:name="page6"/>
    <w:bookmarkEnd w:id="5"/>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Shares. </w:t>
      </w:r>
      <w:r>
        <w:rPr>
          <w:rFonts w:ascii="Arial" w:cs="Arial" w:eastAsia="Arial" w:hAnsi="Arial"/>
          <w:sz w:val="16"/>
          <w:szCs w:val="16"/>
          <w:b w:val="1"/>
          <w:bCs w:val="1"/>
          <w:color w:val="auto"/>
        </w:rPr>
        <w:t>The Holder and any assignee of the Holder, by acceptance of this Warrant, acknowledge and agree that, by reason of the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provisions of this paragraph, following the purchase of a portion of the Warrant Shares hereunder, the number of Warrant Shares available for purchase hereunder at any given time may be less than the amount stated on the face hereof. </w:t>
      </w:r>
      <w:r>
        <w:rPr>
          <w:rFonts w:ascii="Arial" w:cs="Arial" w:eastAsia="Arial" w:hAnsi="Arial"/>
          <w:sz w:val="16"/>
          <w:szCs w:val="16"/>
          <w:color w:val="auto"/>
        </w:rPr>
        <w:t>On or before the first (1</w:t>
      </w:r>
      <w:r>
        <w:rPr>
          <w:rFonts w:ascii="Arial" w:cs="Arial" w:eastAsia="Arial" w:hAnsi="Arial"/>
          <w:sz w:val="13"/>
          <w:szCs w:val="13"/>
          <w:color w:val="auto"/>
        </w:rPr>
        <w:t>st</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Trading Day following the date on which the Holder has delivered the applicable Exercise Notice, the Company shall transmit by facsimile or electronic mail an acknowledgment of confirmation of receipt of the Exercise Notice, in the form attached to the Exercise Notice, to the Holder and the Company’s transfer agent (the “</w:t>
      </w:r>
      <w:r>
        <w:rPr>
          <w:rFonts w:ascii="Arial" w:cs="Arial" w:eastAsia="Arial" w:hAnsi="Arial"/>
          <w:sz w:val="16"/>
          <w:szCs w:val="16"/>
          <w:b w:val="1"/>
          <w:bCs w:val="1"/>
          <w:color w:val="auto"/>
        </w:rPr>
        <w:t>Transfer Agent</w:t>
      </w:r>
      <w:r>
        <w:rPr>
          <w:rFonts w:ascii="Arial" w:cs="Arial" w:eastAsia="Arial" w:hAnsi="Arial"/>
          <w:sz w:val="16"/>
          <w:szCs w:val="16"/>
          <w:color w:val="auto"/>
        </w:rPr>
        <w:t>”). So long as the Holder delivers the Aggregate Exercise Price (or notice of a Cashless Exercise, if applicable) on or prior to the first (1</w:t>
      </w:r>
      <w:r>
        <w:rPr>
          <w:rFonts w:ascii="Arial" w:cs="Arial" w:eastAsia="Arial" w:hAnsi="Arial"/>
          <w:sz w:val="13"/>
          <w:szCs w:val="13"/>
          <w:color w:val="auto"/>
        </w:rPr>
        <w:t>st</w:t>
      </w:r>
      <w:r>
        <w:rPr>
          <w:rFonts w:ascii="Arial" w:cs="Arial" w:eastAsia="Arial" w:hAnsi="Arial"/>
          <w:sz w:val="16"/>
          <w:szCs w:val="16"/>
          <w:color w:val="auto"/>
        </w:rPr>
        <w:t>) Trading Day following the date on which the Exercise Notice has been delivered to the Company, then on or prior to the earlier of (i) the second (2</w:t>
      </w:r>
      <w:r>
        <w:rPr>
          <w:rFonts w:ascii="Arial" w:cs="Arial" w:eastAsia="Arial" w:hAnsi="Arial"/>
          <w:sz w:val="13"/>
          <w:szCs w:val="13"/>
          <w:color w:val="auto"/>
        </w:rPr>
        <w:t>nd</w:t>
      </w:r>
      <w:r>
        <w:rPr>
          <w:rFonts w:ascii="Arial" w:cs="Arial" w:eastAsia="Arial" w:hAnsi="Arial"/>
          <w:sz w:val="16"/>
          <w:szCs w:val="16"/>
          <w:color w:val="auto"/>
        </w:rPr>
        <w:t>) Trading Day and (ii) the number of Trading Days comprising the Standard Settlement Period, in each case following the date on which the Exercise Notice has been delivered to the Company, or, if the Holder does not deliver the Aggregate Exercise Price (or notice of a Cashless Exercise, if applicable) on or prior to the first (1</w:t>
      </w:r>
      <w:r>
        <w:rPr>
          <w:rFonts w:ascii="Arial" w:cs="Arial" w:eastAsia="Arial" w:hAnsi="Arial"/>
          <w:sz w:val="13"/>
          <w:szCs w:val="13"/>
          <w:color w:val="auto"/>
        </w:rPr>
        <w:t>st</w:t>
      </w:r>
      <w:r>
        <w:rPr>
          <w:rFonts w:ascii="Arial" w:cs="Arial" w:eastAsia="Arial" w:hAnsi="Arial"/>
          <w:sz w:val="16"/>
          <w:szCs w:val="16"/>
          <w:color w:val="auto"/>
        </w:rPr>
        <w:t>) Trading Day following the date on which the Exercise Notice has been delivered to the Company, then on or prior to the first (1</w:t>
      </w:r>
      <w:r>
        <w:rPr>
          <w:rFonts w:ascii="Arial" w:cs="Arial" w:eastAsia="Arial" w:hAnsi="Arial"/>
          <w:sz w:val="13"/>
          <w:szCs w:val="13"/>
          <w:color w:val="auto"/>
        </w:rPr>
        <w:t>st</w:t>
      </w:r>
      <w:r>
        <w:rPr>
          <w:rFonts w:ascii="Arial" w:cs="Arial" w:eastAsia="Arial" w:hAnsi="Arial"/>
          <w:sz w:val="16"/>
          <w:szCs w:val="16"/>
          <w:color w:val="auto"/>
        </w:rPr>
        <w:t>) Trading Day following the date on which the Aggregate Exercise Price (or notice of a Cashless Exercise, if applicable) is delivered (such earlier date, or if later, the earliest day on which the Company is required to deliver Warrant Shares pursuant to this Section 1(a), the “</w:t>
      </w:r>
      <w:r>
        <w:rPr>
          <w:rFonts w:ascii="Arial" w:cs="Arial" w:eastAsia="Arial" w:hAnsi="Arial"/>
          <w:sz w:val="16"/>
          <w:szCs w:val="16"/>
          <w:b w:val="1"/>
          <w:bCs w:val="1"/>
          <w:color w:val="auto"/>
        </w:rPr>
        <w:t>Share Delivery Date</w:t>
      </w:r>
      <w:r>
        <w:rPr>
          <w:rFonts w:ascii="Arial" w:cs="Arial" w:eastAsia="Arial" w:hAnsi="Arial"/>
          <w:sz w:val="16"/>
          <w:szCs w:val="16"/>
          <w:color w:val="auto"/>
        </w:rPr>
        <w:t>”), the Company shall (X) if any Unrestricted Condition (as defined below) is satisfied at the time of delivery of the Exercise Notice , cause the Transfer Agent to credit such aggregate number of Warrant Shares to which the Holder is entitled pursuant to such exercise to the Holder’s or its designee’s balance account with The Depository Trust Company (“</w:t>
      </w:r>
      <w:r>
        <w:rPr>
          <w:rFonts w:ascii="Arial" w:cs="Arial" w:eastAsia="Arial" w:hAnsi="Arial"/>
          <w:sz w:val="16"/>
          <w:szCs w:val="16"/>
          <w:b w:val="1"/>
          <w:bCs w:val="1"/>
          <w:color w:val="auto"/>
        </w:rPr>
        <w:t>DTC</w:t>
      </w:r>
      <w:r>
        <w:rPr>
          <w:rFonts w:ascii="Arial" w:cs="Arial" w:eastAsia="Arial" w:hAnsi="Arial"/>
          <w:sz w:val="16"/>
          <w:szCs w:val="16"/>
          <w:color w:val="auto"/>
        </w:rPr>
        <w:t xml:space="preserve">”) through its Deposit/Withdrawal At Custodian system, or (Y) if none of the Unrestricted Conditions are satisfied at such time, cause the Transfer Agent to issue and dispatch by overnight courier to the address as specified in the Exercise Notice, a certificate, registered in the name of the Holder or its designee, for the number of Warrant Shares to which the Holder is entitled pursuant to such exercise. The Company shall be responsible for all fees and expenses of the Transfer Agent and all fees and expenses with respect to the issuance of Warrant Shares via DTC, if any, including without limitation for same day processing. Upon delivery of each Exercise Notice, the Holder shall be deemed for all corporate purposes to have become the holder of record and beneficial owner of the Warrant Shares with respect to which this Warrant has been exercised pursuant to such Exercise Notice, irrespective of the date such Warrant Shares are credited to the Holder’s DTC account or the date of delivery of the certificates evidencing such Warrant Shares, as the case may be. No fractional Warrant Shares are to be issued upon the exercise of this Warrant, but rather the number of Warrant Shares to be issued shall be rounded to the nearest whole number (with 0.5 rounded up). The Company shall pay any and all transfer, stamp, issuance and similar taxes, costs and expenses (including, without limitation, fees and expenses of the Transfer Agent) which may be payable with respect to the issuance and delivery of Warrant Shares upon exercise of this Warrant. The Company’s obligations to issue and deliver Warrant Shares in accordance with the terms and subject to the conditions hereof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shall not be required to deliver Warrant Shares with respect to an exercise prior to the Holder’s delivery of the Aggregate Exercise Price (or notice of a Cashless Exercise, if applicable) with respect to such exercise.</w:t>
      </w:r>
    </w:p>
    <w:p>
      <w:pPr>
        <w:spacing w:after="0" w:line="83" w:lineRule="exact"/>
        <w:rPr>
          <w:sz w:val="20"/>
          <w:szCs w:val="20"/>
          <w:color w:val="auto"/>
        </w:rPr>
      </w:pPr>
    </w:p>
    <w:p>
      <w:pPr>
        <w:ind w:right="100" w:firstLine="419"/>
        <w:spacing w:after="0" w:line="293" w:lineRule="auto"/>
        <w:tabs>
          <w:tab w:leader="none" w:pos="678" w:val="left"/>
        </w:tabs>
        <w:numPr>
          <w:ilvl w:val="0"/>
          <w:numId w:val="3"/>
        </w:numPr>
        <w:rPr>
          <w:rFonts w:ascii="Arial" w:cs="Arial" w:eastAsia="Arial" w:hAnsi="Arial"/>
          <w:sz w:val="16"/>
          <w:szCs w:val="16"/>
          <w:color w:val="auto"/>
        </w:rPr>
      </w:pPr>
      <w:r>
        <w:rPr>
          <w:rFonts w:ascii="Arial" w:cs="Arial" w:eastAsia="Arial" w:hAnsi="Arial"/>
          <w:sz w:val="16"/>
          <w:szCs w:val="16"/>
          <w:u w:val="single" w:color="auto"/>
          <w:color w:val="auto"/>
        </w:rPr>
        <w:t>Exercise Price</w:t>
      </w:r>
      <w:r>
        <w:rPr>
          <w:rFonts w:ascii="Arial" w:cs="Arial" w:eastAsia="Arial" w:hAnsi="Arial"/>
          <w:sz w:val="16"/>
          <w:szCs w:val="16"/>
          <w:color w:val="auto"/>
        </w:rPr>
        <w:t>. The aggregate exercise price of this Warrant, except for a nominal exercise price of $0.01 per Warrant Share (subject to adjustment as provided herein), was pre-funded to the Company on or prior to the Initial Exercisability Date and, consequently, no additional consideration (other than the nominal exercise price of $0.01 per Warrant Share, subject to adjustment as provided herein) shall be required to be paid by the Holder to any Person to effect any exercise of this Warrant. The Holder shall not be entitled to the return or refund of all, or any portion, of such pre-paid aggregate Exercise Price under any circumstance or for any reason whatsoever. The remaining unpaid exercise price per share of Common Stock under this Warrant shall be $0.01, subject to adjustment as provided herein (the “</w:t>
      </w:r>
      <w:r>
        <w:rPr>
          <w:rFonts w:ascii="Arial" w:cs="Arial" w:eastAsia="Arial" w:hAnsi="Arial"/>
          <w:sz w:val="16"/>
          <w:szCs w:val="16"/>
          <w:b w:val="1"/>
          <w:bCs w:val="1"/>
          <w:color w:val="auto"/>
        </w:rPr>
        <w:t>Exercise Price</w:t>
      </w:r>
      <w:r>
        <w:rPr>
          <w:rFonts w:ascii="Arial" w:cs="Arial" w:eastAsia="Arial" w:hAnsi="Arial"/>
          <w:sz w:val="16"/>
          <w:szCs w:val="16"/>
          <w:color w:val="auto"/>
        </w:rPr>
        <w:t>”).</w:t>
      </w:r>
    </w:p>
    <w:p>
      <w:pPr>
        <w:spacing w:after="0" w:line="9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560"/>
          </w:cols>
          <w:pgMar w:left="880" w:top="270" w:right="459" w:bottom="1440" w:gutter="0" w:footer="0" w:header="0"/>
        </w:sectPr>
      </w:pPr>
    </w:p>
    <w:bookmarkStart w:id="6" w:name="page7"/>
    <w:bookmarkEnd w:id="6"/>
    <w:p>
      <w:pPr>
        <w:ind w:left="4" w:firstLine="419"/>
        <w:spacing w:after="0" w:line="283" w:lineRule="auto"/>
        <w:tabs>
          <w:tab w:leader="none" w:pos="671" w:val="left"/>
        </w:tabs>
        <w:numPr>
          <w:ilvl w:val="1"/>
          <w:numId w:val="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Company’s Failure to Timely Deliver Securities</w:t>
      </w:r>
      <w:r>
        <w:rPr>
          <w:rFonts w:ascii="Arial" w:cs="Arial" w:eastAsia="Arial" w:hAnsi="Arial"/>
          <w:sz w:val="16"/>
          <w:szCs w:val="16"/>
          <w:color w:val="auto"/>
        </w:rPr>
        <w:t>. If the Company fails to cause the Transfer Agent to transmit to the Holder the Warrant Shares in accordance with the provisions of Section 1(a) above pursuant to an exercise on or before the Share Delivery Date (other than a failure caused by incorrect or incomplete information provided by the Holder to the Company),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Arial" w:cs="Arial" w:eastAsia="Arial" w:hAnsi="Arial"/>
          <w:sz w:val="16"/>
          <w:szCs w:val="16"/>
          <w:b w:val="1"/>
          <w:bCs w:val="1"/>
          <w:color w:val="auto"/>
        </w:rPr>
        <w:t>Buy-In</w:t>
      </w:r>
      <w:r>
        <w:rPr>
          <w:rFonts w:ascii="Arial" w:cs="Arial" w:eastAsia="Arial" w:hAnsi="Arial"/>
          <w:sz w:val="16"/>
          <w:szCs w:val="16"/>
          <w:color w:val="auto"/>
        </w:rPr>
        <w:t>”), then the Company shall (A) pay in cash to the Holder the amount, if any, by which (x) the Holder’s total purchase price (including brokerage commissions)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w:t>
      </w:r>
    </w:p>
    <w:p>
      <w:pPr>
        <w:spacing w:after="0" w:line="1" w:lineRule="exact"/>
        <w:rPr>
          <w:rFonts w:ascii="Arial" w:cs="Arial" w:eastAsia="Arial" w:hAnsi="Arial"/>
          <w:sz w:val="16"/>
          <w:szCs w:val="16"/>
          <w:color w:val="auto"/>
        </w:rPr>
      </w:pPr>
    </w:p>
    <w:p>
      <w:pPr>
        <w:ind w:left="4" w:right="60" w:hanging="4"/>
        <w:spacing w:after="0" w:line="268" w:lineRule="auto"/>
        <w:tabs>
          <w:tab w:leader="none" w:pos="298" w:val="left"/>
        </w:tabs>
        <w:numPr>
          <w:ilvl w:val="0"/>
          <w:numId w:val="5"/>
        </w:numPr>
        <w:rPr>
          <w:rFonts w:ascii="Arial" w:cs="Arial" w:eastAsia="Arial" w:hAnsi="Arial"/>
          <w:sz w:val="17"/>
          <w:szCs w:val="17"/>
          <w:color w:val="auto"/>
        </w:rPr>
      </w:pPr>
      <w:r>
        <w:rPr>
          <w:rFonts w:ascii="Arial" w:cs="Arial" w:eastAsia="Arial" w:hAnsi="Arial"/>
          <w:sz w:val="17"/>
          <w:szCs w:val="17"/>
          <w:color w:val="auto"/>
        </w:rPr>
        <w:t>of the immediately preceding sentence, the Company shall be required to pay the Holder $1,000. The Holder shall provide the Company written notice within three (3) Trading Days after the occurrence of a Buy-In,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 The Company hereby represents and warrants, that, as of the Issuance Date, the Company’s current transfer agent participates in DTC’s Fast Automated Securities Transfer Program (“</w:t>
      </w:r>
      <w:r>
        <w:rPr>
          <w:rFonts w:ascii="Arial" w:cs="Arial" w:eastAsia="Arial" w:hAnsi="Arial"/>
          <w:sz w:val="17"/>
          <w:szCs w:val="17"/>
          <w:b w:val="1"/>
          <w:bCs w:val="1"/>
          <w:color w:val="auto"/>
        </w:rPr>
        <w:t>FAST</w:t>
      </w:r>
      <w:r>
        <w:rPr>
          <w:rFonts w:ascii="Arial" w:cs="Arial" w:eastAsia="Arial" w:hAnsi="Arial"/>
          <w:sz w:val="17"/>
          <w:szCs w:val="17"/>
          <w:color w:val="auto"/>
        </w:rPr>
        <w:t>”). In the event that the Company changes transfer agents while this Warrant is outstanding, the Company shall select a transfer agent that participates in FAST. While this Warrant is outstanding, the Company shall require its transfer agent to participate in FAST with respect to this Warrant.</w:t>
      </w:r>
    </w:p>
    <w:p>
      <w:pPr>
        <w:spacing w:after="0" w:line="73" w:lineRule="exact"/>
        <w:rPr>
          <w:rFonts w:ascii="Arial" w:cs="Arial" w:eastAsia="Arial" w:hAnsi="Arial"/>
          <w:sz w:val="17"/>
          <w:szCs w:val="17"/>
          <w:color w:val="auto"/>
        </w:rPr>
      </w:pPr>
    </w:p>
    <w:p>
      <w:pPr>
        <w:ind w:left="4" w:right="200" w:firstLine="419"/>
        <w:spacing w:after="0" w:line="259" w:lineRule="auto"/>
        <w:tabs>
          <w:tab w:leader="none" w:pos="681" w:val="left"/>
        </w:tabs>
        <w:numPr>
          <w:ilvl w:val="1"/>
          <w:numId w:val="5"/>
        </w:numPr>
        <w:rPr>
          <w:rFonts w:ascii="Arial" w:cs="Arial" w:eastAsia="Arial" w:hAnsi="Arial"/>
          <w:sz w:val="18"/>
          <w:szCs w:val="18"/>
          <w:color w:val="auto"/>
        </w:rPr>
      </w:pPr>
      <w:r>
        <w:rPr>
          <w:rFonts w:ascii="Arial" w:cs="Arial" w:eastAsia="Arial" w:hAnsi="Arial"/>
          <w:sz w:val="18"/>
          <w:szCs w:val="18"/>
          <w:u w:val="single" w:color="auto"/>
          <w:color w:val="auto"/>
        </w:rPr>
        <w:t>Cashless Exercise</w:t>
      </w:r>
      <w:r>
        <w:rPr>
          <w:rFonts w:ascii="Arial" w:cs="Arial" w:eastAsia="Arial" w:hAnsi="Arial"/>
          <w:sz w:val="18"/>
          <w:szCs w:val="18"/>
          <w:color w:val="auto"/>
        </w:rPr>
        <w:t>. Notwithstanding anything contained herein to the contrary, the Holder may, in its sole discretion, exercise this Warrant in whole or in part and, in lieu of making the cash payment otherwise contemplated to be made to the Company upon such exercise in payment of the Aggregate Exercise Price, elect instead to receive upon such exercise the “Net Number” of shares of Common Stock determined according to the following formula (a “</w:t>
      </w:r>
      <w:r>
        <w:rPr>
          <w:rFonts w:ascii="Arial" w:cs="Arial" w:eastAsia="Arial" w:hAnsi="Arial"/>
          <w:sz w:val="18"/>
          <w:szCs w:val="18"/>
          <w:b w:val="1"/>
          <w:bCs w:val="1"/>
          <w:color w:val="auto"/>
        </w:rPr>
        <w:t>Cashless Exercise</w:t>
      </w:r>
      <w:r>
        <w:rPr>
          <w:rFonts w:ascii="Arial" w:cs="Arial" w:eastAsia="Arial" w:hAnsi="Arial"/>
          <w:sz w:val="18"/>
          <w:szCs w:val="18"/>
          <w:color w:val="auto"/>
        </w:rPr>
        <w:t>”):</w:t>
      </w:r>
    </w:p>
    <w:p>
      <w:pPr>
        <w:spacing w:after="0" w:line="214" w:lineRule="exact"/>
        <w:rPr>
          <w:sz w:val="20"/>
          <w:szCs w:val="20"/>
          <w:color w:val="auto"/>
        </w:rPr>
      </w:pPr>
    </w:p>
    <w:p>
      <w:pPr>
        <w:ind w:left="864"/>
        <w:spacing w:after="0"/>
        <w:tabs>
          <w:tab w:leader="none" w:pos="2123" w:val="left"/>
        </w:tabs>
        <w:rPr>
          <w:sz w:val="20"/>
          <w:szCs w:val="20"/>
          <w:color w:val="auto"/>
        </w:rPr>
      </w:pPr>
      <w:r>
        <w:rPr>
          <w:rFonts w:ascii="Arial" w:cs="Arial" w:eastAsia="Arial" w:hAnsi="Arial"/>
          <w:sz w:val="18"/>
          <w:szCs w:val="18"/>
          <w:color w:val="auto"/>
        </w:rPr>
        <w:t>Net Number =</w:t>
      </w:r>
      <w:r>
        <w:rPr>
          <w:sz w:val="20"/>
          <w:szCs w:val="20"/>
          <w:color w:val="auto"/>
        </w:rPr>
        <w:tab/>
      </w:r>
      <w:r>
        <w:rPr>
          <w:rFonts w:ascii="Arial" w:cs="Arial" w:eastAsia="Arial" w:hAnsi="Arial"/>
          <w:sz w:val="17"/>
          <w:szCs w:val="17"/>
          <w:color w:val="auto"/>
        </w:rPr>
        <w:t>(A x B) - (A x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1357630</wp:posOffset>
            </wp:positionH>
            <wp:positionV relativeFrom="paragraph">
              <wp:posOffset>14605</wp:posOffset>
            </wp:positionV>
            <wp:extent cx="8743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74395" cy="8255"/>
                    </a:xfrm>
                    <a:prstGeom prst="rect">
                      <a:avLst/>
                    </a:prstGeom>
                    <a:noFill/>
                  </pic:spPr>
                </pic:pic>
              </a:graphicData>
            </a:graphic>
          </wp:anchor>
        </w:drawing>
      </w:r>
    </w:p>
    <w:p>
      <w:pPr>
        <w:spacing w:after="0" w:line="16" w:lineRule="exact"/>
        <w:rPr>
          <w:sz w:val="20"/>
          <w:szCs w:val="20"/>
          <w:color w:val="auto"/>
        </w:rPr>
      </w:pPr>
    </w:p>
    <w:p>
      <w:pPr>
        <w:ind w:left="2144"/>
        <w:spacing w:after="0"/>
        <w:rPr>
          <w:sz w:val="20"/>
          <w:szCs w:val="20"/>
          <w:color w:val="auto"/>
        </w:rPr>
      </w:pPr>
      <w:r>
        <w:rPr>
          <w:rFonts w:ascii="Arial" w:cs="Arial" w:eastAsia="Arial" w:hAnsi="Arial"/>
          <w:sz w:val="18"/>
          <w:szCs w:val="18"/>
          <w:color w:val="auto"/>
        </w:rPr>
        <w:t>B</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For purposes of the foregoing formula:</w:t>
      </w:r>
    </w:p>
    <w:p>
      <w:pPr>
        <w:sectPr>
          <w:pgSz w:w="11900" w:h="16838" w:orient="portrait"/>
          <w:cols w:equalWidth="0" w:num="1">
            <w:col w:w="10564"/>
          </w:cols>
          <w:pgMar w:left="876" w:top="274" w:right="459" w:bottom="1440" w:gutter="0" w:footer="0" w:header="0"/>
        </w:sectPr>
      </w:pPr>
    </w:p>
    <w:p>
      <w:pPr>
        <w:spacing w:after="0" w:line="252" w:lineRule="exact"/>
        <w:rPr>
          <w:sz w:val="20"/>
          <w:szCs w:val="20"/>
          <w:color w:val="auto"/>
        </w:rPr>
      </w:pPr>
    </w:p>
    <w:p>
      <w:pPr>
        <w:ind w:left="1004"/>
        <w:spacing w:after="0"/>
        <w:rPr>
          <w:sz w:val="20"/>
          <w:szCs w:val="20"/>
          <w:color w:val="auto"/>
        </w:rPr>
      </w:pPr>
      <w:r>
        <w:rPr>
          <w:rFonts w:ascii="Arial" w:cs="Arial" w:eastAsia="Arial" w:hAnsi="Arial"/>
          <w:sz w:val="18"/>
          <w:szCs w:val="18"/>
          <w:color w:val="auto"/>
        </w:rPr>
        <w:t>A=</w:t>
      </w:r>
    </w:p>
    <w:p>
      <w:pPr>
        <w:spacing w:after="0" w:line="23" w:lineRule="exact"/>
        <w:rPr>
          <w:sz w:val="20"/>
          <w:szCs w:val="20"/>
          <w:color w:val="auto"/>
        </w:rPr>
      </w:pPr>
    </w:p>
    <w:p>
      <w:pPr>
        <w:ind w:left="1004"/>
        <w:spacing w:after="0"/>
        <w:rPr>
          <w:sz w:val="20"/>
          <w:szCs w:val="20"/>
          <w:color w:val="auto"/>
        </w:rPr>
      </w:pPr>
      <w:r>
        <w:rPr>
          <w:rFonts w:ascii="Arial" w:cs="Arial" w:eastAsia="Arial" w:hAnsi="Arial"/>
          <w:sz w:val="18"/>
          <w:szCs w:val="18"/>
          <w:color w:val="auto"/>
        </w:rPr>
        <w:t>B=</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the total number of shares with respect to which this Warrant is then being exercised.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as applicable: (i) the Closing Sale Price of the Common Stock on the Trading Day immediately preceding the date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applicable Exercise Notice if such Exercise Notice is (1) both executed and delivered pursuant to Section 1(a) hereof on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day that is not a Trading Day or (2) both executed and delivered pursuant to Section 1(a) hereof on a Trading Day prior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opening of “regular trading hours” (as defined in Rule 600(b)(68) of Regulation NMS</w:t>
      </w:r>
    </w:p>
    <w:p>
      <w:pPr>
        <w:spacing w:after="0" w:line="143" w:lineRule="exact"/>
        <w:rPr>
          <w:sz w:val="20"/>
          <w:szCs w:val="20"/>
          <w:color w:val="auto"/>
        </w:rPr>
      </w:pPr>
    </w:p>
    <w:p>
      <w:pPr>
        <w:sectPr>
          <w:pgSz w:w="11900" w:h="16838" w:orient="portrait"/>
          <w:cols w:equalWidth="0" w:num="2">
            <w:col w:w="1244" w:space="440"/>
            <w:col w:w="8880"/>
          </w:cols>
          <w:pgMar w:left="876" w:top="274" w:right="459" w:bottom="1440" w:gutter="0" w:footer="0" w:header="0"/>
          <w:type w:val="continuous"/>
        </w:sectPr>
      </w:pPr>
    </w:p>
    <w:p>
      <w:pPr>
        <w:jc w:val="center"/>
        <w:ind w:right="436"/>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0564"/>
          </w:cols>
          <w:pgMar w:left="876" w:top="274" w:right="459" w:bottom="1440" w:gutter="0" w:footer="0" w:header="0"/>
          <w:type w:val="continuous"/>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promulgated under the federal securities laws) on such Trading Day, (ii) at the option of the Holder, either (y) the Weighted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-1429385</wp:posOffset>
            </wp:positionH>
            <wp:positionV relativeFrom="paragraph">
              <wp:posOffset>-201295</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Average Price on the Trading Day immediately preceding the date of the applicable Exercise Notice or (z) the Bid Price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Common Stock as of the time of the Holder’s execution of the applicable Exercise Notice if such Exercise Notice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executed during “regular trading hours” on a Trading Day and is delivered within two (2) hours thereafter (including until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two (2) hours after the close of “regular trading hours” on a Trading Day) pursuant to Section 1(a) hereof or (iii)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Closing Sale Price of the Common Stock on the date of the applicable Exercise Notice if the date of such Exercise Notice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 a Trading Day and such Exercise Notice is both executed and delivered pursuant to Section 1(a) hereof after the close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“regular trading hours” on such Trading Day.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Exercise Price then in effect for the applicable Warrant Shares at the time of such exercise.</w:t>
      </w:r>
    </w:p>
    <w:p>
      <w:pPr>
        <w:spacing w:after="0" w:line="103" w:lineRule="exact"/>
        <w:rPr>
          <w:sz w:val="20"/>
          <w:szCs w:val="20"/>
          <w:color w:val="auto"/>
        </w:rPr>
      </w:pPr>
    </w:p>
    <w:p>
      <w:pPr>
        <w:sectPr>
          <w:pgSz w:w="11900" w:h="16838" w:orient="portrait"/>
          <w:cols w:equalWidth="0" w:num="2">
            <w:col w:w="1220" w:space="460"/>
            <w:col w:w="8880"/>
          </w:cols>
          <w:pgMar w:left="880" w:top="274" w:right="459" w:bottom="1440" w:gutter="0" w:footer="0" w:header="0"/>
        </w:sectPr>
      </w:pPr>
    </w:p>
    <w:p>
      <w:pPr>
        <w:ind w:right="160"/>
        <w:spacing w:after="0" w:line="279" w:lineRule="auto"/>
        <w:rPr>
          <w:sz w:val="20"/>
          <w:szCs w:val="20"/>
          <w:color w:val="auto"/>
        </w:rPr>
      </w:pPr>
      <w:r>
        <w:rPr>
          <w:rFonts w:ascii="Arial" w:cs="Arial" w:eastAsia="Arial" w:hAnsi="Arial"/>
          <w:sz w:val="17"/>
          <w:szCs w:val="17"/>
          <w:color w:val="auto"/>
        </w:rPr>
        <w:t>If Warrant Shares are issued in such a Cashless Exercise, the Company acknowledges and agrees that in accordance with Section 3(a)(9) of the Securities Act of 1933, as amended (the “</w:t>
      </w:r>
      <w:r>
        <w:rPr>
          <w:rFonts w:ascii="Arial" w:cs="Arial" w:eastAsia="Arial" w:hAnsi="Arial"/>
          <w:sz w:val="17"/>
          <w:szCs w:val="17"/>
          <w:b w:val="1"/>
          <w:bCs w:val="1"/>
          <w:color w:val="auto"/>
        </w:rPr>
        <w:t>1933 Act</w:t>
      </w:r>
      <w:r>
        <w:rPr>
          <w:rFonts w:ascii="Arial" w:cs="Arial" w:eastAsia="Arial" w:hAnsi="Arial"/>
          <w:sz w:val="17"/>
          <w:szCs w:val="17"/>
          <w:color w:val="auto"/>
        </w:rPr>
        <w:t>”), the Warrant Shares shall take on the registered characteristics of the Warrants being exercised, and the holding period of the Warrants being exercised may be tacked on to the holding period of the Warrant Shares pursuant to Rule 144 of the 1933 Act. The Company agrees not to take any position contrary to this Section 1(d).</w:t>
      </w:r>
    </w:p>
    <w:p>
      <w:pPr>
        <w:spacing w:after="0" w:line="63" w:lineRule="exact"/>
        <w:rPr>
          <w:sz w:val="20"/>
          <w:szCs w:val="20"/>
          <w:color w:val="auto"/>
        </w:rPr>
      </w:pPr>
    </w:p>
    <w:p>
      <w:pPr>
        <w:ind w:right="320" w:firstLine="419"/>
        <w:spacing w:after="0" w:line="263" w:lineRule="auto"/>
        <w:tabs>
          <w:tab w:leader="none" w:pos="667"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Disputes</w:t>
      </w:r>
      <w:r>
        <w:rPr>
          <w:rFonts w:ascii="Arial" w:cs="Arial" w:eastAsia="Arial" w:hAnsi="Arial"/>
          <w:sz w:val="18"/>
          <w:szCs w:val="18"/>
          <w:color w:val="auto"/>
        </w:rPr>
        <w:t>. In the case of a dispute as to the determination of the Exercise Price or the arithmetic calculation of the Warrant Shares, the Company shall promptly issue to the Holder the number of Warrant Shares that are not disputed and resolve such dispute in accordance with Section 12.</w:t>
      </w:r>
    </w:p>
    <w:p>
      <w:pPr>
        <w:spacing w:after="0" w:line="75" w:lineRule="exact"/>
        <w:rPr>
          <w:rFonts w:ascii="Arial" w:cs="Arial" w:eastAsia="Arial" w:hAnsi="Arial"/>
          <w:sz w:val="18"/>
          <w:szCs w:val="18"/>
          <w:color w:val="auto"/>
        </w:rPr>
      </w:pPr>
    </w:p>
    <w:p>
      <w:pPr>
        <w:ind w:firstLine="419"/>
        <w:spacing w:after="0" w:line="284" w:lineRule="auto"/>
        <w:tabs>
          <w:tab w:leader="none" w:pos="648"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Beneficial Ownership</w:t>
      </w:r>
      <w:r>
        <w:rPr>
          <w:rFonts w:ascii="Arial" w:cs="Arial" w:eastAsia="Arial" w:hAnsi="Arial"/>
          <w:sz w:val="16"/>
          <w:szCs w:val="16"/>
          <w:color w:val="auto"/>
        </w:rPr>
        <w:t>. Subject to the last section of paragraph 1(a), notwithstanding anything to the contrary contained herein, the Company shall not effect the exercise of any portion of this Warrant, and the Holder shall not have the right to exercise any portion of this Warrant, pursuant to the terms and conditions of this Warrant and any such exercise shall be null and void and treated as if never made, to the extent that after giving effect to such exercise, the Holder together with the other Attribution Parties collectively would beneficially own in excess of [9.99%][4.985%] (the “</w:t>
      </w:r>
      <w:r>
        <w:rPr>
          <w:rFonts w:ascii="Arial" w:cs="Arial" w:eastAsia="Arial" w:hAnsi="Arial"/>
          <w:sz w:val="16"/>
          <w:szCs w:val="16"/>
          <w:b w:val="1"/>
          <w:bCs w:val="1"/>
          <w:color w:val="auto"/>
        </w:rPr>
        <w:t>Maximum Percentage</w:t>
      </w:r>
      <w:r>
        <w:rPr>
          <w:rFonts w:ascii="Arial" w:cs="Arial" w:eastAsia="Arial" w:hAnsi="Arial"/>
          <w:sz w:val="16"/>
          <w:szCs w:val="16"/>
          <w:color w:val="auto"/>
        </w:rPr>
        <w:t>”) of the number of shares of Common Stock outstanding immediately after giving effect to such exercise. For purposes of the foregoing sentence, the aggregate number of shares of Common Stock beneficially owned by the Holder and the other Attribution Parties shall include the number of shares of Common Stock held by the Holder and all other Attribution Parties plus the number of shares of Common Stock issuable upon exercise of this Warrant with respect to which the determination of such sentence is being made, but shall exclude the number of shares of Common Stock which would be issuable upon (A) exercise of the remaining, unexercised portion of this Warrant beneficially owned by the Holder or any of the other Attribution Parties and (B) exercise or conversion of the unexercised or unconverted portion of any other securities of the Company (including, without limitation, any convertible notes or convertible preferred stock or warrants, including the other Warrants) beneficially owned by the Holder or any other Attribution Party subject to a limitation on conversion or exercise analogous to the limitation contained in this Section 1(f). For purposes of this Section 1(f), beneficial ownership shall be calculated in accordance with Section 13(d) of the Securities Exchange Act of 1934, as amended (the “</w:t>
      </w:r>
      <w:r>
        <w:rPr>
          <w:rFonts w:ascii="Arial" w:cs="Arial" w:eastAsia="Arial" w:hAnsi="Arial"/>
          <w:sz w:val="16"/>
          <w:szCs w:val="16"/>
          <w:b w:val="1"/>
          <w:bCs w:val="1"/>
          <w:color w:val="auto"/>
        </w:rPr>
        <w:t>1934 Act</w:t>
      </w:r>
      <w:r>
        <w:rPr>
          <w:rFonts w:ascii="Arial" w:cs="Arial" w:eastAsia="Arial" w:hAnsi="Arial"/>
          <w:sz w:val="16"/>
          <w:szCs w:val="16"/>
          <w:color w:val="auto"/>
        </w:rPr>
        <w:t>”), it being acknowledged by the Holder that the Holder is solely responsible for any schedules required to be filed in accordance with Section 13(d) of the 1934 Act. To the extent that the limitation contained in this Section 1(f) applies, the determination of whether this Warrant is exercisable (in relation to other securities owned by the Holder together with any Affiliates and Attribution Parties) and of which portion of this Warrant is exercisable shall be in the sole discretion of the Holder, and the Company shall have no obligation to verify or confirm the accuracy of such determination. In addition, a determination as to any group status as contemplated above shall be determined in accordance with Section 13(d) of the 1934 Act and the rules and regulations promulgated thereunder. For purposes of this Warrant, in determining the number of outstanding shares of Common Stock the Holder may acquire upon the exercise of this Warrant without exceeding the Maximum</w:t>
      </w:r>
    </w:p>
    <w:p>
      <w:pPr>
        <w:spacing w:after="0" w:line="33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60"/>
          </w:cols>
          <w:pgMar w:left="880" w:top="274" w:right="459" w:bottom="1440" w:gutter="0" w:footer="0" w:header="0"/>
          <w:type w:val="continuous"/>
        </w:sectPr>
      </w:pPr>
    </w:p>
    <w:bookmarkStart w:id="8" w:name="page9"/>
    <w:bookmarkEnd w:id="8"/>
    <w:p>
      <w:pPr>
        <w:ind w:left="440" w:right="2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Percentage, the Holder may rely on the number of outstanding shares of Common Stock as reflected in (x) the Company’s most recent Annual Report on Form 10-K, Quarterly Report on Form 10-Q and Current Reports on Form 8-K or other public filing with the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 as the case may be, (y) a more recent public announcement by the Company or (z) any other written notice by the Company setting forth the number of shares of Common Stock outstanding (the “</w:t>
      </w:r>
      <w:r>
        <w:rPr>
          <w:rFonts w:ascii="Arial" w:cs="Arial" w:eastAsia="Arial" w:hAnsi="Arial"/>
          <w:sz w:val="16"/>
          <w:szCs w:val="16"/>
          <w:b w:val="1"/>
          <w:bCs w:val="1"/>
          <w:color w:val="auto"/>
        </w:rPr>
        <w:t>Reported Outstanding Share Number</w:t>
      </w:r>
      <w:r>
        <w:rPr>
          <w:rFonts w:ascii="Arial" w:cs="Arial" w:eastAsia="Arial" w:hAnsi="Arial"/>
          <w:sz w:val="16"/>
          <w:szCs w:val="16"/>
          <w:color w:val="auto"/>
        </w:rPr>
        <w:t>”).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beneficial ownership, as determined pursuant to this Section 1(f), to exceed the Maximum Percentage, the Holder must notify the Company of a reduced number of Warrant Shares to be purchased pursuant to such Exercise Notice (the number of shares by which such purchase is reduced, the “</w:t>
      </w:r>
      <w:r>
        <w:rPr>
          <w:rFonts w:ascii="Arial" w:cs="Arial" w:eastAsia="Arial" w:hAnsi="Arial"/>
          <w:sz w:val="16"/>
          <w:szCs w:val="16"/>
          <w:b w:val="1"/>
          <w:bCs w:val="1"/>
          <w:color w:val="auto"/>
        </w:rPr>
        <w:t>Reduction Shares</w:t>
      </w:r>
      <w:r>
        <w:rPr>
          <w:rFonts w:ascii="Arial" w:cs="Arial" w:eastAsia="Arial" w:hAnsi="Arial"/>
          <w:sz w:val="16"/>
          <w:szCs w:val="16"/>
          <w:color w:val="auto"/>
        </w:rPr>
        <w:t>”) and (ii) as soon as reasonably practicable, the Company shall return to the Holder the exercise price paid by the Holder for the Reduction Shares (if any). For any reason at any time, upon the written or oral request of the Holder, the Company shall within one (1) Business Day confirm orally and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by the Holder and any other Attribution Party since the date as of which the Reported Outstanding Share Number was reported. In the event that the issuance of Common Stock to the Holder upon exercise of this Warrant results in the Holder and the other Attribution Parties being deemed to beneficially own, in the aggregate, more than the Maximum Percentage of the number of outstanding shares of Common Stock (as determined under Section 13(d) of the 1934 Act), the number of shares so issued by which the Holder’s and the other Attribution Parties’ aggregate beneficial ownership exceeds the Maximum Percentage (the “</w:t>
      </w:r>
      <w:r>
        <w:rPr>
          <w:rFonts w:ascii="Arial" w:cs="Arial" w:eastAsia="Arial" w:hAnsi="Arial"/>
          <w:sz w:val="16"/>
          <w:szCs w:val="16"/>
          <w:b w:val="1"/>
          <w:bCs w:val="1"/>
          <w:color w:val="auto"/>
        </w:rPr>
        <w:t>Excess Shares</w:t>
      </w:r>
      <w:r>
        <w:rPr>
          <w:rFonts w:ascii="Arial" w:cs="Arial" w:eastAsia="Arial" w:hAnsi="Arial"/>
          <w:sz w:val="16"/>
          <w:szCs w:val="16"/>
          <w:color w:val="auto"/>
        </w:rPr>
        <w:t xml:space="preserve">”) shall be deemed null and void and shall be cancelled ab initio, and the Holder shall not have the power to vote or to transfer the Excess Shares. As soon as reasonably practicable after the issuance of the Excess Shares has been deemed null and void, the Company shall, return to the Holder the exercise price paid by the Holder for the Excess Shares (if any) in respect of the Excess Shares. [Upon delivery of a written notice to the Company, the Holder may from time to time increase or decrease the Maximum Percentage to any other percentage (not in excess of 19.99% of the issued and outstanding shares of Common Stock immediately after giving effect to the issuance of the shares of Common Stock issuable upon exercise of this Warrant if exceeding that limit would result in a change of control under Nasdaq Listing Rule 5636(b) or any successor rule) as specified in such notice;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any such increase in the Maximum Percentage will not be effective until the sixty-first (61</w:t>
      </w:r>
      <w:r>
        <w:rPr>
          <w:rFonts w:ascii="Arial" w:cs="Arial" w:eastAsia="Arial" w:hAnsi="Arial"/>
          <w:sz w:val="13"/>
          <w:szCs w:val="13"/>
          <w:color w:val="auto"/>
        </w:rPr>
        <w:t>st</w:t>
      </w:r>
      <w:r>
        <w:rPr>
          <w:rFonts w:ascii="Arial" w:cs="Arial" w:eastAsia="Arial" w:hAnsi="Arial"/>
          <w:sz w:val="16"/>
          <w:szCs w:val="16"/>
          <w:color w:val="auto"/>
        </w:rPr>
        <w:t>) day after such notice is delivered to the Company and (ii) any such increase or decrease will apply only to the Holder and the other Attribution Parties and not to any other holder of Warrants that is not an Attribution Party of the Holder. For purposes of clarity, the shares of Common Stock issuable pursuant to the terms of this Warrant in excess of the Maximum Percentage shall not be deemed to be beneficially owned by the Holder for any purpose including for purposes of Section 13(d) or Rule 16a-1(a)(1) of the 1934 Act.]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Section 1(f) to the extent necessary to correct this paragraph or any portion of this paragraph which may be defective or inconsistent with the intended beneficial ownership limitation contained in this Section 1(f) or to make changes or supplements necessary or desirable to properly give effect to such limitation. The limitation contained in this paragraph may not be waived and shall apply to a successor holder of this Warrant.</w:t>
      </w:r>
    </w:p>
    <w:p>
      <w:pPr>
        <w:spacing w:after="0" w:line="293" w:lineRule="exact"/>
        <w:rPr>
          <w:sz w:val="20"/>
          <w:szCs w:val="20"/>
          <w:color w:val="auto"/>
        </w:rPr>
      </w:pPr>
    </w:p>
    <w:p>
      <w:pPr>
        <w:ind w:left="1120" w:hanging="261"/>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Required Reserve Amount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1979"/>
        <w:spacing w:after="0" w:line="311" w:lineRule="auto"/>
        <w:tabs>
          <w:tab w:leader="none" w:pos="2238" w:val="left"/>
        </w:tabs>
        <w:numPr>
          <w:ilvl w:val="1"/>
          <w:numId w:val="7"/>
        </w:numPr>
        <w:rPr>
          <w:rFonts w:ascii="Arial" w:cs="Arial" w:eastAsia="Arial" w:hAnsi="Arial"/>
          <w:sz w:val="16"/>
          <w:szCs w:val="16"/>
          <w:color w:val="auto"/>
        </w:rPr>
      </w:pPr>
      <w:r>
        <w:rPr>
          <w:rFonts w:ascii="Arial" w:cs="Arial" w:eastAsia="Arial" w:hAnsi="Arial"/>
          <w:sz w:val="16"/>
          <w:szCs w:val="16"/>
          <w:color w:val="auto"/>
        </w:rPr>
        <w:t>So long as this Warrant remains outstanding, the Company shall at all times keep reserved for issuance under this Warrant a number of shares of Common Stock at least equal to 100% of the maximum number of shares of Common Stock as shall be necessary to satisfy the Company’s obligation to issue shares of Common Stock under the Warrants then outstanding (assuming the Warrants are exercised for cash,</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9" w:name="page10"/>
    <w:bookmarkEnd w:id="9"/>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without regard to any limitations on exercise, including the limitations set forth in Section 1(f)) (the “</w:t>
      </w:r>
      <w:r>
        <w:rPr>
          <w:rFonts w:ascii="Arial" w:cs="Arial" w:eastAsia="Arial" w:hAnsi="Arial"/>
          <w:sz w:val="16"/>
          <w:szCs w:val="16"/>
          <w:b w:val="1"/>
          <w:bCs w:val="1"/>
          <w:color w:val="auto"/>
        </w:rPr>
        <w:t>Required Reserve Amount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at no time shall the number of shares of Common Stock reserved pursuant to this Section 1(g) be reduced other than in connection with any exercise of Warrants or such other event covered by Section 2 below. If at any time while this Warrant remains outstanding the Company does not have a sufficient number of authorized and unreserved shares of Common Stock to satisfy the Required Reserve Amount (the failure to have such sufficient number of authorized and unreserved shares of Common Stock, an “</w:t>
      </w:r>
      <w:r>
        <w:rPr>
          <w:rFonts w:ascii="Arial" w:cs="Arial" w:eastAsia="Arial" w:hAnsi="Arial"/>
          <w:sz w:val="16"/>
          <w:szCs w:val="16"/>
          <w:b w:val="1"/>
          <w:bCs w:val="1"/>
          <w:color w:val="auto"/>
        </w:rPr>
        <w:t>Authorized Share Failure</w:t>
      </w:r>
      <w:r>
        <w:rPr>
          <w:rFonts w:ascii="Arial" w:cs="Arial" w:eastAsia="Arial" w:hAnsi="Arial"/>
          <w:sz w:val="16"/>
          <w:szCs w:val="16"/>
          <w:color w:val="auto"/>
        </w:rPr>
        <w:t>”), then the Company shall promptly take all action necessary to increase the Company’s authorized shares of Common Stock to an amount sufficient to allow the Company to reserve the Required Reserve Amount for this Warrant then outstanding. Without limiting the generality of the foregoing sentence, as soon as practicable after the date of the occurrence of an Authorized Share Failure, but in no event later than sixty (60) 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commercially reasonable efforts to solicit its stockholders’ approval of such increase in authorized shares of Common Stock and to cause its board of directors to recommend to the stockholders that they approve such proposal. Notwithstanding the foregoing, if at any such time of an Authorized Share Failure, the Company is able to obtain the written consent of a majority of the shares of its issued and outstanding Common Stock to approve the increase in the number of authorized shares of Common Stock without soliciting its stockholders in accordance with the terms of its governing documents then in effect, the Company shall satisfy this obligation by obtaining such consent and submitting for filing with the SEC an Information Statement on Schedule 14C.</w:t>
      </w:r>
    </w:p>
    <w:p>
      <w:pPr>
        <w:spacing w:after="0" w:line="63" w:lineRule="exact"/>
        <w:rPr>
          <w:sz w:val="20"/>
          <w:szCs w:val="20"/>
          <w:color w:val="auto"/>
        </w:rPr>
      </w:pPr>
    </w:p>
    <w:p>
      <w:pPr>
        <w:ind w:right="40" w:firstLine="1979"/>
        <w:spacing w:after="0" w:line="272" w:lineRule="auto"/>
        <w:tabs>
          <w:tab w:leader="none" w:pos="2238" w:val="left"/>
        </w:tabs>
        <w:numPr>
          <w:ilvl w:val="1"/>
          <w:numId w:val="8"/>
        </w:numPr>
        <w:rPr>
          <w:rFonts w:ascii="Arial" w:cs="Arial" w:eastAsia="Arial" w:hAnsi="Arial"/>
          <w:sz w:val="17"/>
          <w:szCs w:val="17"/>
          <w:color w:val="auto"/>
        </w:rPr>
      </w:pPr>
      <w:r>
        <w:rPr>
          <w:rFonts w:ascii="Arial" w:cs="Arial" w:eastAsia="Arial" w:hAnsi="Arial"/>
          <w:sz w:val="17"/>
          <w:szCs w:val="17"/>
          <w:color w:val="auto"/>
        </w:rPr>
        <w:t>The Required Reserve Amount (including, without limitation, each increase in the number of shares so reserved) shall be allocated pro rata among the holders of the Warrants based on the number of shares of Common Stock issuable upon exercise of Warrants held by each holder thereof on the Issuance Date (without regard to any limitations on exercise) (the “</w:t>
      </w:r>
      <w:r>
        <w:rPr>
          <w:rFonts w:ascii="Arial" w:cs="Arial" w:eastAsia="Arial" w:hAnsi="Arial"/>
          <w:sz w:val="17"/>
          <w:szCs w:val="17"/>
          <w:b w:val="1"/>
          <w:bCs w:val="1"/>
          <w:color w:val="auto"/>
        </w:rPr>
        <w:t>Authorized Share Allocation</w:t>
      </w:r>
      <w:r>
        <w:rPr>
          <w:rFonts w:ascii="Arial" w:cs="Arial" w:eastAsia="Arial" w:hAnsi="Arial"/>
          <w:sz w:val="17"/>
          <w:szCs w:val="17"/>
          <w:color w:val="auto"/>
        </w:rPr>
        <w:t>”). In the event that a holder shall sell or otherwise transfer any of such holder’s Warrants, each transferee shall be allocated a pro rata portion of such holder’s Authorized Share Allocation. Any shares of Common Stock reserved and allocated to any Person which ceases to hold any Warrants shall be allocated to the remaining holders of Warrants, pro rata based on the number of shares of Common Stock issuable upon exercise of the Warrants then held by such holders thereof (without regard to any limitations on exercise).</w:t>
      </w:r>
    </w:p>
    <w:p>
      <w:pPr>
        <w:spacing w:after="0" w:line="69" w:lineRule="exact"/>
        <w:rPr>
          <w:rFonts w:ascii="Arial" w:cs="Arial" w:eastAsia="Arial" w:hAnsi="Arial"/>
          <w:sz w:val="17"/>
          <w:szCs w:val="17"/>
          <w:color w:val="auto"/>
        </w:rPr>
      </w:pPr>
    </w:p>
    <w:p>
      <w:pPr>
        <w:ind w:right="160" w:firstLine="436"/>
        <w:spacing w:after="0" w:line="291" w:lineRule="auto"/>
        <w:tabs>
          <w:tab w:leader="none" w:pos="620"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ADJUSTMENT UPON SUBDIVISION OR COMBINATION OF COMMON STOCK</w:t>
      </w:r>
      <w:r>
        <w:rPr>
          <w:rFonts w:ascii="Arial" w:cs="Arial" w:eastAsia="Arial" w:hAnsi="Arial"/>
          <w:sz w:val="16"/>
          <w:szCs w:val="16"/>
          <w:color w:val="auto"/>
        </w:rPr>
        <w:t>. If the Company at any time on or after the Issuance Date subdivides (by any stock split, stock dividend, recapitalization or other similar transaction) its outstanding shares of Common Stock into a greater number of shares, the Exercise Price in effect immediately prior to such subdivision will be proportionately reduced and the number of Warrant Shares will be proportionately increased. If the Company at any time on or after the Issuance Date combines (by combination, reverse stock split or other similar transaction) its outstanding shares of Common Stock into a smaller number of shares, the Exercise Price in effect immediately prior to such combination will be proportionately increased and the number of Warrant Shares will be proportionately decreased. Any adjustment under this Section 2(a) shall become effective at the close of business on the date the subdivision or combination becomes effective.</w:t>
      </w:r>
    </w:p>
    <w:p>
      <w:pPr>
        <w:spacing w:after="0" w:line="58" w:lineRule="exact"/>
        <w:rPr>
          <w:rFonts w:ascii="Arial" w:cs="Arial" w:eastAsia="Arial" w:hAnsi="Arial"/>
          <w:sz w:val="16"/>
          <w:szCs w:val="16"/>
          <w:color w:val="auto"/>
        </w:rPr>
      </w:pPr>
    </w:p>
    <w:p>
      <w:pPr>
        <w:ind w:right="100" w:firstLine="436"/>
        <w:spacing w:after="0" w:line="269" w:lineRule="auto"/>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RIGHTS UPON DISTRIBUTION OF ASSETS</w:t>
      </w:r>
      <w:r>
        <w:rPr>
          <w:rFonts w:ascii="Arial" w:cs="Arial" w:eastAsia="Arial" w:hAnsi="Arial"/>
          <w:sz w:val="17"/>
          <w:szCs w:val="17"/>
          <w:color w:val="auto"/>
        </w:rPr>
        <w:t>.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but excluding a dividend or distribution of shares of Common Stock (or similar transaction) that results in an adjustment pursuant to Section 2) (a “</w:t>
      </w:r>
      <w:r>
        <w:rPr>
          <w:rFonts w:ascii="Arial" w:cs="Arial" w:eastAsia="Arial" w:hAnsi="Arial"/>
          <w:sz w:val="17"/>
          <w:szCs w:val="17"/>
          <w:b w:val="1"/>
          <w:bCs w:val="1"/>
          <w:color w:val="auto"/>
        </w:rPr>
        <w:t>Distribution</w:t>
      </w:r>
      <w:r>
        <w:rPr>
          <w:rFonts w:ascii="Arial" w:cs="Arial" w:eastAsia="Arial" w:hAnsi="Arial"/>
          <w:sz w:val="17"/>
          <w:szCs w:val="17"/>
          <w:color w:val="auto"/>
        </w:rPr>
        <w:t>”), at any time after the issuance of this Warrant, the Holder shall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immediately before the date of which a record is taken for such Distribution, or, if no such record is taken, the date as of which the record holders of shares of Common Stock are to be determined for the participation in such Distribution (provided, however, that, if any securities issued in such Distribution are directly or indirectly exercisable or exchangeable for, or convertible into, shares of Common Stock, such securities issued to the Holder shall contain a limitation on exercise, exchange or conversion equivalent to the limitation on exercise of this Warrant set forth in Section 1(f)).</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0" w:right="439" w:bottom="1440" w:gutter="0" w:footer="0" w:header="0"/>
        </w:sectPr>
      </w:pPr>
    </w:p>
    <w:bookmarkStart w:id="10" w:name="page11"/>
    <w:bookmarkEnd w:id="10"/>
    <w:p>
      <w:pPr>
        <w:ind w:left="184" w:hanging="184"/>
        <w:spacing w:after="0"/>
        <w:tabs>
          <w:tab w:leader="none" w:pos="184"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PURCHASE RIGHTS; FUNDAMENTAL TRANSACTIONS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40" w:firstLine="419"/>
        <w:spacing w:after="0" w:line="269" w:lineRule="auto"/>
        <w:tabs>
          <w:tab w:leader="none" w:pos="671" w:val="left"/>
        </w:tabs>
        <w:numPr>
          <w:ilvl w:val="1"/>
          <w:numId w:val="10"/>
        </w:numPr>
        <w:rPr>
          <w:rFonts w:ascii="Arial" w:cs="Arial" w:eastAsia="Arial" w:hAnsi="Arial"/>
          <w:sz w:val="17"/>
          <w:szCs w:val="17"/>
          <w:color w:val="auto"/>
        </w:rPr>
      </w:pPr>
      <w:r>
        <w:rPr>
          <w:rFonts w:ascii="Arial" w:cs="Arial" w:eastAsia="Arial" w:hAnsi="Arial"/>
          <w:sz w:val="17"/>
          <w:szCs w:val="17"/>
          <w:u w:val="single" w:color="auto"/>
          <w:color w:val="auto"/>
        </w:rPr>
        <w:t>Purchase Rights</w:t>
      </w:r>
      <w:r>
        <w:rPr>
          <w:rFonts w:ascii="Arial" w:cs="Arial" w:eastAsia="Arial" w:hAnsi="Arial"/>
          <w:sz w:val="17"/>
          <w:szCs w:val="17"/>
          <w:color w:val="auto"/>
        </w:rPr>
        <w:t>. In addition to any adjustments pursuant to Section 2 above, if at any time the Company grants, issues or sells any Options, Convertible Securities or rights to purchase stock, warrants, securities or other property pro rata to all of the record holders of any class of Common Stock (the “</w:t>
      </w:r>
      <w:r>
        <w:rPr>
          <w:rFonts w:ascii="Arial" w:cs="Arial" w:eastAsia="Arial" w:hAnsi="Arial"/>
          <w:sz w:val="17"/>
          <w:szCs w:val="17"/>
          <w:b w:val="1"/>
          <w:bCs w:val="1"/>
          <w:color w:val="auto"/>
        </w:rPr>
        <w:t>Purchase Rights</w:t>
      </w:r>
      <w:r>
        <w:rPr>
          <w:rFonts w:ascii="Arial" w:cs="Arial" w:eastAsia="Arial" w:hAnsi="Arial"/>
          <w:sz w:val="17"/>
          <w:szCs w:val="17"/>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that, to the extent that the Holder’s right to participate in any such Purchase Right would cause the Holder to beneficially own Common Stock in excess of the Maximum Percentage,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Maximum Percentage).</w:t>
      </w:r>
    </w:p>
    <w:p>
      <w:pPr>
        <w:spacing w:after="0" w:line="70" w:lineRule="exact"/>
        <w:rPr>
          <w:rFonts w:ascii="Arial" w:cs="Arial" w:eastAsia="Arial" w:hAnsi="Arial"/>
          <w:sz w:val="17"/>
          <w:szCs w:val="17"/>
          <w:color w:val="auto"/>
        </w:rPr>
      </w:pPr>
    </w:p>
    <w:p>
      <w:pPr>
        <w:ind w:left="4" w:firstLine="419"/>
        <w:spacing w:after="0" w:line="284" w:lineRule="auto"/>
        <w:tabs>
          <w:tab w:leader="none" w:pos="681" w:val="left"/>
        </w:tabs>
        <w:numPr>
          <w:ilvl w:val="1"/>
          <w:numId w:val="10"/>
        </w:numPr>
        <w:rPr>
          <w:rFonts w:ascii="Arial" w:cs="Arial" w:eastAsia="Arial" w:hAnsi="Arial"/>
          <w:sz w:val="16"/>
          <w:szCs w:val="16"/>
          <w:color w:val="auto"/>
        </w:rPr>
      </w:pPr>
      <w:r>
        <w:rPr>
          <w:rFonts w:ascii="Arial" w:cs="Arial" w:eastAsia="Arial" w:hAnsi="Arial"/>
          <w:sz w:val="16"/>
          <w:szCs w:val="16"/>
          <w:u w:val="single" w:color="auto"/>
          <w:color w:val="auto"/>
        </w:rPr>
        <w:t>Fundamental Transactions</w:t>
      </w:r>
      <w:r>
        <w:rPr>
          <w:rFonts w:ascii="Arial" w:cs="Arial" w:eastAsia="Arial" w:hAnsi="Arial"/>
          <w:sz w:val="16"/>
          <w:szCs w:val="16"/>
          <w:color w:val="auto"/>
        </w:rPr>
        <w:t>. If, at any time while this Warrant is outstanding, (i) the Company, directly or indirectly, in one or more related transactions effects any merger or consolidation of the Company with or into another Person, (ii) the Company,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such offer has been accepted by the holders of a majority of the outstanding Common Stock,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or scheme of arrangement) with another Person or group of Persons whereby such other Person or group acquires more than 50% of the shares of Common Stock outstanding prior to such transactions (not including any shares of Common Stock held by the other Person or other Persons making or party to, or associated or affiliated with the other Persons making or party to, such stock or share purchase agreement or other business combination) (each a “</w:t>
      </w:r>
      <w:r>
        <w:rPr>
          <w:rFonts w:ascii="Arial" w:cs="Arial" w:eastAsia="Arial" w:hAnsi="Arial"/>
          <w:sz w:val="16"/>
          <w:szCs w:val="16"/>
          <w:b w:val="1"/>
          <w:bCs w:val="1"/>
          <w:color w:val="auto"/>
        </w:rPr>
        <w:t>Fundamental Transaction</w:t>
      </w:r>
      <w:r>
        <w:rPr>
          <w:rFonts w:ascii="Arial" w:cs="Arial" w:eastAsia="Arial" w:hAnsi="Arial"/>
          <w:sz w:val="16"/>
          <w:szCs w:val="16"/>
          <w:color w:val="auto"/>
        </w:rPr>
        <w:t>”), then, upon any subsequent exercise of this Warrant, the Holder shall have the right to receive, for each Warrant Share that would have been issuable upon such exercise immediately prior to the occurrence of such Fundamental Transaction, the number of shares of common stock or other equity securities of the successor or acquiring corporation or of the Company, if it is the surviving corporation, and any other or additional consideration (the “</w:t>
      </w:r>
      <w:r>
        <w:rPr>
          <w:rFonts w:ascii="Arial" w:cs="Arial" w:eastAsia="Arial" w:hAnsi="Arial"/>
          <w:sz w:val="16"/>
          <w:szCs w:val="16"/>
          <w:b w:val="1"/>
          <w:bCs w:val="1"/>
          <w:color w:val="auto"/>
        </w:rPr>
        <w:t>Alternate</w:t>
      </w:r>
      <w:r>
        <w:rPr>
          <w:rFonts w:ascii="Arial" w:cs="Arial" w:eastAsia="Arial" w:hAnsi="Arial"/>
          <w:sz w:val="16"/>
          <w:szCs w:val="16"/>
          <w:color w:val="auto"/>
        </w:rPr>
        <w:t xml:space="preserve"> </w:t>
      </w:r>
      <w:r>
        <w:rPr>
          <w:rFonts w:ascii="Arial" w:cs="Arial" w:eastAsia="Arial" w:hAnsi="Arial"/>
          <w:sz w:val="16"/>
          <w:szCs w:val="16"/>
          <w:b w:val="1"/>
          <w:bCs w:val="1"/>
          <w:color w:val="auto"/>
        </w:rPr>
        <w:t>Consideration</w:t>
      </w:r>
      <w:r>
        <w:rPr>
          <w:rFonts w:ascii="Arial" w:cs="Arial" w:eastAsia="Arial" w:hAnsi="Arial"/>
          <w:sz w:val="16"/>
          <w:szCs w:val="16"/>
          <w:color w:val="auto"/>
        </w:rPr>
        <w:t>”) receivable as a result of such Fundamental Transaction by a holder of the number of shares of Common Stock for which this</w:t>
      </w:r>
      <w:r>
        <w:rPr>
          <w:rFonts w:ascii="Arial" w:cs="Arial" w:eastAsia="Arial" w:hAnsi="Arial"/>
          <w:sz w:val="16"/>
          <w:szCs w:val="16"/>
          <w:b w:val="1"/>
          <w:bCs w:val="1"/>
          <w:color w:val="auto"/>
        </w:rPr>
        <w:t xml:space="preserve"> </w:t>
      </w:r>
      <w:r>
        <w:rPr>
          <w:rFonts w:ascii="Arial" w:cs="Arial" w:eastAsia="Arial" w:hAnsi="Arial"/>
          <w:sz w:val="16"/>
          <w:szCs w:val="16"/>
          <w:color w:val="auto"/>
        </w:rPr>
        <w:t>Warrant is then exercisable immediately prior to such Fundamental Transaction (without regard to any limitation on the exercise of this Warrant, which shall cease to be applicable at the time of and following the Fundamental Transaction).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w:t>
      </w:r>
    </w:p>
    <w:p>
      <w:pPr>
        <w:spacing w:after="0" w:line="111"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64"/>
          </w:cols>
          <w:pgMar w:left="876" w:top="274" w:right="459" w:bottom="1440" w:gutter="0" w:footer="0" w:header="0"/>
        </w:sectPr>
      </w:pPr>
    </w:p>
    <w:bookmarkStart w:id="11" w:name="page12"/>
    <w:bookmarkEnd w:id="11"/>
    <w:p>
      <w:pPr>
        <w:ind w:left="44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the foregoing, in the event the Alternative Consideration consists solely of cash (a “</w:t>
      </w:r>
      <w:r>
        <w:rPr>
          <w:rFonts w:ascii="Arial" w:cs="Arial" w:eastAsia="Arial" w:hAnsi="Arial"/>
          <w:sz w:val="16"/>
          <w:szCs w:val="16"/>
          <w:b w:val="1"/>
          <w:bCs w:val="1"/>
          <w:color w:val="auto"/>
        </w:rPr>
        <w:t>Fundamental Cash Transaction</w:t>
      </w:r>
      <w:r>
        <w:rPr>
          <w:rFonts w:ascii="Arial" w:cs="Arial" w:eastAsia="Arial" w:hAnsi="Arial"/>
          <w:sz w:val="16"/>
          <w:szCs w:val="16"/>
          <w:color w:val="auto"/>
        </w:rPr>
        <w:t>”), then this Warrant (to the extent not previously exercised) shall automatically be exercised pursuant to Section 1(d) hereof, without any action by Holder and without regard to any ownership limitation set forth herein immediately prior to the consummation of such Fundamental Cash Transaction, and in such event Holder shall not be required to pay the exercise price for the shares of Common Stock and shall receive the cash consideration in an amount equal to the per share consideration payable in respect of the Common Stock, multiplied by the number of Warrant Shares upon consummation, less the aggregate exercise price for the shares of Common Stock for which this Warrant has been automatically exercised. The Company shall provide the Holder with written notice of the Fundamental Cash Transaction (together with such reasonable information as the Holder may request in connection with such contemplated Acquisition giving rise to such notice), which is to be delivered to Holder not less than ten (10) days prior to the closing of the proposed Fundamental Cash Transaction. To the extent necessary to effectuate the foregoing provisions, any successor to the Company or surviving entity in such Fundamental Transaction shall issue to the Holder a new warrant consistent with the foregoing provisions and evidencing the Holder’s right to exercise such warrant for the Alternate Consideration. The terms of any agreement pursuant to which a Fundamental Transaction is effected shall include terms requiring any such successor or surviving entity to comply with the provisions of this Section 4(b) and insuring that this Warrant (or any such replacement security) will be similarly adjusted upon any subsequent transaction analogous to a Fundamental Transaction.</w:t>
      </w:r>
    </w:p>
    <w:p>
      <w:pPr>
        <w:spacing w:after="0" w:line="68" w:lineRule="exact"/>
        <w:rPr>
          <w:sz w:val="20"/>
          <w:szCs w:val="20"/>
          <w:color w:val="auto"/>
        </w:rPr>
      </w:pPr>
    </w:p>
    <w:p>
      <w:pPr>
        <w:ind w:right="20" w:firstLine="436"/>
        <w:spacing w:after="0" w:line="288" w:lineRule="auto"/>
        <w:tabs>
          <w:tab w:leader="none" w:pos="620"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NONCIRCUMVENTION</w:t>
      </w:r>
      <w:r>
        <w:rPr>
          <w:rFonts w:ascii="Arial" w:cs="Arial" w:eastAsia="Arial" w:hAnsi="Arial"/>
          <w:sz w:val="16"/>
          <w:szCs w:val="16"/>
          <w:color w:val="auto"/>
        </w:rPr>
        <w:t>. The Company hereby covenants and agrees that the Company will not, by amendment of its certificate of incorporation or by-laws, or through any reorganization, transfer of assets, consolidation, merger, scheme, arrangement, dissolution, issuance or sale of securities, or any other voluntary action, avoid or seek to avoid the observance or performance of any of the terms of this Warrant, and will at all times in good faith carry out all of the provisions of this Warrant and take all commercially reasonable actions as may be required to protect the rights of the Holder. Without limiting the generality of the foregoing, the Company (i) shall not increase the par value of any shares of Common Stock receivable upon the exercise of this Warrant above the Exercise Price then in effect, (ii) shall take all such actions as may be necessary or appropriate in order that the Company may validly and legally issue fully paid and nonassessable shares of Common Stock upon the exercise of this Warrant, and (iii) shall, so long as any of the Warrants are outstanding, take all commercially reasonable actions necessary to reserve and keep available out of its authorized and unissued shares of Common Stock, solely for the purpose of effecting the exercise of the Warrants, the number of shares of Common Stock as shall from time to time be necessary to effect the exercise of the Warrants then outstanding (without regard to any limitations on exercise).</w:t>
      </w:r>
    </w:p>
    <w:p>
      <w:pPr>
        <w:spacing w:after="0" w:line="60" w:lineRule="exact"/>
        <w:rPr>
          <w:rFonts w:ascii="Arial" w:cs="Arial" w:eastAsia="Arial" w:hAnsi="Arial"/>
          <w:sz w:val="16"/>
          <w:szCs w:val="16"/>
          <w:color w:val="auto"/>
        </w:rPr>
      </w:pPr>
    </w:p>
    <w:p>
      <w:pPr>
        <w:ind w:right="140" w:firstLine="436"/>
        <w:spacing w:after="0" w:line="270" w:lineRule="auto"/>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WARRANT HOLDER NOT DEEMED A STOCKHOLDER</w:t>
      </w:r>
      <w:r>
        <w:rPr>
          <w:rFonts w:ascii="Arial" w:cs="Arial" w:eastAsia="Arial" w:hAnsi="Arial"/>
          <w:sz w:val="17"/>
          <w:szCs w:val="17"/>
          <w:color w:val="auto"/>
        </w:rPr>
        <w:t>. Except as otherwise specifically provided herein, the Holder, solely in such Person’s capacity as a holder of this Warrant, shall not be entitled to vote or receive dividends or be deemed the holder of capital stock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12" w:name="page13"/>
    <w:bookmarkEnd w:id="12"/>
    <w:p>
      <w:pPr>
        <w:ind w:left="184" w:hanging="184"/>
        <w:spacing w:after="0"/>
        <w:tabs>
          <w:tab w:leader="none" w:pos="184"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LEGENDS</w:t>
      </w:r>
    </w:p>
    <w:p>
      <w:pPr>
        <w:spacing w:after="0" w:line="117" w:lineRule="exact"/>
        <w:rPr>
          <w:rFonts w:ascii="Arial" w:cs="Arial" w:eastAsia="Arial" w:hAnsi="Arial"/>
          <w:sz w:val="18"/>
          <w:szCs w:val="18"/>
          <w:color w:val="auto"/>
        </w:rPr>
      </w:pPr>
    </w:p>
    <w:p>
      <w:pPr>
        <w:ind w:left="4" w:right="160" w:firstLine="419"/>
        <w:spacing w:after="0" w:line="263" w:lineRule="auto"/>
        <w:tabs>
          <w:tab w:leader="none" w:pos="671" w:val="left"/>
        </w:tabs>
        <w:numPr>
          <w:ilvl w:val="1"/>
          <w:numId w:val="12"/>
        </w:numPr>
        <w:rPr>
          <w:rFonts w:ascii="Arial" w:cs="Arial" w:eastAsia="Arial" w:hAnsi="Arial"/>
          <w:sz w:val="18"/>
          <w:szCs w:val="18"/>
          <w:color w:val="auto"/>
        </w:rPr>
      </w:pPr>
      <w:r>
        <w:rPr>
          <w:rFonts w:ascii="Arial" w:cs="Arial" w:eastAsia="Arial" w:hAnsi="Arial"/>
          <w:sz w:val="18"/>
          <w:szCs w:val="18"/>
          <w:u w:val="single" w:color="auto"/>
          <w:color w:val="auto"/>
        </w:rPr>
        <w:t>Restrictive Legend</w:t>
      </w:r>
      <w:r>
        <w:rPr>
          <w:rFonts w:ascii="Arial" w:cs="Arial" w:eastAsia="Arial" w:hAnsi="Arial"/>
          <w:sz w:val="18"/>
          <w:szCs w:val="18"/>
          <w:color w:val="auto"/>
        </w:rPr>
        <w:t>. The Holder understands that, except as otherwise specified pursuant to Section 7(b), this Warrant and the Warrant Shares, as applicable, may bear a restrictive legend in substantially the following form (but no other legend) (and a stop-transfer order consistent therewith may be placed against transfer of the certificates for such securities):</w:t>
      </w:r>
    </w:p>
    <w:p>
      <w:pPr>
        <w:spacing w:after="0" w:line="76" w:lineRule="exact"/>
        <w:rPr>
          <w:sz w:val="20"/>
          <w:szCs w:val="20"/>
          <w:color w:val="auto"/>
        </w:rPr>
      </w:pPr>
    </w:p>
    <w:p>
      <w:pPr>
        <w:ind w:left="4" w:right="20"/>
        <w:spacing w:after="0" w:line="271" w:lineRule="auto"/>
        <w:rPr>
          <w:sz w:val="20"/>
          <w:szCs w:val="20"/>
          <w:color w:val="auto"/>
        </w:rPr>
      </w:pPr>
      <w:r>
        <w:rPr>
          <w:rFonts w:ascii="Arial" w:cs="Arial" w:eastAsia="Arial" w:hAnsi="Arial"/>
          <w:sz w:val="17"/>
          <w:szCs w:val="17"/>
          <w:color w:val="auto"/>
        </w:rPr>
        <w:t>THIS WARRANT AND THE SECURITIES ISSUABLE UPON THE EXERCISE HEREOF HAVE NOT BEEN REGISTERED UNDER THE SECURITIES ACT OF 1933, AS AMENDED, OR THE SECURITIES LAWS OF ANY STATE OF THE UNITED STATES. THE SECURITIES MAY NOT BE SOLD, OFFERED FOR SALE, PLEDGED (OTHER THAN IN THE ORDINARY COURSE OF BUSINESS AS PART OF MARGIN OR PRIME BROKERAGE ARRANGEMENTS), HYPOTHECATED, TRANSFERRED OR ASSIGNED IN THE ABSENCE OF AN EFFECTIVE REGISTRATION STATEMENT FOR THE SECURITIES UNDER APPLICABLE SECURITIES LAWS, UNLESS OFFERED, SOLD, PLEDGED, HYPOTHECATED OR TRANSFERRED PURSUANT TO AN AVAILABLE EXEMPTION FROM THE REGISTRATION REQUIREMENTS OF THOSE LAWS. THE COMPANY SHALL BE ENTITLED TO REQUIRE AN OPINION OF COUNSEL SATISFACTORY TO THE COMPANY THAT SUCH REGISTRATION IS NOT REQUIRED.</w:t>
      </w:r>
    </w:p>
    <w:p>
      <w:pPr>
        <w:spacing w:after="0" w:line="70" w:lineRule="exact"/>
        <w:rPr>
          <w:sz w:val="20"/>
          <w:szCs w:val="20"/>
          <w:color w:val="auto"/>
        </w:rPr>
      </w:pPr>
    </w:p>
    <w:p>
      <w:pPr>
        <w:ind w:left="4" w:right="20" w:firstLine="419"/>
        <w:spacing w:after="0" w:line="284" w:lineRule="auto"/>
        <w:tabs>
          <w:tab w:leader="none" w:pos="681" w:val="left"/>
        </w:tabs>
        <w:numPr>
          <w:ilvl w:val="1"/>
          <w:numId w:val="13"/>
        </w:numPr>
        <w:rPr>
          <w:rFonts w:ascii="Arial" w:cs="Arial" w:eastAsia="Arial" w:hAnsi="Arial"/>
          <w:sz w:val="16"/>
          <w:szCs w:val="16"/>
          <w:color w:val="auto"/>
        </w:rPr>
      </w:pPr>
      <w:r>
        <w:rPr>
          <w:rFonts w:ascii="Arial" w:cs="Arial" w:eastAsia="Arial" w:hAnsi="Arial"/>
          <w:sz w:val="16"/>
          <w:szCs w:val="16"/>
          <w:u w:val="single" w:color="auto"/>
          <w:color w:val="auto"/>
        </w:rPr>
        <w:t>Removal of Restrictive Legend</w:t>
      </w:r>
      <w:r>
        <w:rPr>
          <w:rFonts w:ascii="Arial" w:cs="Arial" w:eastAsia="Arial" w:hAnsi="Arial"/>
          <w:sz w:val="16"/>
          <w:szCs w:val="16"/>
          <w:color w:val="auto"/>
        </w:rPr>
        <w:t>. This Warrant, and the certificates evidencing the Warrant Shares, as applicable, shall not contain or be subject to (and the Holder shall be entitled to removal of) any legend (or stop transfer or similar instruction) restricting the transfer thereof (including the legend set forth above in subsection 7(a): (A) while a registration statement covering the sale or resale of such security is effective under the 1933 Act, or (B) if the Holder provides customary certifications to the effect that it has sold such Warrant and/or Warrant Shares pursuant to Rule 144 under the 1933 Act, or (C) if such Warrant or Warrant Shares, as the case may be, are eligible for sale under Rule 144(b)(1) as set forth in customary non-affiliate certifications provided by the Holder, or (D) if at any time on or after hereof that the Holder certifies that it is not an Affiliate of the Company, and has not been an Affiliate for the preceding three months, and that the Holder’s holding period for purposes of Rule 144 (and, in the case of the Warrant Shares, subsection (d)(3)(ii) thereof) with respect to such Warrant and/or Warrant Shares is at least six</w:t>
      </w:r>
    </w:p>
    <w:p>
      <w:pPr>
        <w:ind w:left="4" w:hanging="4"/>
        <w:spacing w:after="0" w:line="284" w:lineRule="auto"/>
        <w:tabs>
          <w:tab w:leader="none" w:pos="258" w:val="left"/>
        </w:tabs>
        <w:numPr>
          <w:ilvl w:val="0"/>
          <w:numId w:val="14"/>
        </w:numPr>
        <w:rPr>
          <w:rFonts w:ascii="Arial" w:cs="Arial" w:eastAsia="Arial" w:hAnsi="Arial"/>
          <w:sz w:val="16"/>
          <w:szCs w:val="16"/>
          <w:color w:val="auto"/>
        </w:rPr>
      </w:pPr>
      <w:r>
        <w:rPr>
          <w:rFonts w:ascii="Arial" w:cs="Arial" w:eastAsia="Arial" w:hAnsi="Arial"/>
          <w:sz w:val="16"/>
          <w:szCs w:val="16"/>
          <w:color w:val="auto"/>
        </w:rPr>
        <w:t>months, or (E) if such legend is not required under applicable requirements of the 1933 Act (including judicial interpretations and pronouncements issued by the staff of the SEC) as determined in good faith by counsel to the Company or set forth in a legal opinion delivered by nationally recognized counsel to the Holder (collectively, the “</w:t>
      </w:r>
      <w:r>
        <w:rPr>
          <w:rFonts w:ascii="Arial" w:cs="Arial" w:eastAsia="Arial" w:hAnsi="Arial"/>
          <w:sz w:val="16"/>
          <w:szCs w:val="16"/>
          <w:b w:val="1"/>
          <w:bCs w:val="1"/>
          <w:color w:val="auto"/>
        </w:rPr>
        <w:t>Unrestricted Conditions</w:t>
      </w:r>
      <w:r>
        <w:rPr>
          <w:rFonts w:ascii="Arial" w:cs="Arial" w:eastAsia="Arial" w:hAnsi="Arial"/>
          <w:sz w:val="16"/>
          <w:szCs w:val="16"/>
          <w:color w:val="auto"/>
        </w:rPr>
        <w:t>”). Notwithstanding anything to the contrary contained herein, the Holder shall be deemed to have certified that it is not an Affiliate of the Company upon each delivery of an Exercise Notice, unless the Holder otherwise advises the Company in writing. The Company shall cause its counsel to issue a legal opinion to the Transfer Agent promptly after the effective date of the first registration statement covering the resale of the Warrant Shares (the “</w:t>
      </w:r>
      <w:r>
        <w:rPr>
          <w:rFonts w:ascii="Arial" w:cs="Arial" w:eastAsia="Arial" w:hAnsi="Arial"/>
          <w:sz w:val="16"/>
          <w:szCs w:val="16"/>
          <w:b w:val="1"/>
          <w:bCs w:val="1"/>
          <w:color w:val="auto"/>
        </w:rPr>
        <w:t>Effective Date</w:t>
      </w:r>
      <w:r>
        <w:rPr>
          <w:rFonts w:ascii="Arial" w:cs="Arial" w:eastAsia="Arial" w:hAnsi="Arial"/>
          <w:sz w:val="16"/>
          <w:szCs w:val="16"/>
          <w:color w:val="auto"/>
        </w:rPr>
        <w:t>”), or at such other time as any of the Unrestricted Conditions has been satisfied, if required by the Company’s Transfer Agent to effect the issuance of this Warrant or the Warrant Shares, as applicable, without a restrictive legend or removal of the legend hereunder. If any of the Unrestricted Conditions is met at the time of issuance of any of the Warrant Shares, then such Warrant Shares shall be issued free of all legends. The Company agrees that following the Effective Date or at such time as any of the Unrestricted Conditions is met or such legend is otherwise no longer required under this Section 7(b), it will, no later than two (2) Trading Days (or, if less, the number of days comprising the Standard Settlement Period) following the delivery by the Holder to the Company or the Transfer Agent of this Warrant or a certificate representing Warrant Shares, as applicable, issued with a restrictive legend, deliver or cause to be delivered to such Holder this Warrant and/or a certificate (or electronic transfer) representing such shares that is free from all restrictive and other legends (and, if requested by the Holder, the Company shall cause the Transfer Agent to electronically transmit such shares of Common Stock to the Holder by crediting the account of the Holder or its designee with DTC through its DWAC system). The Warrant Shares will be free-trading, and freely transferable, and will not contain a legend (or be subject to stop transfer or similar instructions) restricting the resale or transferability thereof if any of the Unrestricted Conditions (as defined below) is met.</w:t>
      </w:r>
    </w:p>
    <w:p>
      <w:pPr>
        <w:spacing w:after="0" w:line="105"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564"/>
          </w:cols>
          <w:pgMar w:left="876" w:top="274" w:right="459" w:bottom="1440" w:gutter="0" w:footer="0" w:header="0"/>
        </w:sectPr>
      </w:pPr>
    </w:p>
    <w:bookmarkStart w:id="13" w:name="page14"/>
    <w:bookmarkEnd w:id="13"/>
    <w:p>
      <w:pPr>
        <w:ind w:left="624" w:hanging="184"/>
        <w:spacing w:after="0"/>
        <w:tabs>
          <w:tab w:leader="none" w:pos="624" w:val="left"/>
        </w:tabs>
        <w:numPr>
          <w:ilvl w:val="1"/>
          <w:numId w:val="1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REISSUANCE OF WARRANTS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4" w:right="100" w:firstLine="419"/>
        <w:spacing w:after="0" w:line="290" w:lineRule="auto"/>
        <w:tabs>
          <w:tab w:leader="none" w:pos="1111" w:val="left"/>
        </w:tabs>
        <w:numPr>
          <w:ilvl w:val="2"/>
          <w:numId w:val="15"/>
        </w:numPr>
        <w:rPr>
          <w:rFonts w:ascii="Arial" w:cs="Arial" w:eastAsia="Arial" w:hAnsi="Arial"/>
          <w:sz w:val="16"/>
          <w:szCs w:val="16"/>
          <w:color w:val="auto"/>
        </w:rPr>
      </w:pPr>
      <w:r>
        <w:rPr>
          <w:rFonts w:ascii="Arial" w:cs="Arial" w:eastAsia="Arial" w:hAnsi="Arial"/>
          <w:sz w:val="16"/>
          <w:szCs w:val="16"/>
          <w:u w:val="single" w:color="auto"/>
          <w:color w:val="auto"/>
        </w:rPr>
        <w:t>Transfer of Warrant</w:t>
      </w:r>
      <w:r>
        <w:rPr>
          <w:rFonts w:ascii="Arial" w:cs="Arial" w:eastAsia="Arial" w:hAnsi="Arial"/>
          <w:sz w:val="16"/>
          <w:szCs w:val="16"/>
          <w:color w:val="auto"/>
        </w:rPr>
        <w:t>. If this Warrant is to be transferred, the Holder shall surrender (if required) this Warrant to the Company, together with a duly executed instrument of assignment, whereupon the Company will forthwith issue and deliver upon the order of the Holder a new Warrant (in accordance with Section 8(d)), registered as the Holder may request, representing the right to purchase the number of Warrant Shares being transferred by the Holder and, if less than the total number of Warrant Shares then underlying this Warrant is being transferred, a new Warrant (in accordance with Section 8(d)) to the Holder representing the right to purchase the number of Warrant Shares not being transferred.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w:t>
      </w:r>
    </w:p>
    <w:p>
      <w:pPr>
        <w:spacing w:after="0" w:line="57" w:lineRule="exact"/>
        <w:rPr>
          <w:rFonts w:ascii="Arial" w:cs="Arial" w:eastAsia="Arial" w:hAnsi="Arial"/>
          <w:sz w:val="16"/>
          <w:szCs w:val="16"/>
          <w:color w:val="auto"/>
        </w:rPr>
      </w:pPr>
    </w:p>
    <w:p>
      <w:pPr>
        <w:ind w:left="444" w:firstLine="419"/>
        <w:spacing w:after="0" w:line="257" w:lineRule="auto"/>
        <w:tabs>
          <w:tab w:leader="none" w:pos="1122" w:val="left"/>
        </w:tabs>
        <w:numPr>
          <w:ilvl w:val="2"/>
          <w:numId w:val="15"/>
        </w:numPr>
        <w:rPr>
          <w:rFonts w:ascii="Arial" w:cs="Arial" w:eastAsia="Arial" w:hAnsi="Arial"/>
          <w:sz w:val="18"/>
          <w:szCs w:val="18"/>
          <w:color w:val="auto"/>
        </w:rPr>
      </w:pPr>
      <w:r>
        <w:rPr>
          <w:rFonts w:ascii="Arial" w:cs="Arial" w:eastAsia="Arial" w:hAnsi="Arial"/>
          <w:sz w:val="18"/>
          <w:szCs w:val="18"/>
          <w:u w:val="single" w:color="auto"/>
          <w:color w:val="auto"/>
        </w:rPr>
        <w:t>Lost, Stolen or Mutilated Warrant</w:t>
      </w:r>
      <w:r>
        <w:rPr>
          <w:rFonts w:ascii="Arial" w:cs="Arial" w:eastAsia="Arial" w:hAnsi="Arial"/>
          <w:sz w:val="18"/>
          <w:szCs w:val="18"/>
          <w:color w:val="auto"/>
        </w:rPr>
        <w:t>. Upon receipt by the Company of evidence reasonably satisfactory to the Company of the loss, theft or destruction of this Warrant, accompanied by an affidavit in customary form as to such loss, theft or destruction (including an indemnification undertaking by the Holder to the Company in customary form and such other provisions reasonably satisfactory to the Company), the Company shall execute and deliver to the Holder a new Warrant (in accordance with Section 8(d)) representing the right to purchase the Warrant Shares then underlying this Warrant.</w:t>
      </w:r>
    </w:p>
    <w:p>
      <w:pPr>
        <w:spacing w:after="0" w:line="79" w:lineRule="exact"/>
        <w:rPr>
          <w:rFonts w:ascii="Arial" w:cs="Arial" w:eastAsia="Arial" w:hAnsi="Arial"/>
          <w:sz w:val="18"/>
          <w:szCs w:val="18"/>
          <w:color w:val="auto"/>
        </w:rPr>
      </w:pPr>
    </w:p>
    <w:p>
      <w:pPr>
        <w:ind w:left="444" w:right="20" w:firstLine="419"/>
        <w:spacing w:after="0" w:line="259" w:lineRule="auto"/>
        <w:tabs>
          <w:tab w:leader="none" w:pos="1111" w:val="left"/>
        </w:tabs>
        <w:numPr>
          <w:ilvl w:val="2"/>
          <w:numId w:val="15"/>
        </w:numPr>
        <w:rPr>
          <w:rFonts w:ascii="Arial" w:cs="Arial" w:eastAsia="Arial" w:hAnsi="Arial"/>
          <w:sz w:val="18"/>
          <w:szCs w:val="18"/>
          <w:color w:val="auto"/>
        </w:rPr>
      </w:pPr>
      <w:r>
        <w:rPr>
          <w:rFonts w:ascii="Arial" w:cs="Arial" w:eastAsia="Arial" w:hAnsi="Arial"/>
          <w:sz w:val="18"/>
          <w:szCs w:val="18"/>
          <w:u w:val="single" w:color="auto"/>
          <w:color w:val="auto"/>
        </w:rPr>
        <w:t>Exchangeable for Multiple Warrants</w:t>
      </w:r>
      <w:r>
        <w:rPr>
          <w:rFonts w:ascii="Arial" w:cs="Arial" w:eastAsia="Arial" w:hAnsi="Arial"/>
          <w:sz w:val="18"/>
          <w:szCs w:val="18"/>
          <w:color w:val="auto"/>
        </w:rPr>
        <w:t>. This Warrant is exchangeable, upon the surrender hereof by the Holder at the principal office of the Company, for a new Warrant or Warrants (in accordance with Section 8(d)) representing in the aggregate the right to purchase the number of Warrant Shares then underlying this Warrant, and each such new Warrant will represent the right to purchase such portion of such Warrant Shares as is designated by the Holder at the time of such surrender.</w:t>
      </w:r>
    </w:p>
    <w:p>
      <w:pPr>
        <w:spacing w:after="0" w:line="78" w:lineRule="exact"/>
        <w:rPr>
          <w:rFonts w:ascii="Arial" w:cs="Arial" w:eastAsia="Arial" w:hAnsi="Arial"/>
          <w:sz w:val="18"/>
          <w:szCs w:val="18"/>
          <w:color w:val="auto"/>
        </w:rPr>
      </w:pPr>
    </w:p>
    <w:p>
      <w:pPr>
        <w:ind w:left="444" w:right="180" w:firstLine="419"/>
        <w:spacing w:after="0" w:line="254" w:lineRule="auto"/>
        <w:tabs>
          <w:tab w:leader="none" w:pos="1122" w:val="left"/>
        </w:tabs>
        <w:numPr>
          <w:ilvl w:val="2"/>
          <w:numId w:val="15"/>
        </w:numPr>
        <w:rPr>
          <w:rFonts w:ascii="Arial" w:cs="Arial" w:eastAsia="Arial" w:hAnsi="Arial"/>
          <w:sz w:val="18"/>
          <w:szCs w:val="18"/>
          <w:color w:val="auto"/>
        </w:rPr>
      </w:pPr>
      <w:r>
        <w:rPr>
          <w:rFonts w:ascii="Arial" w:cs="Arial" w:eastAsia="Arial" w:hAnsi="Arial"/>
          <w:sz w:val="18"/>
          <w:szCs w:val="18"/>
          <w:u w:val="single" w:color="auto"/>
          <w:color w:val="auto"/>
        </w:rPr>
        <w:t>Issuance of New Warrants</w:t>
      </w:r>
      <w:r>
        <w:rPr>
          <w:rFonts w:ascii="Arial" w:cs="Arial" w:eastAsia="Arial" w:hAnsi="Arial"/>
          <w:sz w:val="18"/>
          <w:szCs w:val="18"/>
          <w:color w:val="auto"/>
        </w:rPr>
        <w:t>. Whenever the Company is required to issue a new Warrant pursuant to the terms of this Warrant, such new Warrant (i) shall be of like tenor with this Warrant, (ii) shall represent, as indicated on the face of such new Warrant, the right to purchase the Warrant Shares then underlying this Warrant (or in the case of a new Warrant being issued pursuant to Section 8(a) or Section 8(c),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spacing w:after="0" w:line="86" w:lineRule="exact"/>
        <w:rPr>
          <w:rFonts w:ascii="Arial" w:cs="Arial" w:eastAsia="Arial" w:hAnsi="Arial"/>
          <w:sz w:val="18"/>
          <w:szCs w:val="18"/>
          <w:color w:val="auto"/>
        </w:rPr>
      </w:pPr>
    </w:p>
    <w:p>
      <w:pPr>
        <w:ind w:left="4" w:right="300" w:firstLine="436"/>
        <w:spacing w:after="0" w:line="285" w:lineRule="auto"/>
        <w:tabs>
          <w:tab w:leader="none" w:pos="624" w:val="left"/>
        </w:tabs>
        <w:numPr>
          <w:ilvl w:val="1"/>
          <w:numId w:val="15"/>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Whenever notice is required to be given under this Warrant, including, without limitation, an Exercise Notice, unless otherwise provided herein, such notice shall be given in writing, (i) if delivered (a) from within the domestic United States, by first-class registered or certified airmail, or nationally recognized overnight express courier, postage prepaid, electronic mail or by facsimile or (b) from outside the United States, by International Federal Express, electronic mail or facsimile, and (ii) will be deemed given (A) if delivered by first-class registered or certified mail domestic, three (3) Business Days after so mailed, (B) if delivered by nationally recognized overnight carrier, one (1) Business Day after so mailed,</w:t>
      </w:r>
    </w:p>
    <w:p>
      <w:pPr>
        <w:spacing w:after="0" w:line="1" w:lineRule="exact"/>
        <w:rPr>
          <w:rFonts w:ascii="Arial" w:cs="Arial" w:eastAsia="Arial" w:hAnsi="Arial"/>
          <w:sz w:val="16"/>
          <w:szCs w:val="16"/>
          <w:color w:val="auto"/>
        </w:rPr>
      </w:pPr>
    </w:p>
    <w:p>
      <w:pPr>
        <w:jc w:val="both"/>
        <w:ind w:left="4" w:right="100" w:hanging="4"/>
        <w:spacing w:after="0" w:line="255" w:lineRule="auto"/>
        <w:tabs>
          <w:tab w:leader="none" w:pos="289"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delivered by International Federal Express, two (2) Business Days after so mailed, (D) at the time of transmission, if delivered by electronic mail to the email address specified in this Section 9 prior to 5:00 p.m. (New York time) on a Trading Day, (and (F) if delivered by facsimile, upon electronic confirmation of delivery of such facsimile, and will be delivered and addressed as follows:</w:t>
      </w:r>
    </w:p>
    <w:p>
      <w:pPr>
        <w:spacing w:after="0" w:line="82" w:lineRule="exact"/>
        <w:rPr>
          <w:sz w:val="20"/>
          <w:szCs w:val="20"/>
          <w:color w:val="auto"/>
        </w:rPr>
      </w:pPr>
    </w:p>
    <w:p>
      <w:pPr>
        <w:ind w:left="984"/>
        <w:spacing w:after="0"/>
        <w:rPr>
          <w:sz w:val="20"/>
          <w:szCs w:val="20"/>
          <w:color w:val="auto"/>
        </w:rPr>
      </w:pPr>
      <w:r>
        <w:rPr>
          <w:rFonts w:ascii="Arial" w:cs="Arial" w:eastAsia="Arial" w:hAnsi="Arial"/>
          <w:sz w:val="18"/>
          <w:szCs w:val="18"/>
          <w:color w:val="auto"/>
        </w:rPr>
        <w:t>If to the Company:</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Larimar Therapeutics, Inc.</w:t>
      </w:r>
    </w:p>
    <w:p>
      <w:pPr>
        <w:spacing w:after="0" w:line="23" w:lineRule="exact"/>
        <w:rPr>
          <w:sz w:val="20"/>
          <w:szCs w:val="20"/>
          <w:color w:val="auto"/>
        </w:rPr>
      </w:pPr>
    </w:p>
    <w:p>
      <w:pPr>
        <w:ind w:left="984"/>
        <w:spacing w:after="0"/>
        <w:rPr>
          <w:sz w:val="20"/>
          <w:szCs w:val="20"/>
          <w:color w:val="auto"/>
        </w:rPr>
      </w:pPr>
      <w:r>
        <w:rPr>
          <w:rFonts w:ascii="Arial" w:cs="Arial" w:eastAsia="Arial" w:hAnsi="Arial"/>
          <w:sz w:val="18"/>
          <w:szCs w:val="18"/>
          <w:color w:val="auto"/>
        </w:rPr>
        <w:t>Three Bala Plaza East, Suite 506,</w:t>
      </w:r>
    </w:p>
    <w:p>
      <w:pPr>
        <w:spacing w:after="0" w:line="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Bala Cynwyd, PA 19004</w:t>
      </w:r>
    </w:p>
    <w:p>
      <w:pPr>
        <w:spacing w:after="0" w:line="14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4"/>
          </w:cols>
          <w:pgMar w:left="436" w:top="274" w:right="479" w:bottom="1440" w:gutter="0" w:footer="0" w:header="0"/>
        </w:sectPr>
      </w:pPr>
    </w:p>
    <w:bookmarkStart w:id="14" w:name="page15"/>
    <w:bookmarkEnd w:id="14"/>
    <w:p>
      <w:pPr>
        <w:ind w:left="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Attention: Dr. Carole Ben-Maimon, M.D.</w:t>
      </w:r>
    </w:p>
    <w:p>
      <w:pPr>
        <w:spacing w:after="0" w:line="23" w:lineRule="exact"/>
        <w:rPr>
          <w:sz w:val="20"/>
          <w:szCs w:val="20"/>
          <w:color w:val="auto"/>
        </w:rPr>
      </w:pPr>
    </w:p>
    <w:p>
      <w:pPr>
        <w:ind w:left="984"/>
        <w:spacing w:after="0"/>
        <w:rPr>
          <w:sz w:val="20"/>
          <w:szCs w:val="20"/>
          <w:color w:val="auto"/>
        </w:rPr>
      </w:pPr>
      <w:r>
        <w:rPr>
          <w:rFonts w:ascii="Arial" w:cs="Arial" w:eastAsia="Arial" w:hAnsi="Arial"/>
          <w:sz w:val="18"/>
          <w:szCs w:val="18"/>
          <w:color w:val="auto"/>
        </w:rPr>
        <w:t>Email: cbenmaimon@larimartx.com</w:t>
      </w:r>
    </w:p>
    <w:p>
      <w:pPr>
        <w:spacing w:after="0" w:line="103"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With copy (which shall not constitute notice) to:</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Troutman Pepper Hamilton Sanders LLP</w:t>
      </w:r>
    </w:p>
    <w:p>
      <w:pPr>
        <w:spacing w:after="0" w:line="23" w:lineRule="exact"/>
        <w:rPr>
          <w:sz w:val="20"/>
          <w:szCs w:val="20"/>
          <w:color w:val="auto"/>
        </w:rPr>
      </w:pPr>
    </w:p>
    <w:p>
      <w:pPr>
        <w:ind w:left="984"/>
        <w:spacing w:after="0"/>
        <w:rPr>
          <w:sz w:val="20"/>
          <w:szCs w:val="20"/>
          <w:color w:val="auto"/>
        </w:rPr>
      </w:pPr>
      <w:r>
        <w:rPr>
          <w:rFonts w:ascii="Arial" w:cs="Arial" w:eastAsia="Arial" w:hAnsi="Arial"/>
          <w:sz w:val="18"/>
          <w:szCs w:val="18"/>
          <w:color w:val="auto"/>
        </w:rPr>
        <w:t>3000 Two Logan Square</w:t>
      </w:r>
    </w:p>
    <w:p>
      <w:pPr>
        <w:spacing w:after="0" w:line="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Philadelphia, PA 19103-2799</w:t>
      </w:r>
    </w:p>
    <w:p>
      <w:pPr>
        <w:spacing w:after="0" w:line="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Attention: Rachael M. Bushey and Jennifer Porter</w:t>
      </w:r>
    </w:p>
    <w:p>
      <w:pPr>
        <w:spacing w:after="0" w:line="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Email: Rachael.Bushey@troutman.com; Jennifer.Porter@troutman.com</w:t>
      </w:r>
    </w:p>
    <w:p>
      <w:pPr>
        <w:spacing w:after="0" w:line="211" w:lineRule="exact"/>
        <w:rPr>
          <w:sz w:val="20"/>
          <w:szCs w:val="20"/>
          <w:color w:val="auto"/>
        </w:rPr>
      </w:pPr>
    </w:p>
    <w:p>
      <w:pPr>
        <w:ind w:left="4" w:right="360"/>
        <w:spacing w:after="0" w:line="277" w:lineRule="auto"/>
        <w:rPr>
          <w:sz w:val="20"/>
          <w:szCs w:val="20"/>
          <w:color w:val="auto"/>
        </w:rPr>
      </w:pPr>
      <w:r>
        <w:rPr>
          <w:rFonts w:ascii="Arial" w:cs="Arial" w:eastAsia="Arial" w:hAnsi="Arial"/>
          <w:sz w:val="18"/>
          <w:szCs w:val="18"/>
          <w:color w:val="auto"/>
        </w:rPr>
        <w:t>If to the Holder, at such address or other contact information delivered by the Holder to Company or as is on the books and records of the Company (with copies to the persons and at the address as the Holder shall designate).</w:t>
      </w:r>
    </w:p>
    <w:p>
      <w:pPr>
        <w:spacing w:after="0" w:line="62" w:lineRule="exact"/>
        <w:rPr>
          <w:sz w:val="20"/>
          <w:szCs w:val="20"/>
          <w:color w:val="auto"/>
        </w:rPr>
      </w:pPr>
    </w:p>
    <w:p>
      <w:pPr>
        <w:ind w:left="4" w:right="60" w:firstLine="436"/>
        <w:spacing w:after="0" w:line="263" w:lineRule="auto"/>
        <w:tabs>
          <w:tab w:leader="none" w:pos="714" w:val="left"/>
        </w:tabs>
        <w:numPr>
          <w:ilvl w:val="1"/>
          <w:numId w:val="17"/>
        </w:numPr>
        <w:rPr>
          <w:rFonts w:ascii="Arial" w:cs="Arial" w:eastAsia="Arial" w:hAnsi="Arial"/>
          <w:sz w:val="18"/>
          <w:szCs w:val="18"/>
          <w:color w:val="auto"/>
        </w:rPr>
      </w:pPr>
      <w:r>
        <w:rPr>
          <w:rFonts w:ascii="Arial" w:cs="Arial" w:eastAsia="Arial" w:hAnsi="Arial"/>
          <w:sz w:val="18"/>
          <w:szCs w:val="18"/>
          <w:u w:val="single" w:color="auto"/>
          <w:color w:val="auto"/>
        </w:rPr>
        <w:t>AMENDMENT AND WAIVER</w:t>
      </w:r>
      <w:r>
        <w:rPr>
          <w:rFonts w:ascii="Arial" w:cs="Arial" w:eastAsia="Arial" w:hAnsi="Arial"/>
          <w:sz w:val="18"/>
          <w:szCs w:val="18"/>
          <w:color w:val="auto"/>
        </w:rPr>
        <w:t>. Except as otherwise provided herein, the provisions of this Warrant may be amended or waived and the Company may take any action herein prohibited, or omit to perform any act herein required to be performed by it, only if the Company has obtained the written consent of the Holder.</w:t>
      </w:r>
    </w:p>
    <w:p>
      <w:pPr>
        <w:spacing w:after="0" w:line="75" w:lineRule="exact"/>
        <w:rPr>
          <w:rFonts w:ascii="Arial" w:cs="Arial" w:eastAsia="Arial" w:hAnsi="Arial"/>
          <w:sz w:val="18"/>
          <w:szCs w:val="18"/>
          <w:color w:val="auto"/>
        </w:rPr>
      </w:pPr>
    </w:p>
    <w:p>
      <w:pPr>
        <w:ind w:left="4" w:right="100" w:firstLine="436"/>
        <w:spacing w:after="0" w:line="284" w:lineRule="auto"/>
        <w:tabs>
          <w:tab w:leader="none" w:pos="707" w:val="left"/>
        </w:tabs>
        <w:numPr>
          <w:ilvl w:val="1"/>
          <w:numId w:val="17"/>
        </w:numPr>
        <w:rPr>
          <w:rFonts w:ascii="Arial" w:cs="Arial" w:eastAsia="Arial" w:hAnsi="Arial"/>
          <w:sz w:val="16"/>
          <w:szCs w:val="16"/>
          <w:color w:val="auto"/>
        </w:rPr>
      </w:pPr>
      <w:r>
        <w:rPr>
          <w:rFonts w:ascii="Arial" w:cs="Arial" w:eastAsia="Arial" w:hAnsi="Arial"/>
          <w:sz w:val="16"/>
          <w:szCs w:val="16"/>
          <w:u w:val="single" w:color="auto"/>
          <w:color w:val="auto"/>
        </w:rPr>
        <w:t>GOVERNING LAW; JURY TRIAL</w:t>
      </w:r>
      <w:r>
        <w:rPr>
          <w:rFonts w:ascii="Arial" w:cs="Arial" w:eastAsia="Arial" w:hAnsi="Arial"/>
          <w:sz w:val="16"/>
          <w:szCs w:val="16"/>
          <w:color w:val="auto"/>
        </w:rPr>
        <w:t xml:space="preserve">. This Warrant shall be governed by and construed and enforced in accordance with, and all questions concerning the construction, validity, interpretation and performance of this Warrant shall be governed by, the internal laws of the State of Delaware, without giving effect to any choice of law or conflict of law provision or rule (whether of the State of Delaware or any other jurisdictions) that would cause the application of the laws of any jurisdictions other than the State of Delaware. If either party shall commence an action, suit or proceeding to enforce any provisions of this Warrant, the prevailing party in such action, suit or proceeding shall be reimbursed by the other party for their reasonable attorneys’ fees and other costs and expenses incurred with the investigation, preparation and prosecution of such action or proceeding. </w:t>
      </w:r>
      <w:r>
        <w:rPr>
          <w:rFonts w:ascii="Arial" w:cs="Arial" w:eastAsia="Arial" w:hAnsi="Arial"/>
          <w:sz w:val="16"/>
          <w:szCs w:val="16"/>
          <w:b w:val="1"/>
          <w:bCs w:val="1"/>
          <w:color w:val="auto"/>
        </w:rPr>
        <w:t>THE</w:t>
      </w:r>
    </w:p>
    <w:p>
      <w:pPr>
        <w:spacing w:after="0" w:line="4" w:lineRule="exact"/>
        <w:rPr>
          <w:rFonts w:ascii="Arial" w:cs="Arial" w:eastAsia="Arial" w:hAnsi="Arial"/>
          <w:sz w:val="16"/>
          <w:szCs w:val="16"/>
          <w:color w:val="auto"/>
        </w:rPr>
      </w:pPr>
    </w:p>
    <w:p>
      <w:pPr>
        <w:ind w:left="4" w:right="160"/>
        <w:spacing w:after="0" w:line="255" w:lineRule="auto"/>
        <w:rPr>
          <w:rFonts w:ascii="Arial" w:cs="Arial" w:eastAsia="Arial" w:hAnsi="Arial"/>
          <w:sz w:val="16"/>
          <w:szCs w:val="16"/>
          <w:color w:val="auto"/>
        </w:rPr>
      </w:pPr>
      <w:r>
        <w:rPr>
          <w:rFonts w:ascii="Arial" w:cs="Arial" w:eastAsia="Arial" w:hAnsi="Arial"/>
          <w:sz w:val="18"/>
          <w:szCs w:val="18"/>
          <w:b w:val="1"/>
          <w:bCs w:val="1"/>
          <w:color w:val="auto"/>
        </w:rPr>
        <w:t>COMPANY HEREBY IRREVOCABLY WAIVES ANY RIGHT IT MAY HAVE, AND AGREES NOT TO REQUEST, A JURY TRIAL FOR THE ADJUDICATION OF ANY DISPUTE HEREUNDER OR IN CONNECTION WITH OR ARISING OUT OF THIS WARRANT OR ANY TRANSACTION CONTEMPLATED HEREBY.</w:t>
      </w:r>
    </w:p>
    <w:p>
      <w:pPr>
        <w:spacing w:after="0" w:line="81" w:lineRule="exact"/>
        <w:rPr>
          <w:rFonts w:ascii="Arial" w:cs="Arial" w:eastAsia="Arial" w:hAnsi="Arial"/>
          <w:sz w:val="16"/>
          <w:szCs w:val="16"/>
          <w:color w:val="auto"/>
        </w:rPr>
      </w:pPr>
    </w:p>
    <w:p>
      <w:pPr>
        <w:ind w:left="4" w:firstLine="436"/>
        <w:spacing w:after="0" w:line="285" w:lineRule="auto"/>
        <w:tabs>
          <w:tab w:leader="none" w:pos="714" w:val="left"/>
        </w:tabs>
        <w:numPr>
          <w:ilvl w:val="1"/>
          <w:numId w:val="17"/>
        </w:numPr>
        <w:rPr>
          <w:rFonts w:ascii="Arial" w:cs="Arial" w:eastAsia="Arial" w:hAnsi="Arial"/>
          <w:sz w:val="16"/>
          <w:szCs w:val="16"/>
          <w:color w:val="auto"/>
        </w:rPr>
      </w:pPr>
      <w:r>
        <w:rPr>
          <w:rFonts w:ascii="Arial" w:cs="Arial" w:eastAsia="Arial" w:hAnsi="Arial"/>
          <w:sz w:val="16"/>
          <w:szCs w:val="16"/>
          <w:u w:val="single" w:color="auto"/>
          <w:color w:val="auto"/>
        </w:rPr>
        <w:t>DISPUTE RESOLUTION</w:t>
      </w:r>
      <w:r>
        <w:rPr>
          <w:rFonts w:ascii="Arial" w:cs="Arial" w:eastAsia="Arial" w:hAnsi="Arial"/>
          <w:sz w:val="16"/>
          <w:szCs w:val="16"/>
          <w:color w:val="auto"/>
        </w:rPr>
        <w:t>. In the case of a dispute as to the determination of the Exercise Price or the arithmetic calculation of the Warrant Shares, the Company shall submit the disputed determinations or arithmetic calculations via facsimile or electronic mail within two (2) Business Days of receipt of the Exercise Notice or other event giving rise to such dispute, as the case may be, to the Holder. If the Holder and the Company are unable to agree upon such determination or calculation of the Exercise Price or the Warrant Shares within three (3) Business Days of such disputed determination or arithmetic calculation being submitted to the Holder, then the Company shall, within two (2) Business Days submit via facsimile or electronic mail</w:t>
      </w:r>
    </w:p>
    <w:p>
      <w:pPr>
        <w:spacing w:after="0" w:line="1" w:lineRule="exact"/>
        <w:rPr>
          <w:rFonts w:ascii="Arial" w:cs="Arial" w:eastAsia="Arial" w:hAnsi="Arial"/>
          <w:sz w:val="16"/>
          <w:szCs w:val="16"/>
          <w:color w:val="auto"/>
        </w:rPr>
      </w:pPr>
    </w:p>
    <w:p>
      <w:pPr>
        <w:ind w:left="4" w:right="80" w:hanging="4"/>
        <w:spacing w:after="0" w:line="292" w:lineRule="auto"/>
        <w:tabs>
          <w:tab w:leader="none" w:pos="2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disputed determination of the Exercise Price to an independent, reputable investment bank selected by the Company and approved by the Holder or (b) the disputed arithmetic calculation of the Warrant Shares to the Company’s independent, outside accountant. The Company shall cause at its expense the investment bank or the accountant, as the case may be, to perform the determinations or calculations and notify the Company and the Holder of the results no later than ten (10) Business Days from the time it receives the disputed determinations or calculations. Such investment bank’s or accountant’s determination or calculation, as the case may be, shall be binding upon all parties absent demonstrable error.</w:t>
      </w:r>
    </w:p>
    <w:p>
      <w:pPr>
        <w:spacing w:after="0" w:line="54" w:lineRule="exact"/>
        <w:rPr>
          <w:rFonts w:ascii="Arial" w:cs="Arial" w:eastAsia="Arial" w:hAnsi="Arial"/>
          <w:sz w:val="16"/>
          <w:szCs w:val="16"/>
          <w:color w:val="auto"/>
        </w:rPr>
      </w:pPr>
    </w:p>
    <w:p>
      <w:pPr>
        <w:ind w:left="4" w:firstLine="436"/>
        <w:spacing w:after="0" w:line="272" w:lineRule="auto"/>
        <w:tabs>
          <w:tab w:leader="none" w:pos="714" w:val="left"/>
        </w:tabs>
        <w:numPr>
          <w:ilvl w:val="1"/>
          <w:numId w:val="18"/>
        </w:numPr>
        <w:rPr>
          <w:rFonts w:ascii="Arial" w:cs="Arial" w:eastAsia="Arial" w:hAnsi="Arial"/>
          <w:sz w:val="17"/>
          <w:szCs w:val="17"/>
          <w:color w:val="auto"/>
        </w:rPr>
      </w:pPr>
      <w:r>
        <w:rPr>
          <w:rFonts w:ascii="Arial" w:cs="Arial" w:eastAsia="Arial" w:hAnsi="Arial"/>
          <w:sz w:val="17"/>
          <w:szCs w:val="17"/>
          <w:u w:val="single" w:color="auto"/>
          <w:color w:val="auto"/>
        </w:rPr>
        <w:t>REMEDIES, OTHER OBLIGATIONS, BREACHES AND INJUNCTIVE RELIEF</w:t>
      </w:r>
      <w:r>
        <w:rPr>
          <w:rFonts w:ascii="Arial" w:cs="Arial" w:eastAsia="Arial" w:hAnsi="Arial"/>
          <w:sz w:val="17"/>
          <w:szCs w:val="17"/>
          <w:color w:val="auto"/>
        </w:rPr>
        <w:t>. The remedies provided in this Warrant shall be cumulative and in addition to all other remedies available under this Warrant, at law or in equity (including a decree of specific performance and/or other injunctive relief), and nothing herein shall limit the right of the Holder to pursue actual damages for any failure by the Company to comply with the terms of this Warrant.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of this Warrant shall be entitled, in addition to all other available remedies, to seek an injunction restraining any breach, without the necessity of showing economic loss and without any bond or other security being required.</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4"/>
          </w:cols>
          <w:pgMar w:left="436" w:top="274" w:right="459" w:bottom="1440" w:gutter="0" w:footer="0" w:header="0"/>
        </w:sectPr>
      </w:pPr>
    </w:p>
    <w:bookmarkStart w:id="15" w:name="page16"/>
    <w:bookmarkEnd w:id="15"/>
    <w:p>
      <w:pPr>
        <w:ind w:left="-20" w:firstLine="436"/>
        <w:spacing w:after="0" w:line="254" w:lineRule="auto"/>
        <w:tabs>
          <w:tab w:leader="none" w:pos="69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TRANSFER</w:t>
      </w:r>
      <w:r>
        <w:rPr>
          <w:rFonts w:ascii="Arial" w:cs="Arial" w:eastAsia="Arial" w:hAnsi="Arial"/>
          <w:sz w:val="18"/>
          <w:szCs w:val="18"/>
          <w:color w:val="auto"/>
        </w:rPr>
        <w:t xml:space="preserve">. Subject to compliance with applicable federal and state securities laws (but, for the avoidance of doubt, without limiting the provisions of Section 7(b) or the last sentence of Section 2(d)), this Warrant and the Warrant Shares may be offered for sale, sold, transferred, pledged or assigned (in whole or in part) without the consent of the Company or any other Person. For avoidance of doubt, in the event that the Holder notifies the Company that such sale, transfer, pledge or assignment is being effected pursuant to Section 4(a)(7) of the Securities Act or in a so called “4[(a)](1) and half” transaction, the parties hereto agree that a legal opinion from outside counsel for the Holder delivered to counsel for the Company substantially in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shall be the only requirement to satisfy an exemption from registration under the Securities Act to effectuate such transaction.</w:t>
      </w:r>
    </w:p>
    <w:p>
      <w:pPr>
        <w:spacing w:after="0" w:line="86" w:lineRule="exact"/>
        <w:rPr>
          <w:rFonts w:ascii="Arial" w:cs="Arial" w:eastAsia="Arial" w:hAnsi="Arial"/>
          <w:sz w:val="18"/>
          <w:szCs w:val="18"/>
          <w:color w:val="auto"/>
        </w:rPr>
      </w:pPr>
    </w:p>
    <w:p>
      <w:pPr>
        <w:ind w:left="-20" w:firstLine="436"/>
        <w:spacing w:after="0" w:line="288" w:lineRule="auto"/>
        <w:tabs>
          <w:tab w:leader="none" w:pos="690"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SEVERABILITY; CONSTRUCTION; HEADINGS</w:t>
      </w:r>
      <w:r>
        <w:rPr>
          <w:rFonts w:ascii="Arial" w:cs="Arial" w:eastAsia="Arial" w:hAnsi="Arial"/>
          <w:sz w:val="16"/>
          <w:szCs w:val="16"/>
          <w:color w:val="auto"/>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w:t>
      </w:r>
    </w:p>
    <w:p>
      <w:pPr>
        <w:spacing w:after="0" w:line="60" w:lineRule="exact"/>
        <w:rPr>
          <w:rFonts w:ascii="Arial" w:cs="Arial" w:eastAsia="Arial" w:hAnsi="Arial"/>
          <w:sz w:val="16"/>
          <w:szCs w:val="16"/>
          <w:color w:val="auto"/>
        </w:rPr>
      </w:pPr>
    </w:p>
    <w:p>
      <w:pPr>
        <w:ind w:left="-20" w:right="20" w:firstLine="436"/>
        <w:spacing w:after="0" w:line="272" w:lineRule="auto"/>
        <w:tabs>
          <w:tab w:leader="none" w:pos="690"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DISCLOSURE</w:t>
      </w:r>
      <w:r>
        <w:rPr>
          <w:rFonts w:ascii="Arial" w:cs="Arial" w:eastAsia="Arial" w:hAnsi="Arial"/>
          <w:sz w:val="17"/>
          <w:szCs w:val="17"/>
          <w:color w:val="auto"/>
        </w:rPr>
        <w:t>. Upon receipt or delivery by the Company of any notice in accordance with the terms of this Warrant, unless the Company has in good faith determined that the matters relating to such notice do not constitute material, nonpublic information relating to the Company or its Subsidiaries (as defined in the Securities Purchase Agreement), the Company shall simultaneously with such receipt or delivery publicly disclose such material, nonpublic information on a Current Report on Form 8-K or otherwise. In the event that the Company believes that a notice contains material, nonpublic information relating to the Company or its Subsidiaries, the Company so shall indicate to such Holder contemporaneously with delivery of such notice, and in the absence of any such indication, the Holder shall be allowed to presume that all matters relating to such notice do not constitute material, nonpublic information relating to the Company or its Subsidiaries.</w:t>
      </w:r>
    </w:p>
    <w:p>
      <w:pPr>
        <w:spacing w:after="0" w:line="69" w:lineRule="exact"/>
        <w:rPr>
          <w:rFonts w:ascii="Arial" w:cs="Arial" w:eastAsia="Arial" w:hAnsi="Arial"/>
          <w:sz w:val="17"/>
          <w:szCs w:val="17"/>
          <w:color w:val="auto"/>
        </w:rPr>
      </w:pPr>
    </w:p>
    <w:p>
      <w:pPr>
        <w:ind w:left="680" w:hanging="264"/>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Warrant, the following terms shall have the following meanings:</w:t>
      </w:r>
    </w:p>
    <w:p>
      <w:pPr>
        <w:spacing w:after="0" w:line="113" w:lineRule="exact"/>
        <w:rPr>
          <w:rFonts w:ascii="Arial" w:cs="Arial" w:eastAsia="Arial" w:hAnsi="Arial"/>
          <w:sz w:val="18"/>
          <w:szCs w:val="18"/>
          <w:color w:val="auto"/>
        </w:rPr>
      </w:pPr>
    </w:p>
    <w:p>
      <w:pPr>
        <w:ind w:left="420" w:right="320" w:firstLine="419"/>
        <w:spacing w:after="0" w:line="281" w:lineRule="auto"/>
        <w:tabs>
          <w:tab w:leader="none" w:pos="1088" w:val="left"/>
        </w:tabs>
        <w:numPr>
          <w:ilvl w:val="1"/>
          <w:numId w:val="1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Affiliate</w:t>
      </w:r>
      <w:r>
        <w:rPr>
          <w:rFonts w:ascii="Arial" w:cs="Arial" w:eastAsia="Arial" w:hAnsi="Arial"/>
          <w:sz w:val="17"/>
          <w:szCs w:val="17"/>
          <w:color w:val="auto"/>
        </w:rPr>
        <w:t>” means any Person that, directly or indirectly through one or more intermediaries, controls or is controlled by or is under common control with a Person, as such terms are used in and construed under Rule 405 under the Securities Act of 1933, as amended. Notwithstanding the foregoing, for purposes of this Agreement, neither the Company, nor any of its subsidiaries, officers or directors, shall be deemed an “Affiliate” of any of the Deerfield Funds (as defined in the Purchase Agreement).</w:t>
      </w:r>
    </w:p>
    <w:p>
      <w:pPr>
        <w:spacing w:after="0" w:line="56" w:lineRule="exact"/>
        <w:rPr>
          <w:rFonts w:ascii="Arial" w:cs="Arial" w:eastAsia="Arial" w:hAnsi="Arial"/>
          <w:sz w:val="17"/>
          <w:szCs w:val="17"/>
          <w:color w:val="auto"/>
        </w:rPr>
      </w:pPr>
    </w:p>
    <w:p>
      <w:pPr>
        <w:ind w:left="420" w:right="220" w:firstLine="419"/>
        <w:spacing w:after="0" w:line="289" w:lineRule="auto"/>
        <w:tabs>
          <w:tab w:leader="none" w:pos="1098" w:val="left"/>
        </w:tabs>
        <w:numPr>
          <w:ilvl w:val="1"/>
          <w:numId w:val="1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Attribution Parties</w:t>
      </w:r>
      <w:r>
        <w:rPr>
          <w:rFonts w:ascii="Arial" w:cs="Arial" w:eastAsia="Arial" w:hAnsi="Arial"/>
          <w:sz w:val="16"/>
          <w:szCs w:val="16"/>
          <w:color w:val="auto"/>
        </w:rPr>
        <w:t>” means, collectively, the following Persons and entities: (i) any investment vehicle, including, any funds, feeder funds or managed accounts, currently, or from time to time after the Share Delivery Date, directly or indirectly managed or advised by the Holder’s investment manager or any of its Affiliates or principals, (ii) any direct or indirect Affiliates of the Holder or any of the foregoing,</w:t>
      </w:r>
    </w:p>
    <w:p>
      <w:pPr>
        <w:spacing w:after="0" w:line="1" w:lineRule="exact"/>
        <w:rPr>
          <w:rFonts w:ascii="Arial" w:cs="Arial" w:eastAsia="Arial" w:hAnsi="Arial"/>
          <w:sz w:val="16"/>
          <w:szCs w:val="16"/>
          <w:color w:val="auto"/>
        </w:rPr>
      </w:pPr>
    </w:p>
    <w:p>
      <w:pPr>
        <w:ind w:left="420" w:right="20"/>
        <w:spacing w:after="0" w:line="253" w:lineRule="auto"/>
        <w:rPr>
          <w:rFonts w:ascii="Arial" w:cs="Arial" w:eastAsia="Arial" w:hAnsi="Arial"/>
          <w:sz w:val="16"/>
          <w:szCs w:val="16"/>
          <w:color w:val="auto"/>
        </w:rPr>
      </w:pPr>
      <w:r>
        <w:rPr>
          <w:rFonts w:ascii="Arial" w:cs="Arial" w:eastAsia="Arial" w:hAnsi="Arial"/>
          <w:sz w:val="18"/>
          <w:szCs w:val="18"/>
          <w:color w:val="auto"/>
        </w:rPr>
        <w:t>(iii) any Person acting or who could be deemed to be acting as a group together with the Holder or any of the foregoing and (iv) any other Persons whose beneficial ownership of the Company’s Common Stock would or could be aggregated with the Holder’s and the other Attribution Parties for purposes of Section 13(d) or Section 16 of the 1934 Act. For clarity, the purpose of the foregoing is to subject collectively the Holder and all other Attribution Parties to the Maximum Percentage.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0"/>
          </w:cols>
          <w:pgMar w:left="460" w:top="274" w:right="479" w:bottom="1440" w:gutter="0" w:footer="0" w:header="0"/>
        </w:sectPr>
      </w:pPr>
    </w:p>
    <w:bookmarkStart w:id="16" w:name="page17"/>
    <w:bookmarkEnd w:id="16"/>
    <w:p>
      <w:pPr>
        <w:ind w:right="80" w:firstLine="419"/>
        <w:spacing w:after="0" w:line="289" w:lineRule="auto"/>
        <w:tabs>
          <w:tab w:leader="none" w:pos="668" w:val="left"/>
        </w:tabs>
        <w:numPr>
          <w:ilvl w:val="0"/>
          <w:numId w:val="2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b w:val="1"/>
          <w:bCs w:val="1"/>
          <w:color w:val="auto"/>
        </w:rPr>
        <w:t>Bid Price</w:t>
      </w:r>
      <w:r>
        <w:rPr>
          <w:rFonts w:ascii="Arial" w:cs="Arial" w:eastAsia="Arial" w:hAnsi="Arial"/>
          <w:sz w:val="16"/>
          <w:szCs w:val="16"/>
          <w:color w:val="auto"/>
        </w:rPr>
        <w:t>” means, for any security as of the particular time of determination, the bid price for such security on the Principal Market as reported by Bloomberg as of such time of determination, or, if the Principal Market is not the principal securities exchange or trading market for such security, the bid price of such security on the principal securities exchange or trading market where such security is listed or traded as reported by Bloomberg as of such time of determination, or if the foregoing does not apply, the bid price of such security in the over-the-counter market on the electronic bulletin board for such security as reported by Bloomberg as of such time of determination, or, if no bid price is reported for such security by Bloomberg as of such time of determination, the average of the bid prices of any market makers for such security as reported in the “pink sheets” by OTC Markets Group Inc. (formerly Pink OTC Markets Inc.) as of such time of determination. If the Bid Price cannot be calculated for a security as of the particular time of determination on any of the foregoing bases, the Bid Price of such security as of such time of determination shall be the fair market value as mutually determined by the Company and the Holder. All such determinations shall be appropriately adjusted for any stock dividend, stock split, stock combination or other similar transaction during such period.</w:t>
      </w:r>
    </w:p>
    <w:p>
      <w:pPr>
        <w:spacing w:after="0" w:line="52" w:lineRule="exact"/>
        <w:rPr>
          <w:rFonts w:ascii="Arial" w:cs="Arial" w:eastAsia="Arial" w:hAnsi="Arial"/>
          <w:sz w:val="16"/>
          <w:szCs w:val="16"/>
          <w:color w:val="auto"/>
        </w:rPr>
      </w:pPr>
    </w:p>
    <w:p>
      <w:pPr>
        <w:ind w:left="680" w:hanging="261"/>
        <w:spacing w:after="0"/>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Bloomberg</w:t>
      </w:r>
      <w:r>
        <w:rPr>
          <w:rFonts w:ascii="Arial" w:cs="Arial" w:eastAsia="Arial" w:hAnsi="Arial"/>
          <w:sz w:val="18"/>
          <w:szCs w:val="18"/>
          <w:color w:val="auto"/>
        </w:rPr>
        <w:t>” means Bloomberg Financial Markets.</w:t>
      </w:r>
    </w:p>
    <w:p>
      <w:pPr>
        <w:spacing w:after="0" w:line="117" w:lineRule="exact"/>
        <w:rPr>
          <w:rFonts w:ascii="Arial" w:cs="Arial" w:eastAsia="Arial" w:hAnsi="Arial"/>
          <w:sz w:val="18"/>
          <w:szCs w:val="18"/>
          <w:color w:val="auto"/>
        </w:rPr>
      </w:pPr>
    </w:p>
    <w:p>
      <w:pPr>
        <w:ind w:right="80" w:firstLine="419"/>
        <w:spacing w:after="0" w:line="298" w:lineRule="auto"/>
        <w:tabs>
          <w:tab w:leader="none" w:pos="668" w:val="left"/>
        </w:tabs>
        <w:numPr>
          <w:ilvl w:val="0"/>
          <w:numId w:val="2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Business Day</w:t>
      </w:r>
      <w:r>
        <w:rPr>
          <w:rFonts w:ascii="Arial" w:cs="Arial" w:eastAsia="Arial" w:hAnsi="Arial"/>
          <w:sz w:val="16"/>
          <w:szCs w:val="16"/>
          <w:color w:val="auto"/>
        </w:rPr>
        <w:t>” means any day other than Saturday, Sunday or other day on which commercial banks in The City of New York are authorized or required by law to remain closed; provided, however,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spacing w:after="0" w:line="45" w:lineRule="exact"/>
        <w:rPr>
          <w:rFonts w:ascii="Arial" w:cs="Arial" w:eastAsia="Arial" w:hAnsi="Arial"/>
          <w:sz w:val="16"/>
          <w:szCs w:val="16"/>
          <w:color w:val="auto"/>
        </w:rPr>
      </w:pPr>
    </w:p>
    <w:p>
      <w:pPr>
        <w:ind w:firstLine="419"/>
        <w:spacing w:after="0" w:line="268" w:lineRule="auto"/>
        <w:tabs>
          <w:tab w:leader="none" w:pos="648" w:val="left"/>
        </w:tabs>
        <w:numPr>
          <w:ilvl w:val="0"/>
          <w:numId w:val="2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Closing Bid Price</w:t>
      </w:r>
      <w:r>
        <w:rPr>
          <w:rFonts w:ascii="Arial" w:cs="Arial" w:eastAsia="Arial" w:hAnsi="Arial"/>
          <w:sz w:val="17"/>
          <w:szCs w:val="17"/>
          <w:color w:val="auto"/>
        </w:rPr>
        <w:t>” and “</w:t>
      </w:r>
      <w:r>
        <w:rPr>
          <w:rFonts w:ascii="Arial" w:cs="Arial" w:eastAsia="Arial" w:hAnsi="Arial"/>
          <w:sz w:val="17"/>
          <w:szCs w:val="17"/>
          <w:b w:val="1"/>
          <w:bCs w:val="1"/>
          <w:color w:val="auto"/>
        </w:rPr>
        <w:t>Closing Sale Price</w:t>
      </w:r>
      <w:r>
        <w:rPr>
          <w:rFonts w:ascii="Arial" w:cs="Arial" w:eastAsia="Arial" w:hAnsi="Arial"/>
          <w:sz w:val="17"/>
          <w:szCs w:val="17"/>
          <w:color w:val="auto"/>
        </w:rPr>
        <w:t>” means, for any security as of any date, the last closing bid price and last closing trade price, respectively, for such security on the Principal Market, as reported by Bloomberg, or, if the Principal Market begins to operate on an extended hours basis and does not designate the closing bid price or the closing trade price, as the case may be, then the last bid price or the last trade price, respectively, of such security prior to 4:00:00 p.m., New York time, as reported by Bloomberg, or, if the Principal Market is not the principal securities exchange or trading market for such security, the last closing bid price or last trade price, respectively, of such security on the principal securities exchange or trading market where such security is listed or traded as reported by Bloomberg, or if the foregoing do not apply, the last closing bid price or last trade price, respectively, of such security in the over-the-counter market on the electronic bulletin board for such security as reported by Bloomberg, or, if no closing bid price or last trade price, respectively, is reported for such security by Bloomberg, the average of the bid prices, or the ask prices, respectively, of any market makers for such security as reported in the OTC Link or “pink sheets” by OTC Markets Group Inc. (formerly Pink OTC Markets Inc.). If the Closing Bid Price or the Closing Sale Price cannot be calculated for a security on a particular date on any of the foregoing bases, the Closing Bid Price or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pursuant to Section 12. All such determinations to be appropriately adjusted for any stock dividend, stock split, stock combination, reclassification or other similar transaction during the applicable calculation period.</w:t>
      </w:r>
    </w:p>
    <w:p>
      <w:pPr>
        <w:spacing w:after="0" w:line="73" w:lineRule="exact"/>
        <w:rPr>
          <w:rFonts w:ascii="Arial" w:cs="Arial" w:eastAsia="Arial" w:hAnsi="Arial"/>
          <w:sz w:val="17"/>
          <w:szCs w:val="17"/>
          <w:color w:val="auto"/>
        </w:rPr>
      </w:pPr>
    </w:p>
    <w:p>
      <w:pPr>
        <w:ind w:right="460" w:firstLine="419"/>
        <w:spacing w:after="0" w:line="312" w:lineRule="auto"/>
        <w:tabs>
          <w:tab w:leader="none" w:pos="678" w:val="left"/>
        </w:tabs>
        <w:numPr>
          <w:ilvl w:val="0"/>
          <w:numId w:val="2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Common Stock</w:t>
      </w:r>
      <w:r>
        <w:rPr>
          <w:rFonts w:ascii="Arial" w:cs="Arial" w:eastAsia="Arial" w:hAnsi="Arial"/>
          <w:sz w:val="17"/>
          <w:szCs w:val="17"/>
          <w:color w:val="auto"/>
        </w:rPr>
        <w:t>” means (i) the Company’s Common Stock, par value $0.001 per share, and (ii) any capital stock into which such Common Stock shall have been changed or any capital stock resulting from a reclassification of such Common Stock.</w:t>
      </w:r>
    </w:p>
    <w:p>
      <w:pPr>
        <w:spacing w:after="0" w:line="76"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540"/>
          </w:cols>
          <w:pgMar w:left="880" w:top="270" w:right="479" w:bottom="1440" w:gutter="0" w:footer="0" w:header="0"/>
        </w:sectPr>
      </w:pPr>
    </w:p>
    <w:bookmarkStart w:id="17" w:name="page18"/>
    <w:bookmarkEnd w:id="17"/>
    <w:p>
      <w:pPr>
        <w:ind w:right="440" w:firstLine="419"/>
        <w:spacing w:after="0" w:line="282" w:lineRule="auto"/>
        <w:tabs>
          <w:tab w:leader="none" w:pos="678" w:val="left"/>
        </w:tabs>
        <w:numPr>
          <w:ilvl w:val="0"/>
          <w:numId w:val="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Convertible Securities</w:t>
      </w:r>
      <w:r>
        <w:rPr>
          <w:rFonts w:ascii="Arial" w:cs="Arial" w:eastAsia="Arial" w:hAnsi="Arial"/>
          <w:sz w:val="18"/>
          <w:szCs w:val="18"/>
          <w:color w:val="auto"/>
        </w:rPr>
        <w:t>” means any stock or securities (other than Options) directly or indirectly convertible into or exercisable or exchangeable for shares of Common Stock.</w:t>
      </w:r>
    </w:p>
    <w:p>
      <w:pPr>
        <w:spacing w:after="0" w:line="53" w:lineRule="exact"/>
        <w:rPr>
          <w:rFonts w:ascii="Arial" w:cs="Arial" w:eastAsia="Arial" w:hAnsi="Arial"/>
          <w:sz w:val="18"/>
          <w:szCs w:val="18"/>
          <w:color w:val="auto"/>
        </w:rPr>
      </w:pPr>
    </w:p>
    <w:p>
      <w:pPr>
        <w:ind w:right="420" w:firstLine="419"/>
        <w:spacing w:after="0" w:line="282" w:lineRule="auto"/>
        <w:tabs>
          <w:tab w:leader="none" w:pos="638"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Market</w:t>
      </w:r>
      <w:r>
        <w:rPr>
          <w:rFonts w:ascii="Arial" w:cs="Arial" w:eastAsia="Arial" w:hAnsi="Arial"/>
          <w:sz w:val="18"/>
          <w:szCs w:val="18"/>
          <w:color w:val="auto"/>
        </w:rPr>
        <w:t>” means The Nasdaq Capital Market, the NYSE American, The Nasdaq Global Select Market, The Nasdaq Global Market or The New York Stock Exchange, Inc.</w:t>
      </w:r>
    </w:p>
    <w:p>
      <w:pPr>
        <w:spacing w:after="0" w:line="53" w:lineRule="exact"/>
        <w:rPr>
          <w:rFonts w:ascii="Arial" w:cs="Arial" w:eastAsia="Arial" w:hAnsi="Arial"/>
          <w:sz w:val="18"/>
          <w:szCs w:val="18"/>
          <w:color w:val="auto"/>
        </w:rPr>
      </w:pPr>
    </w:p>
    <w:p>
      <w:pPr>
        <w:ind w:left="640" w:hanging="221"/>
        <w:spacing w:after="0"/>
        <w:tabs>
          <w:tab w:leader="none" w:pos="6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Options</w:t>
      </w:r>
      <w:r>
        <w:rPr>
          <w:rFonts w:ascii="Arial" w:cs="Arial" w:eastAsia="Arial" w:hAnsi="Arial"/>
          <w:sz w:val="17"/>
          <w:szCs w:val="17"/>
          <w:color w:val="auto"/>
        </w:rPr>
        <w:t>” means any rights, warrants or options to subscribe for or purchase shares of Common Stock or Convertible Securities.</w:t>
      </w:r>
    </w:p>
    <w:p>
      <w:pPr>
        <w:spacing w:after="0" w:line="128" w:lineRule="exact"/>
        <w:rPr>
          <w:rFonts w:ascii="Arial" w:cs="Arial" w:eastAsia="Arial" w:hAnsi="Arial"/>
          <w:sz w:val="17"/>
          <w:szCs w:val="17"/>
          <w:color w:val="auto"/>
        </w:rPr>
      </w:pPr>
    </w:p>
    <w:p>
      <w:pPr>
        <w:ind w:right="580" w:firstLine="419"/>
        <w:spacing w:after="0" w:line="282" w:lineRule="auto"/>
        <w:tabs>
          <w:tab w:leader="none" w:pos="678"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a limited liability company, a partnership, a joint venture, a corporation, a trust, an unincorporated organization, any other entity and a government or any department or agency thereof.</w:t>
      </w:r>
    </w:p>
    <w:p>
      <w:pPr>
        <w:spacing w:after="0" w:line="53" w:lineRule="exact"/>
        <w:rPr>
          <w:rFonts w:ascii="Arial" w:cs="Arial" w:eastAsia="Arial" w:hAnsi="Arial"/>
          <w:sz w:val="18"/>
          <w:szCs w:val="18"/>
          <w:color w:val="auto"/>
        </w:rPr>
      </w:pPr>
    </w:p>
    <w:p>
      <w:pPr>
        <w:ind w:right="180" w:firstLine="419"/>
        <w:spacing w:after="0" w:line="282" w:lineRule="auto"/>
        <w:tabs>
          <w:tab w:leader="none" w:pos="638"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Market</w:t>
      </w:r>
      <w:r>
        <w:rPr>
          <w:rFonts w:ascii="Arial" w:cs="Arial" w:eastAsia="Arial" w:hAnsi="Arial"/>
          <w:sz w:val="18"/>
          <w:szCs w:val="18"/>
          <w:color w:val="auto"/>
        </w:rPr>
        <w:t>” means the Nasdaq Global Market or, if the Common Stock is not listed on the Nasdaq Global Market, and is listed on another Eligible Market, such Eligible Market.</w:t>
      </w:r>
    </w:p>
    <w:p>
      <w:pPr>
        <w:spacing w:after="0" w:line="53" w:lineRule="exact"/>
        <w:rPr>
          <w:rFonts w:ascii="Arial" w:cs="Arial" w:eastAsia="Arial" w:hAnsi="Arial"/>
          <w:sz w:val="18"/>
          <w:szCs w:val="18"/>
          <w:color w:val="auto"/>
        </w:rPr>
      </w:pPr>
    </w:p>
    <w:p>
      <w:pPr>
        <w:ind w:right="40" w:firstLine="419"/>
        <w:spacing w:after="0" w:line="282" w:lineRule="auto"/>
        <w:tabs>
          <w:tab w:leader="none" w:pos="7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Standard Settlement Period</w:t>
      </w:r>
      <w:r>
        <w:rPr>
          <w:rFonts w:ascii="Arial" w:cs="Arial" w:eastAsia="Arial" w:hAnsi="Arial"/>
          <w:sz w:val="18"/>
          <w:szCs w:val="18"/>
          <w:color w:val="auto"/>
        </w:rPr>
        <w:t>” means the standard settlement period, expressed in a number of Trading Days, for equity trades effected by U.S. broker-dealers, as in effect on the date of delivery of an applicable Exercise Notice.</w:t>
      </w:r>
    </w:p>
    <w:p>
      <w:pPr>
        <w:spacing w:after="0" w:line="53" w:lineRule="exact"/>
        <w:rPr>
          <w:rFonts w:ascii="Arial" w:cs="Arial" w:eastAsia="Arial" w:hAnsi="Arial"/>
          <w:sz w:val="18"/>
          <w:szCs w:val="18"/>
          <w:color w:val="auto"/>
        </w:rPr>
      </w:pPr>
    </w:p>
    <w:p>
      <w:pPr>
        <w:ind w:right="360" w:firstLine="419"/>
        <w:spacing w:after="0" w:line="266" w:lineRule="auto"/>
        <w:tabs>
          <w:tab w:leader="none" w:pos="678"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Trading Day</w:t>
      </w:r>
      <w:r>
        <w:rPr>
          <w:rFonts w:ascii="Arial" w:cs="Arial" w:eastAsia="Arial" w:hAnsi="Arial"/>
          <w:sz w:val="18"/>
          <w:szCs w:val="18"/>
          <w:color w:val="auto"/>
        </w:rPr>
        <w:t>” means any day on which the Common Stock is traded on the Principal Market, or, if the Principal Market is not the principal trading market for the Common Stock, then on the principal securities exchange or securities market on which the Common Stock is then traded.</w:t>
      </w:r>
    </w:p>
    <w:p>
      <w:pPr>
        <w:spacing w:after="0" w:line="67" w:lineRule="exact"/>
        <w:rPr>
          <w:rFonts w:ascii="Arial" w:cs="Arial" w:eastAsia="Arial" w:hAnsi="Arial"/>
          <w:sz w:val="18"/>
          <w:szCs w:val="18"/>
          <w:color w:val="auto"/>
        </w:rPr>
      </w:pPr>
    </w:p>
    <w:p>
      <w:pPr>
        <w:ind w:firstLine="419"/>
        <w:spacing w:after="0" w:line="268" w:lineRule="auto"/>
        <w:tabs>
          <w:tab w:leader="none" w:pos="678" w:val="left"/>
        </w:tabs>
        <w:numPr>
          <w:ilvl w:val="0"/>
          <w:numId w:val="2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Weighted Average Price</w:t>
      </w:r>
      <w:r>
        <w:rPr>
          <w:rFonts w:ascii="Arial" w:cs="Arial" w:eastAsia="Arial" w:hAnsi="Arial"/>
          <w:sz w:val="17"/>
          <w:szCs w:val="17"/>
          <w:color w:val="auto"/>
        </w:rPr>
        <w:t>” means, for any security as of any date, the dollar volume-weighted average price for such security on the Principal Market during the period beginning at 9:30:01 a.m., New York time (or such other time as the Principal Market publicly announces is the official open of trading), and ending at 4:00:00 p.m., New York time (or such other time as the Principal Market publicly announces is the official close of trading), as reported by Bloomberg through its “Volume at Price” function or, if the foregoing does not apply, the dollar volume-weighted average price of such security in the over-the-counter market on the electronic bulletin board for such security during the period beginning at 9:30:01 a.m., New York time (or such other time as such market publicly announces is the official open of trading), and ending at 4:00:00 p.m., New York time (or such other time as such market publicly announces is the official close of trading), as reported by Bloomberg, or, if no dollar volume-weighted average price is reported for such security by Bloomberg for such hours, the average of the highest Closing Bid Price and the lowest closing ask price of any of the market makers for such security as reported in the OTC Link or “pink sheets” by OTC Markets Group Inc. (formerly Pink OTC Markets Inc.). If the Weighted Average Price cannot be calculated for a security on a particular date on any of the foregoing bases, the Weighted Average Price of such security on such date shall be the fair market value as mutually determined by the Company and the Holder. If the Company and the Holder are unable to agree upon the fair market value of such security, then such dispute shall be resolved pursuant to Section 12 but with the term “Weighted Average Price” being substituted for the term “Exercise Price.” All such determinations shall be appropriately adjusted for any stock dividend, stock split, stock combination, reclassification or other similar transaction during the applicable calculation period.</w:t>
      </w:r>
    </w:p>
    <w:p>
      <w:pPr>
        <w:spacing w:after="0" w:line="294" w:lineRule="exact"/>
        <w:rPr>
          <w:sz w:val="20"/>
          <w:szCs w:val="20"/>
          <w:color w:val="auto"/>
        </w:rPr>
      </w:pPr>
    </w:p>
    <w:p>
      <w:pPr>
        <w:jc w:val="center"/>
        <w:ind w:right="440"/>
        <w:spacing w:after="0"/>
        <w:rPr>
          <w:sz w:val="20"/>
          <w:szCs w:val="20"/>
          <w:color w:val="auto"/>
        </w:rPr>
      </w:pPr>
      <w:r>
        <w:rPr>
          <w:rFonts w:ascii="Arial" w:cs="Arial" w:eastAsia="Arial" w:hAnsi="Arial"/>
          <w:sz w:val="18"/>
          <w:szCs w:val="18"/>
          <w:i w:val="1"/>
          <w:iCs w:val="1"/>
          <w:color w:val="auto"/>
        </w:rPr>
        <w:t>[Signature Pages Follow]</w:t>
      </w:r>
    </w:p>
    <w:p>
      <w:pPr>
        <w:spacing w:after="0" w:line="15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580"/>
          </w:cols>
          <w:pgMar w:left="880" w:top="270" w:right="439" w:bottom="1440" w:gutter="0" w:footer="0" w:header="0"/>
        </w:sectPr>
      </w:pPr>
    </w:p>
    <w:bookmarkStart w:id="18" w:name="page19"/>
    <w:bookmarkEnd w:id="18"/>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Arial" w:cs="Arial" w:eastAsia="Arial" w:hAnsi="Arial"/>
          <w:sz w:val="18"/>
          <w:szCs w:val="18"/>
          <w:color w:val="auto"/>
        </w:rPr>
        <w:t>, the Company has caused this Warrant to Purchase Common Stock to be duly executed as of the Issuance Date set out</w:t>
      </w:r>
      <w:r>
        <w:rPr>
          <w:rFonts w:ascii="Arial" w:cs="Arial" w:eastAsia="Arial" w:hAnsi="Arial"/>
          <w:sz w:val="18"/>
          <w:szCs w:val="18"/>
          <w:b w:val="1"/>
          <w:bCs w:val="1"/>
          <w:color w:val="auto"/>
        </w:rPr>
        <w:t xml:space="preserve"> </w:t>
      </w:r>
      <w:r>
        <w:rPr>
          <w:rFonts w:ascii="Arial" w:cs="Arial" w:eastAsia="Arial" w:hAnsi="Arial"/>
          <w:sz w:val="18"/>
          <w:szCs w:val="18"/>
          <w:color w:val="auto"/>
        </w:rPr>
        <w:t>above.</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LARIMAR THERAPEUTICS,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Warrant to Purchase Common Stock]</w:t>
      </w:r>
    </w:p>
    <w:p>
      <w:pPr>
        <w:sectPr>
          <w:pgSz w:w="11900" w:h="16838" w:orient="portrait"/>
          <w:cols w:equalWidth="0" w:num="1">
            <w:col w:w="11000"/>
          </w:cols>
          <w:pgMar w:left="440" w:top="270" w:right="459" w:bottom="1440" w:gutter="0" w:footer="0" w:header="0"/>
        </w:sectPr>
      </w:pPr>
    </w:p>
    <w:bookmarkStart w:id="19" w:name="page20"/>
    <w:bookmarkEnd w:id="19"/>
    <w:p>
      <w:pPr>
        <w:jc w:val="center"/>
        <w:ind w:right="1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INVESTOR</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308610</wp:posOffset>
            </wp:positionV>
            <wp:extent cx="27946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of 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288925</wp:posOffset>
            </wp:positionV>
            <wp:extent cx="27946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288925</wp:posOffset>
            </wp:positionV>
            <wp:extent cx="27946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Name of Signing Party (Please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288925</wp:posOffset>
            </wp:positionV>
            <wp:extent cx="27946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520"/>
        <w:spacing w:after="0"/>
        <w:rPr>
          <w:sz w:val="20"/>
          <w:szCs w:val="20"/>
          <w:color w:val="auto"/>
        </w:rPr>
      </w:pPr>
      <w:r>
        <w:rPr>
          <w:rFonts w:ascii="Arial" w:cs="Arial" w:eastAsia="Arial" w:hAnsi="Arial"/>
          <w:sz w:val="16"/>
          <w:szCs w:val="16"/>
          <w:color w:val="auto"/>
        </w:rPr>
        <w:t>Title of Signing Party (Please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303530</wp:posOffset>
            </wp:positionV>
            <wp:extent cx="27946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Tax ID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288925</wp:posOffset>
            </wp:positionV>
            <wp:extent cx="279463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Date Signed</w:t>
      </w:r>
    </w:p>
    <w:p>
      <w:pPr>
        <w:spacing w:after="0" w:line="225"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[Signature Page to Warrant to Purchase Common Stock]</w:t>
      </w:r>
    </w:p>
    <w:p>
      <w:pPr>
        <w:sectPr>
          <w:pgSz w:w="11900" w:h="16838" w:orient="portrait"/>
          <w:cols w:equalWidth="0" w:num="1">
            <w:col w:w="9140"/>
          </w:cols>
          <w:pgMar w:left="1440" w:top="270" w:right="1319" w:bottom="1440" w:gutter="0" w:footer="0" w:header="0"/>
        </w:sectPr>
      </w:pPr>
    </w:p>
    <w:bookmarkStart w:id="20" w:name="page21"/>
    <w:bookmarkEnd w:id="20"/>
    <w:p>
      <w:pPr>
        <w:jc w:val="center"/>
        <w:ind w:right="-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EXERCISE NOTICE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TO BE EXECUTED BY THE REGISTERED HOLDER TO EXERCISE THIS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PRE-FUNDED WARRANT TO PURCHASE COMMON STOCK</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LARIMAR THERAPEUTICS, INC.</w:t>
      </w:r>
    </w:p>
    <w:p>
      <w:pPr>
        <w:spacing w:after="0" w:line="225"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The undersigned holder hereby exercises the right to purchase shares of Common Stock (“</w:t>
      </w:r>
      <w:r>
        <w:rPr>
          <w:rFonts w:ascii="Arial" w:cs="Arial" w:eastAsia="Arial" w:hAnsi="Arial"/>
          <w:sz w:val="18"/>
          <w:szCs w:val="18"/>
          <w:b w:val="1"/>
          <w:bCs w:val="1"/>
          <w:color w:val="auto"/>
        </w:rPr>
        <w:t>Warrant Shares</w:t>
      </w:r>
      <w:r>
        <w:rPr>
          <w:rFonts w:ascii="Arial" w:cs="Arial" w:eastAsia="Arial" w:hAnsi="Arial"/>
          <w:sz w:val="18"/>
          <w:szCs w:val="18"/>
          <w:color w:val="auto"/>
        </w:rPr>
        <w:t>”) of Larimar Therapeutics,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evidenced by the attached Pre-Funded Warrant to Purchase Common Stock (the “</w:t>
      </w:r>
      <w:r>
        <w:rPr>
          <w:rFonts w:ascii="Arial" w:cs="Arial" w:eastAsia="Arial" w:hAnsi="Arial"/>
          <w:sz w:val="18"/>
          <w:szCs w:val="18"/>
          <w:b w:val="1"/>
          <w:bCs w:val="1"/>
          <w:color w:val="auto"/>
        </w:rPr>
        <w:t>Warrant</w:t>
      </w:r>
      <w:r>
        <w:rPr>
          <w:rFonts w:ascii="Arial" w:cs="Arial" w:eastAsia="Arial" w:hAnsi="Arial"/>
          <w:sz w:val="18"/>
          <w:szCs w:val="18"/>
          <w:color w:val="auto"/>
        </w:rPr>
        <w:t>”). Capitalized terms used herein and not otherwise defined shall have the respective meanings set forth in the Warrant.</w:t>
      </w:r>
    </w:p>
    <w:p>
      <w:pPr>
        <w:spacing w:after="0" w:line="180" w:lineRule="exact"/>
        <w:rPr>
          <w:sz w:val="20"/>
          <w:szCs w:val="20"/>
          <w:color w:val="auto"/>
        </w:rPr>
      </w:pPr>
    </w:p>
    <w:p>
      <w:pPr>
        <w:ind w:left="860" w:right="3800" w:hanging="424"/>
        <w:spacing w:after="0" w:line="375" w:lineRule="auto"/>
        <w:tabs>
          <w:tab w:leader="none" w:pos="617"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Form of Exercise</w:t>
      </w:r>
      <w:r>
        <w:rPr>
          <w:rFonts w:ascii="Arial" w:cs="Arial" w:eastAsia="Arial" w:hAnsi="Arial"/>
          <w:sz w:val="18"/>
          <w:szCs w:val="18"/>
          <w:color w:val="auto"/>
        </w:rPr>
        <w:t>. The Holder intends that payment of the Exercise Price shall be made as: a “Cash Exercise” with respect to Warrant Shares;</w:t>
      </w:r>
    </w:p>
    <w:p>
      <w:pPr>
        <w:spacing w:after="0" w:line="1" w:lineRule="exact"/>
        <w:rPr>
          <w:rFonts w:ascii="Arial" w:cs="Arial" w:eastAsia="Arial" w:hAnsi="Arial"/>
          <w:sz w:val="18"/>
          <w:szCs w:val="18"/>
          <w:color w:val="auto"/>
        </w:rPr>
      </w:pPr>
    </w:p>
    <w:p>
      <w:pPr>
        <w:ind w:left="860"/>
        <w:spacing w:after="0"/>
        <w:rPr>
          <w:rFonts w:ascii="Arial" w:cs="Arial" w:eastAsia="Arial" w:hAnsi="Arial"/>
          <w:sz w:val="18"/>
          <w:szCs w:val="18"/>
          <w:color w:val="auto"/>
        </w:rPr>
      </w:pPr>
      <w:r>
        <w:rPr>
          <w:rFonts w:ascii="Arial" w:cs="Arial" w:eastAsia="Arial" w:hAnsi="Arial"/>
          <w:sz w:val="18"/>
          <w:szCs w:val="18"/>
          <w:color w:val="auto"/>
        </w:rPr>
        <w:t>a “Cashless Exercise” with respect to Warrant Shares;</w:t>
      </w:r>
    </w:p>
    <w:p>
      <w:pPr>
        <w:spacing w:after="0" w:line="225" w:lineRule="exact"/>
        <w:rPr>
          <w:rFonts w:ascii="Arial" w:cs="Arial" w:eastAsia="Arial" w:hAnsi="Arial"/>
          <w:sz w:val="18"/>
          <w:szCs w:val="18"/>
          <w:color w:val="auto"/>
        </w:rPr>
      </w:pPr>
    </w:p>
    <w:p>
      <w:pPr>
        <w:ind w:right="40" w:firstLine="436"/>
        <w:spacing w:after="0" w:line="263" w:lineRule="auto"/>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Payment of Exercise Price</w:t>
      </w:r>
      <w:r>
        <w:rPr>
          <w:rFonts w:ascii="Arial" w:cs="Arial" w:eastAsia="Arial" w:hAnsi="Arial"/>
          <w:sz w:val="18"/>
          <w:szCs w:val="18"/>
          <w:color w:val="auto"/>
        </w:rPr>
        <w:t>. In the event that the holder has elected a Cash Exercise with respect to some or all of the Warrant Shares to be issued pursuant hereto, the holder shall pay the Aggregate Exercise Price in the sum of $[__________] to the Company in accordance with the terms of the Warrant.</w:t>
      </w:r>
    </w:p>
    <w:p>
      <w:pPr>
        <w:spacing w:after="0" w:line="183" w:lineRule="exact"/>
        <w:rPr>
          <w:rFonts w:ascii="Arial" w:cs="Arial" w:eastAsia="Arial" w:hAnsi="Arial"/>
          <w:sz w:val="18"/>
          <w:szCs w:val="18"/>
          <w:color w:val="auto"/>
        </w:rPr>
      </w:pPr>
    </w:p>
    <w:p>
      <w:pPr>
        <w:ind w:right="560" w:firstLine="436"/>
        <w:spacing w:after="0" w:line="277" w:lineRule="auto"/>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Delivery of Warrant Shares</w:t>
      </w:r>
      <w:r>
        <w:rPr>
          <w:rFonts w:ascii="Arial" w:cs="Arial" w:eastAsia="Arial" w:hAnsi="Arial"/>
          <w:sz w:val="18"/>
          <w:szCs w:val="18"/>
          <w:color w:val="auto"/>
        </w:rPr>
        <w:t>. The Company shall deliver to the holder Warrant Shares in accordance with the terms of the Warrant to the [address]/[DWAC account] set forth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Name of Registered 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940"/>
          </w:cols>
          <w:pgMar w:left="440" w:top="270" w:right="519" w:bottom="1440" w:gutter="0" w:footer="0" w:header="0"/>
        </w:sectPr>
      </w:pPr>
    </w:p>
    <w:bookmarkStart w:id="21" w:name="page22"/>
    <w:bookmarkEnd w:id="21"/>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ACKNOWLEDGMENT</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hereby acknowledges this Exercise Notice and hereby directs Computershare Trust Company, N.A. to issue the above indicated number of shares of Common Stock on or prior to the applicable Share Delivery Date.</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LARIMAR THERAPEUTICS,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840"/>
          </w:cols>
          <w:pgMar w:left="440" w:top="270" w:right="61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0"/>
        </w:trPr>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720" w:type="dxa"/>
            <w:vAlign w:val="bottom"/>
          </w:tcPr>
          <w:p>
            <w:pPr>
              <w:jc w:val="center"/>
              <w:ind w:left="2070"/>
              <w:spacing w:after="0"/>
              <w:rPr>
                <w:sz w:val="20"/>
                <w:szCs w:val="20"/>
                <w:color w:val="auto"/>
              </w:rPr>
            </w:pPr>
            <w:r>
              <w:rPr>
                <w:rFonts w:ascii="Arial" w:cs="Arial" w:eastAsia="Arial" w:hAnsi="Arial"/>
                <w:sz w:val="18"/>
                <w:szCs w:val="18"/>
                <w:color w:val="auto"/>
              </w:rPr>
              <w:t>EXHIBIT B</w:t>
            </w:r>
          </w:p>
        </w:tc>
      </w:tr>
      <w:tr>
        <w:trPr>
          <w:trHeight w:val="432"/>
        </w:trPr>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720" w:type="dxa"/>
            <w:vAlign w:val="bottom"/>
          </w:tcPr>
          <w:p>
            <w:pPr>
              <w:jc w:val="center"/>
              <w:ind w:left="2070"/>
              <w:spacing w:after="0"/>
              <w:rPr>
                <w:sz w:val="20"/>
                <w:szCs w:val="20"/>
                <w:color w:val="auto"/>
              </w:rPr>
            </w:pPr>
            <w:r>
              <w:rPr>
                <w:rFonts w:ascii="Arial" w:cs="Arial" w:eastAsia="Arial" w:hAnsi="Arial"/>
                <w:sz w:val="18"/>
                <w:szCs w:val="18"/>
                <w:color w:val="auto"/>
                <w:w w:val="95"/>
              </w:rPr>
              <w:t>FORM OF OPINION</w:t>
            </w: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color w:val="auto"/>
              </w:rPr>
              <w:t>______, 20__</w:t>
            </w:r>
          </w:p>
        </w:tc>
        <w:tc>
          <w:tcPr>
            <w:tcW w:w="140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color w:val="auto"/>
                <w:w w:val="94"/>
              </w:rPr>
              <w:t>[___________]</w:t>
            </w:r>
          </w:p>
        </w:tc>
        <w:tc>
          <w:tcPr>
            <w:tcW w:w="140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418"/>
        </w:trPr>
        <w:tc>
          <w:tcPr>
            <w:tcW w:w="1160" w:type="dxa"/>
            <w:vAlign w:val="bottom"/>
            <w:gridSpan w:val="2"/>
          </w:tcPr>
          <w:p>
            <w:pPr>
              <w:spacing w:after="0"/>
              <w:rPr>
                <w:sz w:val="20"/>
                <w:szCs w:val="20"/>
                <w:color w:val="auto"/>
              </w:rPr>
            </w:pPr>
            <w:r>
              <w:rPr>
                <w:rFonts w:ascii="Arial" w:cs="Arial" w:eastAsia="Arial" w:hAnsi="Arial"/>
                <w:sz w:val="18"/>
                <w:szCs w:val="18"/>
                <w:color w:val="auto"/>
              </w:rPr>
              <w:t>Re:  [</w:t>
            </w:r>
          </w:p>
        </w:tc>
        <w:tc>
          <w:tcPr>
            <w:tcW w:w="5120" w:type="dxa"/>
            <w:vAlign w:val="bottom"/>
            <w:gridSpan w:val="2"/>
          </w:tcPr>
          <w:p>
            <w:pPr>
              <w:ind w:left="40"/>
              <w:spacing w:after="0"/>
              <w:rPr>
                <w:sz w:val="20"/>
                <w:szCs w:val="20"/>
                <w:color w:val="auto"/>
              </w:rPr>
            </w:pPr>
            <w:r>
              <w:rPr>
                <w:rFonts w:ascii="Arial" w:cs="Arial" w:eastAsia="Arial" w:hAnsi="Arial"/>
                <w:sz w:val="18"/>
                <w:szCs w:val="18"/>
                <w:color w:val="auto"/>
              </w:rPr>
              <w:t>] (the “Company”)</w:t>
            </w:r>
          </w:p>
        </w:tc>
      </w:tr>
      <w:tr>
        <w:trPr>
          <w:trHeight w:val="20"/>
        </w:trPr>
        <w:tc>
          <w:tcPr>
            <w:tcW w:w="4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Dear Sir:</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[___________] (“[__________]”) intends to transfer _______ Warrants (the “Warrants”) of the Company to __________ (“________”) without</w:t>
      </w:r>
    </w:p>
    <w:p>
      <w:pPr>
        <w:spacing w:after="0" w:line="3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registration under the Securities Act of 1933, as amended (the “Securities Act”). In connection therewith, we have examined and relied upon the truth of representations contained in an Investor Representation Letter attached hereto and have examined such other documents and issues of law as we have deemed relevant.</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Based on and subject to the foregoing, we are of the opinion that the transfer of the Warrants by _______ to ______ may be effected without registration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under the Securities Act.</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foregoing opinion is furnished only to ____________ and may not be used, circulated, quoted or otherwise referred to or relied upon by you for any</w:t>
      </w:r>
    </w:p>
    <w:p>
      <w:pPr>
        <w:spacing w:after="0" w:line="46" w:lineRule="exact"/>
        <w:rPr>
          <w:sz w:val="20"/>
          <w:szCs w:val="20"/>
          <w:color w:val="auto"/>
        </w:rPr>
      </w:pPr>
    </w:p>
    <w:p>
      <w:pPr>
        <w:ind w:right="1880"/>
        <w:spacing w:after="0" w:line="511" w:lineRule="auto"/>
        <w:rPr>
          <w:sz w:val="20"/>
          <w:szCs w:val="20"/>
          <w:color w:val="auto"/>
        </w:rPr>
      </w:pPr>
      <w:r>
        <w:rPr>
          <w:rFonts w:ascii="Arial" w:cs="Arial" w:eastAsia="Arial" w:hAnsi="Arial"/>
          <w:sz w:val="18"/>
          <w:szCs w:val="18"/>
          <w:color w:val="auto"/>
        </w:rPr>
        <w:t>purposes other than the purpose for which furnished or by any other person for any purpose, without our prior written consent. Very truly yours,</w:t>
      </w:r>
    </w:p>
    <w:p>
      <w:pPr>
        <w:sectPr>
          <w:pgSz w:w="11900" w:h="16838" w:orient="portrait"/>
          <w:cols w:equalWidth="0" w:num="1">
            <w:col w:w="10980"/>
          </w:cols>
          <w:pgMar w:left="440" w:top="274" w:right="47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[FORM OF INVESTOR REPRESENTATION LETTER]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 20__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225" w:lineRule="exact"/>
        <w:rPr>
          <w:sz w:val="20"/>
          <w:szCs w:val="20"/>
          <w:color w:val="auto"/>
        </w:rPr>
      </w:pPr>
    </w:p>
    <w:p>
      <w:pPr>
        <w:spacing w:after="0"/>
        <w:tabs>
          <w:tab w:leader="none" w:pos="6860" w:val="left"/>
        </w:tabs>
        <w:rPr>
          <w:sz w:val="20"/>
          <w:szCs w:val="20"/>
          <w:color w:val="auto"/>
        </w:rPr>
      </w:pPr>
      <w:r>
        <w:rPr>
          <w:rFonts w:ascii="Arial" w:cs="Arial" w:eastAsia="Arial" w:hAnsi="Arial"/>
          <w:sz w:val="18"/>
          <w:szCs w:val="18"/>
          <w:color w:val="auto"/>
        </w:rPr>
        <w:t>_________ (“___”) has agreed to purchase _________ Warrants (the “Warrants”) of [</w:t>
      </w:r>
      <w:r>
        <w:rPr>
          <w:sz w:val="20"/>
          <w:szCs w:val="20"/>
          <w:color w:val="auto"/>
        </w:rPr>
        <w:tab/>
      </w:r>
      <w:r>
        <w:rPr>
          <w:rFonts w:ascii="Arial" w:cs="Arial" w:eastAsia="Arial" w:hAnsi="Arial"/>
          <w:sz w:val="16"/>
          <w:szCs w:val="16"/>
          <w:color w:val="auto"/>
        </w:rPr>
        <w:t>] (the “Company”) from [___________]</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(“[_________]”). We understand that the Warrants are “restricted securities.” We represent and warrant that ______ is a sophisticated institutional</w:t>
      </w:r>
    </w:p>
    <w:p>
      <w:pPr>
        <w:spacing w:after="0" w:line="21" w:lineRule="exact"/>
        <w:rPr>
          <w:sz w:val="20"/>
          <w:szCs w:val="20"/>
          <w:color w:val="auto"/>
        </w:rPr>
      </w:pPr>
    </w:p>
    <w:p>
      <w:pPr>
        <w:ind w:right="500"/>
        <w:spacing w:after="0" w:line="260" w:lineRule="auto"/>
        <w:rPr>
          <w:sz w:val="20"/>
          <w:szCs w:val="20"/>
          <w:color w:val="auto"/>
        </w:rPr>
      </w:pPr>
      <w:r>
        <w:rPr>
          <w:rFonts w:ascii="Arial" w:cs="Arial" w:eastAsia="Arial" w:hAnsi="Arial"/>
          <w:sz w:val="18"/>
          <w:szCs w:val="18"/>
          <w:color w:val="auto"/>
        </w:rPr>
        <w:t>investor that would qualify as an “Accredited Investor” as defined in Rule 501 of Regulation D under the Securities Act of 1933, as amended (the “Securities Act”).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________ represents and warrants as of the date hereof as follows:</w:t>
      </w:r>
    </w:p>
    <w:p>
      <w:pPr>
        <w:spacing w:after="0" w:line="117" w:lineRule="exact"/>
        <w:rPr>
          <w:sz w:val="20"/>
          <w:szCs w:val="20"/>
          <w:color w:val="auto"/>
        </w:rPr>
      </w:pPr>
    </w:p>
    <w:p>
      <w:pPr>
        <w:ind w:left="440" w:right="80" w:hanging="4"/>
        <w:spacing w:after="0" w:line="287" w:lineRule="auto"/>
        <w:tabs>
          <w:tab w:leader="none" w:pos="6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That it is acquiring the Warrants and the shares of common stock, $0.001 par value per share underlying such Warrants (the “Exercise Shares”) solely for its account as principal and not with a view to or for sale or distribution of said Warrants or Exercise Shares or any part thereof in violation of the Securities Act. ________ also represents that the entire legal and beneficial interests of the Warrants and Exercise Shares</w:t>
      </w:r>
    </w:p>
    <w:p>
      <w:pPr>
        <w:spacing w:after="0" w:line="2"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_________ is acquiring or being acquired for, and will be held for, its account only;</w:t>
      </w:r>
    </w:p>
    <w:p>
      <w:pPr>
        <w:spacing w:after="0" w:line="102" w:lineRule="exact"/>
        <w:rPr>
          <w:rFonts w:ascii="Arial" w:cs="Arial" w:eastAsia="Arial" w:hAnsi="Arial"/>
          <w:sz w:val="16"/>
          <w:szCs w:val="16"/>
          <w:color w:val="auto"/>
        </w:rPr>
      </w:pPr>
    </w:p>
    <w:p>
      <w:pPr>
        <w:jc w:val="both"/>
        <w:ind w:left="440" w:right="440" w:hanging="4"/>
        <w:spacing w:after="0" w:line="263" w:lineRule="auto"/>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That the Warrants and the Exercise Shares must be held indefinitely unless they are subsequently registered under the Securities Act or an exemption from such registration is available. _____________ recognizes that the Company has no obligation to register the Warrants, or to comply with any exemption from such registration; or</w:t>
      </w:r>
    </w:p>
    <w:p>
      <w:pPr>
        <w:spacing w:after="0" w:line="75" w:lineRule="exact"/>
        <w:rPr>
          <w:rFonts w:ascii="Arial" w:cs="Arial" w:eastAsia="Arial" w:hAnsi="Arial"/>
          <w:sz w:val="18"/>
          <w:szCs w:val="18"/>
          <w:color w:val="auto"/>
        </w:rPr>
      </w:pPr>
    </w:p>
    <w:p>
      <w:pPr>
        <w:ind w:left="440" w:right="120" w:hanging="4"/>
        <w:spacing w:after="0" w:line="277" w:lineRule="auto"/>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That neither the Warrants nor the Exercise Shares may be sold pursuant to Rule 144 adopted under the Securities Act unless certain conditions are met.</w:t>
      </w:r>
    </w:p>
    <w:p>
      <w:pPr>
        <w:spacing w:after="0" w:line="1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acknowledge that the Company will place stop orders with respect to the Warrants and the Exercise Shares, and if a registration statement is not effective, the Exercise Shares shall bear the following restrictive legend:</w:t>
      </w:r>
    </w:p>
    <w:p>
      <w:pPr>
        <w:spacing w:after="0" w:line="62" w:lineRule="exact"/>
        <w:rPr>
          <w:sz w:val="20"/>
          <w:szCs w:val="20"/>
          <w:color w:val="auto"/>
        </w:rPr>
      </w:pPr>
    </w:p>
    <w:p>
      <w:pPr>
        <w:ind w:left="440"/>
        <w:spacing w:after="0" w:line="254" w:lineRule="auto"/>
        <w:rPr>
          <w:sz w:val="20"/>
          <w:szCs w:val="20"/>
          <w:color w:val="auto"/>
        </w:rPr>
      </w:pPr>
      <w:r>
        <w:rPr>
          <w:rFonts w:ascii="Arial" w:cs="Arial" w:eastAsia="Arial" w:hAnsi="Arial"/>
          <w:sz w:val="18"/>
          <w:szCs w:val="18"/>
          <w:color w:val="auto"/>
        </w:rPr>
        <w:t>“THIS WARRANT AND THE SECURITIES ISSUABLE UPON THE EXERCISE HEREOF HAVE NOT BEEN REGISTERED UNDER THE SECURITIES ACT OF 1933, AS AMENDED, OR THE SECURITIES LAWS OF ANY STATE OF THE UNITED STATES. THE SECURITIES MAY NOT BE SOLD, OFFERED FOR SALE, PLEDGED, HYPOTHECATED, TRANSFERRED OR ASSIGNED IN THE ABSENCE OF AN EFFECTIVE REGISTRATION STATEMENT FOR THE SECURITIES UNDER APPLICABLE SECURITIES LAWS, UNLESS OFFERED, SOLD, PLEDGED, HYPOTHECATED OR TRANSFERRED PURSUANT TO AN AVAILABLE EXEMPTION FROM THE REGISTRATION REQUIREMENTS OF THOSE LAWS. THE COMPANY SHALL BE ENTITLED TO REQUIRE AN OPINION OF COUNSEL SATISFACTORY TO THE COMPANY THAT SUCH REGISTRATION IS NOT REQUIRED.”</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At any time and from time to time after the date hereof, _________ shall, without further consideration, execute and deliver to [________] or the</w:t>
      </w:r>
    </w:p>
    <w:p>
      <w:pPr>
        <w:spacing w:after="0" w:line="35" w:lineRule="exact"/>
        <w:rPr>
          <w:sz w:val="20"/>
          <w:szCs w:val="20"/>
          <w:color w:val="auto"/>
        </w:rPr>
      </w:pPr>
    </w:p>
    <w:p>
      <w:pPr>
        <w:ind w:right="880"/>
        <w:spacing w:after="0" w:line="260" w:lineRule="auto"/>
        <w:rPr>
          <w:sz w:val="20"/>
          <w:szCs w:val="20"/>
          <w:color w:val="auto"/>
        </w:rPr>
      </w:pPr>
      <w:r>
        <w:rPr>
          <w:rFonts w:ascii="Arial" w:cs="Arial" w:eastAsia="Arial" w:hAnsi="Arial"/>
          <w:sz w:val="18"/>
          <w:szCs w:val="18"/>
          <w:color w:val="auto"/>
        </w:rPr>
        <w:t>Company such other instruments or documents and shall take such other actions as they may reasonably request to carry out the transactions contemplated hereby.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ectPr>
          <w:pgSz w:w="11900" w:h="16838" w:orient="portrait"/>
          <w:cols w:equalWidth="0" w:num="1">
            <w:col w:w="10980"/>
          </w:cols>
          <w:pgMar w:left="440" w:top="274" w:right="47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PURCHASE AGREEMENT</w:t>
      </w:r>
    </w:p>
    <w:p>
      <w:pPr>
        <w:spacing w:after="0" w:line="225" w:lineRule="exact"/>
        <w:rPr>
          <w:sz w:val="20"/>
          <w:szCs w:val="20"/>
          <w:color w:val="auto"/>
        </w:rPr>
      </w:pPr>
    </w:p>
    <w:p>
      <w:pPr>
        <w:ind w:right="420" w:firstLine="440"/>
        <w:spacing w:after="0" w:line="289" w:lineRule="auto"/>
        <w:rPr>
          <w:sz w:val="20"/>
          <w:szCs w:val="20"/>
          <w:color w:val="auto"/>
        </w:rPr>
      </w:pPr>
      <w:r>
        <w:rPr>
          <w:rFonts w:ascii="Arial" w:cs="Arial" w:eastAsia="Arial" w:hAnsi="Arial"/>
          <w:sz w:val="17"/>
          <w:szCs w:val="17"/>
          <w:b w:val="1"/>
          <w:bCs w:val="1"/>
          <w:color w:val="auto"/>
        </w:rPr>
        <w:t xml:space="preserve">SECURITIES PURCHASE AGREEMENT </w:t>
      </w:r>
      <w:r>
        <w:rPr>
          <w:rFonts w:ascii="Arial" w:cs="Arial" w:eastAsia="Arial" w:hAnsi="Arial"/>
          <w:sz w:val="17"/>
          <w:szCs w:val="17"/>
          <w:color w:val="auto"/>
        </w:rPr>
        <w:t>(this “</w:t>
      </w:r>
      <w:r>
        <w:rPr>
          <w:rFonts w:ascii="Arial" w:cs="Arial" w:eastAsia="Arial" w:hAnsi="Arial"/>
          <w:sz w:val="17"/>
          <w:szCs w:val="17"/>
          <w:b w:val="1"/>
          <w:bCs w:val="1"/>
          <w:color w:val="auto"/>
        </w:rPr>
        <w:t>Agreement</w:t>
      </w:r>
      <w:r>
        <w:rPr>
          <w:rFonts w:ascii="Arial" w:cs="Arial" w:eastAsia="Arial" w:hAnsi="Arial"/>
          <w:sz w:val="17"/>
          <w:szCs w:val="17"/>
          <w:color w:val="auto"/>
        </w:rPr>
        <w:t>”), dated as of May 20, 2021, by and among Larimar Therapeutics, Inc., a</w:t>
      </w:r>
      <w:r>
        <w:rPr>
          <w:rFonts w:ascii="Arial" w:cs="Arial" w:eastAsia="Arial" w:hAnsi="Arial"/>
          <w:sz w:val="17"/>
          <w:szCs w:val="17"/>
          <w:b w:val="1"/>
          <w:bCs w:val="1"/>
          <w:color w:val="auto"/>
        </w:rPr>
        <w:t xml:space="preserve"> </w:t>
      </w:r>
      <w:r>
        <w:rPr>
          <w:rFonts w:ascii="Arial" w:cs="Arial" w:eastAsia="Arial" w:hAnsi="Arial"/>
          <w:sz w:val="17"/>
          <w:szCs w:val="17"/>
          <w:color w:val="auto"/>
        </w:rPr>
        <w:t>Delaware corporation, with headquarters located at Three Bala Plaza East, Suite 506, Bala Cynwyd, PA 19004 (the “</w:t>
      </w:r>
      <w:r>
        <w:rPr>
          <w:rFonts w:ascii="Arial" w:cs="Arial" w:eastAsia="Arial" w:hAnsi="Arial"/>
          <w:sz w:val="17"/>
          <w:szCs w:val="17"/>
          <w:b w:val="1"/>
          <w:bCs w:val="1"/>
          <w:color w:val="auto"/>
        </w:rPr>
        <w:t>Company</w:t>
      </w:r>
      <w:r>
        <w:rPr>
          <w:rFonts w:ascii="Arial" w:cs="Arial" w:eastAsia="Arial" w:hAnsi="Arial"/>
          <w:sz w:val="17"/>
          <w:szCs w:val="17"/>
          <w:color w:val="auto"/>
        </w:rPr>
        <w:t xml:space="preserve">”), and the investors listed on the </w:t>
      </w:r>
      <w:r>
        <w:rPr>
          <w:rFonts w:ascii="Arial" w:cs="Arial" w:eastAsia="Arial" w:hAnsi="Arial"/>
          <w:sz w:val="17"/>
          <w:szCs w:val="17"/>
          <w:u w:val="single" w:color="auto"/>
          <w:color w:val="auto"/>
        </w:rPr>
        <w:t>Schedule of Investors</w:t>
      </w:r>
      <w:r>
        <w:rPr>
          <w:rFonts w:ascii="Arial" w:cs="Arial" w:eastAsia="Arial" w:hAnsi="Arial"/>
          <w:sz w:val="17"/>
          <w:szCs w:val="17"/>
          <w:color w:val="auto"/>
        </w:rPr>
        <w:t xml:space="preserve"> attached hereto (individually, an “</w:t>
      </w:r>
      <w:r>
        <w:rPr>
          <w:rFonts w:ascii="Arial" w:cs="Arial" w:eastAsia="Arial" w:hAnsi="Arial"/>
          <w:sz w:val="17"/>
          <w:szCs w:val="17"/>
          <w:b w:val="1"/>
          <w:bCs w:val="1"/>
          <w:color w:val="auto"/>
        </w:rPr>
        <w:t>Investor</w:t>
      </w:r>
      <w:r>
        <w:rPr>
          <w:rFonts w:ascii="Arial" w:cs="Arial" w:eastAsia="Arial" w:hAnsi="Arial"/>
          <w:sz w:val="17"/>
          <w:szCs w:val="17"/>
          <w:color w:val="auto"/>
        </w:rPr>
        <w:t>” and collectively, the “</w:t>
      </w:r>
      <w:r>
        <w:rPr>
          <w:rFonts w:ascii="Arial" w:cs="Arial" w:eastAsia="Arial" w:hAnsi="Arial"/>
          <w:sz w:val="17"/>
          <w:szCs w:val="17"/>
          <w:b w:val="1"/>
          <w:bCs w:val="1"/>
          <w:color w:val="auto"/>
        </w:rPr>
        <w:t>Investors</w:t>
      </w:r>
      <w:r>
        <w:rPr>
          <w:rFonts w:ascii="Arial" w:cs="Arial" w:eastAsia="Arial" w:hAnsi="Arial"/>
          <w:sz w:val="17"/>
          <w:szCs w:val="17"/>
          <w:color w:val="auto"/>
        </w:rPr>
        <w:t>”).</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70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the Investors are executing and delivering this Agreement in reliance upon the exemption from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registration afforded by Section 4(a)(2) of the Securities Act of 1933, as amended (the “</w:t>
      </w:r>
      <w:r>
        <w:rPr>
          <w:rFonts w:ascii="Arial" w:cs="Arial" w:eastAsia="Arial" w:hAnsi="Arial"/>
          <w:sz w:val="18"/>
          <w:szCs w:val="18"/>
          <w:b w:val="1"/>
          <w:bCs w:val="1"/>
          <w:color w:val="auto"/>
        </w:rPr>
        <w:t>1933 Act</w:t>
      </w:r>
      <w:r>
        <w:rPr>
          <w:rFonts w:ascii="Arial" w:cs="Arial" w:eastAsia="Arial" w:hAnsi="Arial"/>
          <w:sz w:val="18"/>
          <w:szCs w:val="18"/>
          <w:color w:val="auto"/>
        </w:rPr>
        <w: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each Investor, severally, and not jointly, wishes to purchase from the Company, and the Company wishes to sell to each Investor,</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upon the terms and conditions stated in this Agreement, the number of shares of the Company’s common stock, par value $0.001 per share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Common Stock</w:t>
      </w:r>
      <w:r>
        <w:rPr>
          <w:rFonts w:ascii="Arial" w:cs="Arial" w:eastAsia="Arial" w:hAnsi="Arial"/>
          <w:sz w:val="16"/>
          <w:szCs w:val="16"/>
          <w:color w:val="auto"/>
        </w:rPr>
        <w:t>”) set forth opposite such Investor’s name under the heading “Shares” on the Schedule of Investors (the “</w:t>
      </w:r>
      <w:r>
        <w:rPr>
          <w:rFonts w:ascii="Arial" w:cs="Arial" w:eastAsia="Arial" w:hAnsi="Arial"/>
          <w:sz w:val="16"/>
          <w:szCs w:val="16"/>
          <w:b w:val="1"/>
          <w:bCs w:val="1"/>
          <w:color w:val="auto"/>
        </w:rPr>
        <w:t>Shares</w:t>
      </w:r>
      <w:r>
        <w:rPr>
          <w:rFonts w:ascii="Arial" w:cs="Arial" w:eastAsia="Arial" w:hAnsi="Arial"/>
          <w:sz w:val="16"/>
          <w:szCs w:val="16"/>
          <w:color w:val="auto"/>
        </w:rPr>
        <w:t>”) and/or a pre-funded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warrant (each, a “</w:t>
      </w:r>
      <w:r>
        <w:rPr>
          <w:rFonts w:ascii="Arial" w:cs="Arial" w:eastAsia="Arial" w:hAnsi="Arial"/>
          <w:sz w:val="17"/>
          <w:szCs w:val="17"/>
          <w:b w:val="1"/>
          <w:bCs w:val="1"/>
          <w:color w:val="auto"/>
        </w:rPr>
        <w:t>Pre-Funded Warrant</w:t>
      </w:r>
      <w:r>
        <w:rPr>
          <w:rFonts w:ascii="Arial" w:cs="Arial" w:eastAsia="Arial" w:hAnsi="Arial"/>
          <w:sz w:val="17"/>
          <w:szCs w:val="17"/>
          <w:color w:val="auto"/>
        </w:rPr>
        <w:t>”) to purchase the number of shares of Common Stock at a purchase price of $0.01 per share as set forth</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opposite such Investor’s name on the Schedule of Investors under the heading “Warrant Shares” (the “</w:t>
      </w:r>
      <w:r>
        <w:rPr>
          <w:rFonts w:ascii="Arial" w:cs="Arial" w:eastAsia="Arial" w:hAnsi="Arial"/>
          <w:sz w:val="17"/>
          <w:szCs w:val="17"/>
          <w:b w:val="1"/>
          <w:bCs w:val="1"/>
          <w:color w:val="auto"/>
        </w:rPr>
        <w:t>Warrant Shares</w:t>
      </w:r>
      <w:r>
        <w:rPr>
          <w:rFonts w:ascii="Arial" w:cs="Arial" w:eastAsia="Arial" w:hAnsi="Arial"/>
          <w:sz w:val="17"/>
          <w:szCs w:val="17"/>
          <w:color w:val="auto"/>
        </w:rPr>
        <w:t>”, and together with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Pre-Funded Warrants and Shares, the “</w:t>
      </w:r>
      <w:r>
        <w:rPr>
          <w:rFonts w:ascii="Arial" w:cs="Arial" w:eastAsia="Arial" w:hAnsi="Arial"/>
          <w:sz w:val="18"/>
          <w:szCs w:val="18"/>
          <w:b w:val="1"/>
          <w:bCs w:val="1"/>
          <w:color w:val="auto"/>
        </w:rPr>
        <w:t>Securities</w:t>
      </w:r>
      <w:r>
        <w:rPr>
          <w:rFonts w:ascii="Arial" w:cs="Arial" w:eastAsia="Arial" w:hAnsi="Arial"/>
          <w:sz w:val="18"/>
          <w:szCs w:val="18"/>
          <w:color w:val="auto"/>
        </w:rPr>
        <w:t>”) (which aggregate Purchase Price for all Investors together shall be $[•]); and</w:t>
      </w:r>
    </w:p>
    <w:p>
      <w:pPr>
        <w:spacing w:after="0" w:line="207" w:lineRule="exact"/>
        <w:rPr>
          <w:sz w:val="20"/>
          <w:szCs w:val="20"/>
          <w:color w:val="auto"/>
        </w:rPr>
      </w:pPr>
    </w:p>
    <w:p>
      <w:pPr>
        <w:ind w:right="140" w:firstLine="440"/>
        <w:spacing w:after="0" w:line="294"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contemporaneously with the execution and delivery of this Agreement, (i) the parties hereto, other than the Deerfield Funds (as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defined below), are executing and delivering a Registration Rights Agreement, in the form attached as </w:t>
      </w:r>
      <w:r>
        <w:rPr>
          <w:rFonts w:ascii="Arial" w:cs="Arial" w:eastAsia="Arial" w:hAnsi="Arial"/>
          <w:sz w:val="16"/>
          <w:szCs w:val="16"/>
          <w:u w:val="single" w:color="auto"/>
          <w:color w:val="auto"/>
        </w:rPr>
        <w:t>Exhibit A-1</w:t>
      </w:r>
      <w:r>
        <w:rPr>
          <w:rFonts w:ascii="Arial" w:cs="Arial" w:eastAsia="Arial" w:hAnsi="Arial"/>
          <w:sz w:val="16"/>
          <w:szCs w:val="16"/>
          <w:color w:val="auto"/>
        </w:rPr>
        <w:t xml:space="preserve"> (the “</w:t>
      </w:r>
      <w:r>
        <w:rPr>
          <w:rFonts w:ascii="Arial" w:cs="Arial" w:eastAsia="Arial" w:hAnsi="Arial"/>
          <w:sz w:val="16"/>
          <w:szCs w:val="16"/>
          <w:b w:val="1"/>
          <w:bCs w:val="1"/>
          <w:color w:val="auto"/>
        </w:rPr>
        <w:t>Investor Registration Rights</w:t>
      </w:r>
      <w:r>
        <w:rPr>
          <w:rFonts w:ascii="Arial" w:cs="Arial" w:eastAsia="Arial" w:hAnsi="Arial"/>
          <w:sz w:val="16"/>
          <w:szCs w:val="16"/>
          <w:color w:val="auto"/>
        </w:rPr>
        <w:t xml:space="preserve"> </w:t>
      </w:r>
      <w:r>
        <w:rPr>
          <w:rFonts w:ascii="Arial" w:cs="Arial" w:eastAsia="Arial" w:hAnsi="Arial"/>
          <w:sz w:val="16"/>
          <w:szCs w:val="16"/>
          <w:b w:val="1"/>
          <w:bCs w:val="1"/>
          <w:color w:val="auto"/>
        </w:rPr>
        <w:t>Agreement</w:t>
      </w:r>
      <w:r>
        <w:rPr>
          <w:rFonts w:ascii="Arial" w:cs="Arial" w:eastAsia="Arial" w:hAnsi="Arial"/>
          <w:sz w:val="16"/>
          <w:szCs w:val="16"/>
          <w:color w:val="auto"/>
        </w:rPr>
        <w:t>”), and (ii) the Deerfield Funds and the Company are executing and delivering an Amended and Restated Registration Rights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substantially in the form attached as Exhibit A-2 (as the same may be amended, restated, modified or supplemented and in effect from time to time, the “</w:t>
      </w:r>
      <w:r>
        <w:rPr>
          <w:rFonts w:ascii="Arial" w:cs="Arial" w:eastAsia="Arial" w:hAnsi="Arial"/>
          <w:sz w:val="16"/>
          <w:szCs w:val="16"/>
          <w:b w:val="1"/>
          <w:bCs w:val="1"/>
          <w:color w:val="auto"/>
        </w:rPr>
        <w:t>Deerfield Registration Rights Agreement</w:t>
      </w:r>
      <w:r>
        <w:rPr>
          <w:rFonts w:ascii="Arial" w:cs="Arial" w:eastAsia="Arial" w:hAnsi="Arial"/>
          <w:sz w:val="16"/>
          <w:szCs w:val="16"/>
          <w:color w:val="auto"/>
        </w:rPr>
        <w:t>”), in each case, pursuant to which the Company has agreed to provide certain registration rights in respect of the Securities under the 1933 Act and the rules and regulations promulgated thereunder, and applicable state securities laws.</w:t>
      </w:r>
    </w:p>
    <w:p>
      <w:pPr>
        <w:spacing w:after="0" w:line="160" w:lineRule="exact"/>
        <w:rPr>
          <w:sz w:val="20"/>
          <w:szCs w:val="20"/>
          <w:color w:val="auto"/>
        </w:rPr>
      </w:pPr>
    </w:p>
    <w:p>
      <w:pPr>
        <w:jc w:val="center"/>
        <w:ind w:right="140"/>
        <w:spacing w:after="0" w:line="347" w:lineRule="auto"/>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w:t>
      </w:r>
      <w:r>
        <w:rPr>
          <w:rFonts w:ascii="Arial" w:cs="Arial" w:eastAsia="Arial" w:hAnsi="Arial"/>
          <w:sz w:val="16"/>
          <w:szCs w:val="16"/>
          <w:b w:val="1"/>
          <w:bCs w:val="1"/>
          <w:color w:val="auto"/>
        </w:rPr>
        <w:t xml:space="preserve"> IN CONSIDERATION </w:t>
      </w:r>
      <w:r>
        <w:rPr>
          <w:rFonts w:ascii="Arial" w:cs="Arial" w:eastAsia="Arial" w:hAnsi="Arial"/>
          <w:sz w:val="16"/>
          <w:szCs w:val="16"/>
          <w:color w:val="auto"/>
        </w:rPr>
        <w:t>of the mutual covenants and agreements set forth herein, and for other good and valuable</w:t>
      </w:r>
      <w:r>
        <w:rPr>
          <w:rFonts w:ascii="Arial" w:cs="Arial" w:eastAsia="Arial" w:hAnsi="Arial"/>
          <w:sz w:val="16"/>
          <w:szCs w:val="16"/>
          <w:b w:val="1"/>
          <w:bCs w:val="1"/>
          <w:color w:val="auto"/>
        </w:rPr>
        <w:t xml:space="preserve"> </w:t>
      </w:r>
      <w:r>
        <w:rPr>
          <w:rFonts w:ascii="Arial" w:cs="Arial" w:eastAsia="Arial" w:hAnsi="Arial"/>
          <w:sz w:val="16"/>
          <w:szCs w:val="16"/>
          <w:color w:val="auto"/>
        </w:rPr>
        <w:t>consideration, the receipt and sufficiency of which are hereby acknowledged, the parties hereto, intending to be legally bound, hereby agree as follows:</w:t>
      </w:r>
    </w:p>
    <w:p>
      <w:pPr>
        <w:sectPr>
          <w:pgSz w:w="11900" w:h="16838" w:orient="portrait"/>
          <w:cols w:equalWidth="0" w:num="1">
            <w:col w:w="11020"/>
          </w:cols>
          <w:pgMar w:left="440" w:top="121" w:right="439" w:bottom="1440" w:gutter="0" w:footer="0" w:header="0"/>
        </w:sectPr>
      </w:pPr>
    </w:p>
    <w:bookmarkStart w:id="25" w:name="page26"/>
    <w:bookmarkEnd w:id="25"/>
    <w:p>
      <w:pPr>
        <w:jc w:val="center"/>
        <w:ind w:right="-6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w:t>
      </w:r>
    </w:p>
    <w:p>
      <w:pPr>
        <w:spacing w:after="0" w:line="27"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DEFINED TERMS</w:t>
      </w:r>
    </w:p>
    <w:p>
      <w:pPr>
        <w:spacing w:after="0" w:line="211" w:lineRule="exact"/>
        <w:rPr>
          <w:sz w:val="20"/>
          <w:szCs w:val="20"/>
          <w:color w:val="auto"/>
        </w:rPr>
      </w:pPr>
    </w:p>
    <w:p>
      <w:pPr>
        <w:ind w:left="984"/>
        <w:spacing w:after="0"/>
        <w:rPr>
          <w:sz w:val="20"/>
          <w:szCs w:val="20"/>
          <w:color w:val="auto"/>
        </w:rPr>
      </w:pPr>
      <w:r>
        <w:rPr>
          <w:rFonts w:ascii="Arial" w:cs="Arial" w:eastAsia="Arial" w:hAnsi="Arial"/>
          <w:sz w:val="17"/>
          <w:szCs w:val="17"/>
          <w:color w:val="auto"/>
        </w:rPr>
        <w:t xml:space="preserve">Section 1.01. </w:t>
      </w:r>
      <w:r>
        <w:rPr>
          <w:rFonts w:ascii="Arial" w:cs="Arial" w:eastAsia="Arial" w:hAnsi="Arial"/>
          <w:sz w:val="17"/>
          <w:szCs w:val="17"/>
          <w:u w:val="single" w:color="auto"/>
          <w:color w:val="auto"/>
        </w:rPr>
        <w:t>Definitions</w:t>
      </w:r>
      <w:r>
        <w:rPr>
          <w:rFonts w:ascii="Arial" w:cs="Arial" w:eastAsia="Arial" w:hAnsi="Arial"/>
          <w:sz w:val="17"/>
          <w:szCs w:val="17"/>
          <w:color w:val="auto"/>
        </w:rPr>
        <w:t>. As used in this Agreement, the following terms shall have the meanings set forth or as referenced below:</w:t>
      </w:r>
    </w:p>
    <w:p>
      <w:pPr>
        <w:spacing w:after="0" w:line="233" w:lineRule="exact"/>
        <w:rPr>
          <w:sz w:val="20"/>
          <w:szCs w:val="20"/>
          <w:color w:val="auto"/>
        </w:rPr>
      </w:pPr>
    </w:p>
    <w:p>
      <w:pPr>
        <w:ind w:left="4" w:firstLine="991"/>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means, with respect to any Person, another Person that, (i) is a director, officer, manager, managing member, general partner or five percent (5%) or greater owner of equity interests in such Person, or (ii) directly or indirectly, (1) has a common ownership with that Person,</w:t>
      </w:r>
    </w:p>
    <w:p>
      <w:pPr>
        <w:spacing w:after="0" w:line="1" w:lineRule="exact"/>
        <w:rPr>
          <w:sz w:val="20"/>
          <w:szCs w:val="20"/>
          <w:color w:val="auto"/>
        </w:rPr>
      </w:pPr>
    </w:p>
    <w:p>
      <w:pPr>
        <w:ind w:left="4" w:right="100" w:hanging="4"/>
        <w:spacing w:after="0" w:line="255" w:lineRule="auto"/>
        <w:tabs>
          <w:tab w:leader="none" w:pos="259"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controls that Person, (3) is controlled by that Person or (4) shares common control with that Person. Notwithstanding the foregoing, for purposes of Section 4.12 of this Agreement, neither the Company, nor any of its subsidiaries, officers or directors, shall be deemed an “Affiliate” of any of the Deerfield Funds.</w:t>
      </w:r>
    </w:p>
    <w:p>
      <w:pPr>
        <w:spacing w:after="0" w:line="186" w:lineRule="exact"/>
        <w:rPr>
          <w:sz w:val="20"/>
          <w:szCs w:val="20"/>
          <w:color w:val="auto"/>
        </w:rPr>
      </w:pPr>
    </w:p>
    <w:p>
      <w:pPr>
        <w:ind w:left="98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Business Day</w:t>
      </w:r>
      <w:r>
        <w:rPr>
          <w:rFonts w:ascii="Arial" w:cs="Arial" w:eastAsia="Arial" w:hAnsi="Arial"/>
          <w:sz w:val="16"/>
          <w:szCs w:val="16"/>
          <w:color w:val="auto"/>
        </w:rPr>
        <w:t>” means a day, other than a Saturday or Sunday, on which banks in New York City are open for the general transaction of</w:t>
      </w:r>
    </w:p>
    <w:p>
      <w:pPr>
        <w:spacing w:after="0" w:line="50" w:lineRule="exact"/>
        <w:rPr>
          <w:sz w:val="20"/>
          <w:szCs w:val="20"/>
          <w:color w:val="auto"/>
        </w:rPr>
      </w:pPr>
    </w:p>
    <w:p>
      <w:pPr>
        <w:ind w:left="4"/>
        <w:spacing w:after="0"/>
        <w:rPr>
          <w:sz w:val="20"/>
          <w:szCs w:val="20"/>
          <w:color w:val="auto"/>
        </w:rPr>
      </w:pPr>
      <w:r>
        <w:rPr>
          <w:rFonts w:ascii="Arial" w:cs="Arial" w:eastAsia="Arial" w:hAnsi="Arial"/>
          <w:sz w:val="18"/>
          <w:szCs w:val="18"/>
          <w:color w:val="auto"/>
        </w:rPr>
        <w:t>business.</w:t>
      </w:r>
    </w:p>
    <w:p>
      <w:pPr>
        <w:spacing w:after="0" w:line="207" w:lineRule="exact"/>
        <w:rPr>
          <w:sz w:val="20"/>
          <w:szCs w:val="20"/>
          <w:color w:val="auto"/>
        </w:rPr>
      </w:pPr>
    </w:p>
    <w:p>
      <w:pPr>
        <w:ind w:left="98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CERCLA</w:t>
      </w:r>
      <w:r>
        <w:rPr>
          <w:rFonts w:ascii="Arial" w:cs="Arial" w:eastAsia="Arial" w:hAnsi="Arial"/>
          <w:sz w:val="16"/>
          <w:szCs w:val="16"/>
          <w:color w:val="auto"/>
        </w:rPr>
        <w:t>” means the Comprehensive Environmental Response, Compensation and Liability Act of 1980, 42 U.S.C. §9601 et seq., as</w:t>
      </w:r>
    </w:p>
    <w:p>
      <w:pPr>
        <w:spacing w:after="0" w:line="50" w:lineRule="exact"/>
        <w:rPr>
          <w:sz w:val="20"/>
          <w:szCs w:val="20"/>
          <w:color w:val="auto"/>
        </w:rPr>
      </w:pPr>
    </w:p>
    <w:p>
      <w:pPr>
        <w:ind w:left="4"/>
        <w:spacing w:after="0"/>
        <w:rPr>
          <w:sz w:val="20"/>
          <w:szCs w:val="20"/>
          <w:color w:val="auto"/>
        </w:rPr>
      </w:pPr>
      <w:r>
        <w:rPr>
          <w:rFonts w:ascii="Arial" w:cs="Arial" w:eastAsia="Arial" w:hAnsi="Arial"/>
          <w:sz w:val="18"/>
          <w:szCs w:val="18"/>
          <w:color w:val="auto"/>
        </w:rPr>
        <w:t>amended.</w:t>
      </w:r>
    </w:p>
    <w:p>
      <w:pPr>
        <w:spacing w:after="0" w:line="207" w:lineRule="exact"/>
        <w:rPr>
          <w:sz w:val="20"/>
          <w:szCs w:val="20"/>
          <w:color w:val="auto"/>
        </w:rPr>
      </w:pPr>
    </w:p>
    <w:p>
      <w:pPr>
        <w:ind w:left="98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Company’s Knowledge</w:t>
      </w:r>
      <w:r>
        <w:rPr>
          <w:rFonts w:ascii="Arial" w:cs="Arial" w:eastAsia="Arial" w:hAnsi="Arial"/>
          <w:sz w:val="17"/>
          <w:szCs w:val="17"/>
          <w:color w:val="auto"/>
        </w:rPr>
        <w:t>” means the actual knowledge of the executive officers (as defined in Rule 405 under the 1933 Act) of the</w:t>
      </w:r>
    </w:p>
    <w:p>
      <w:pPr>
        <w:spacing w:after="0" w:line="39" w:lineRule="exact"/>
        <w:rPr>
          <w:sz w:val="20"/>
          <w:szCs w:val="20"/>
          <w:color w:val="auto"/>
        </w:rPr>
      </w:pPr>
    </w:p>
    <w:p>
      <w:pPr>
        <w:ind w:left="4"/>
        <w:spacing w:after="0"/>
        <w:rPr>
          <w:sz w:val="20"/>
          <w:szCs w:val="20"/>
          <w:color w:val="auto"/>
        </w:rPr>
      </w:pPr>
      <w:r>
        <w:rPr>
          <w:rFonts w:ascii="Arial" w:cs="Arial" w:eastAsia="Arial" w:hAnsi="Arial"/>
          <w:sz w:val="18"/>
          <w:szCs w:val="18"/>
          <w:color w:val="auto"/>
        </w:rPr>
        <w:t>Company.</w:t>
      </w:r>
    </w:p>
    <w:p>
      <w:pPr>
        <w:spacing w:after="0" w:line="207" w:lineRule="exact"/>
        <w:rPr>
          <w:sz w:val="20"/>
          <w:szCs w:val="20"/>
          <w:color w:val="auto"/>
        </w:rPr>
      </w:pPr>
    </w:p>
    <w:p>
      <w:pPr>
        <w:ind w:left="98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Control</w:t>
      </w:r>
      <w:r>
        <w:rPr>
          <w:rFonts w:ascii="Arial" w:cs="Arial" w:eastAsia="Arial" w:hAnsi="Arial"/>
          <w:sz w:val="16"/>
          <w:szCs w:val="16"/>
          <w:color w:val="auto"/>
        </w:rPr>
        <w:t>” or “</w:t>
      </w:r>
      <w:r>
        <w:rPr>
          <w:rFonts w:ascii="Arial" w:cs="Arial" w:eastAsia="Arial" w:hAnsi="Arial"/>
          <w:sz w:val="16"/>
          <w:szCs w:val="16"/>
          <w:b w:val="1"/>
          <w:bCs w:val="1"/>
          <w:color w:val="auto"/>
        </w:rPr>
        <w:t>controls</w:t>
      </w:r>
      <w:r>
        <w:rPr>
          <w:rFonts w:ascii="Arial" w:cs="Arial" w:eastAsia="Arial" w:hAnsi="Arial"/>
          <w:sz w:val="16"/>
          <w:szCs w:val="16"/>
          <w:color w:val="auto"/>
        </w:rPr>
        <w:t>” means that a Person or entity has the power, directly or indirectly, to conduct or govern the policies of another</w:t>
      </w:r>
    </w:p>
    <w:p>
      <w:pPr>
        <w:spacing w:after="0" w:line="50" w:lineRule="exact"/>
        <w:rPr>
          <w:sz w:val="20"/>
          <w:szCs w:val="20"/>
          <w:color w:val="auto"/>
        </w:rPr>
      </w:pPr>
    </w:p>
    <w:p>
      <w:pPr>
        <w:ind w:left="4"/>
        <w:spacing w:after="0"/>
        <w:rPr>
          <w:sz w:val="20"/>
          <w:szCs w:val="20"/>
          <w:color w:val="auto"/>
        </w:rPr>
      </w:pPr>
      <w:r>
        <w:rPr>
          <w:rFonts w:ascii="Arial" w:cs="Arial" w:eastAsia="Arial" w:hAnsi="Arial"/>
          <w:sz w:val="18"/>
          <w:szCs w:val="18"/>
          <w:color w:val="auto"/>
        </w:rPr>
        <w:t>Person.</w:t>
      </w:r>
    </w:p>
    <w:p>
      <w:pPr>
        <w:spacing w:after="0" w:line="207" w:lineRule="exact"/>
        <w:rPr>
          <w:sz w:val="20"/>
          <w:szCs w:val="20"/>
          <w:color w:val="auto"/>
        </w:rPr>
      </w:pPr>
    </w:p>
    <w:p>
      <w:pPr>
        <w:ind w:left="4" w:right="8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Deerfield Funds</w:t>
      </w:r>
      <w:r>
        <w:rPr>
          <w:rFonts w:ascii="Arial" w:cs="Arial" w:eastAsia="Arial" w:hAnsi="Arial"/>
          <w:sz w:val="18"/>
          <w:szCs w:val="18"/>
          <w:color w:val="auto"/>
        </w:rPr>
        <w:t>” means Deerfield Private Design Fund III, L.P., Deerfield Private Design Fund IV, L.P., Deerfield Healthcare Innovations Fund, L.P. (collectively, the “</w:t>
      </w:r>
      <w:r>
        <w:rPr>
          <w:rFonts w:ascii="Arial" w:cs="Arial" w:eastAsia="Arial" w:hAnsi="Arial"/>
          <w:sz w:val="18"/>
          <w:szCs w:val="18"/>
          <w:b w:val="1"/>
          <w:bCs w:val="1"/>
          <w:color w:val="auto"/>
        </w:rPr>
        <w:t>Initial Deerfield Funds</w:t>
      </w:r>
      <w:r>
        <w:rPr>
          <w:rFonts w:ascii="Arial" w:cs="Arial" w:eastAsia="Arial" w:hAnsi="Arial"/>
          <w:sz w:val="18"/>
          <w:szCs w:val="18"/>
          <w:color w:val="auto"/>
        </w:rPr>
        <w:t>”) together with any Person to which any Initial Deerfield Fund transfers the rights of a Deerfield Fund hereunder (in whole or in part).</w:t>
      </w:r>
    </w:p>
    <w:p>
      <w:pPr>
        <w:spacing w:after="0" w:line="176"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DTC</w:t>
      </w:r>
      <w:r>
        <w:rPr>
          <w:rFonts w:ascii="Arial" w:cs="Arial" w:eastAsia="Arial" w:hAnsi="Arial"/>
          <w:sz w:val="18"/>
          <w:szCs w:val="18"/>
          <w:color w:val="auto"/>
        </w:rPr>
        <w:t>” means the Depository Trust Company.</w:t>
      </w:r>
    </w:p>
    <w:p>
      <w:pPr>
        <w:spacing w:after="0" w:line="225" w:lineRule="exact"/>
        <w:rPr>
          <w:sz w:val="20"/>
          <w:szCs w:val="20"/>
          <w:color w:val="auto"/>
        </w:rPr>
      </w:pPr>
    </w:p>
    <w:p>
      <w:pPr>
        <w:ind w:left="4" w:right="20" w:firstLine="99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Laws</w:t>
      </w:r>
      <w:r>
        <w:rPr>
          <w:rFonts w:ascii="Arial" w:cs="Arial" w:eastAsia="Arial" w:hAnsi="Arial"/>
          <w:sz w:val="18"/>
          <w:szCs w:val="18"/>
          <w:color w:val="auto"/>
        </w:rPr>
        <w:t>” means all federal, state, local or foreign laws relating to any matter arising out of or relating to public health and safety, or pollution or protection of the environment (including ambient air, surface water, groundwater, land surface or subsurface strata) or workplace, including any of the foregoing relating to the presence, use, production, generation, handling, transport, treatment, storage, disposal, distribution, discharge, emission, release, threatened release, control or cleanup of any Hazardous Materials, including the CERCLA, the Resource Conservation and Recovery Act of 1976, as amended, 42 U.S.C. §6901, et seq., the Clean Air Act, 42 U.S.C. §7401, et seq., as amended, the Federal Water Pollution Control Act, 33 U.S.C. §1251, et seq., as amended, the Oil Pollution Act of 1990, 33 U.S.C. §2701, et seq., and the Toxic Substances Control Act, 15 U.S.C. §2601, et seq.</w:t>
      </w:r>
    </w:p>
    <w:p>
      <w:pPr>
        <w:spacing w:after="0" w:line="189" w:lineRule="exact"/>
        <w:rPr>
          <w:sz w:val="20"/>
          <w:szCs w:val="20"/>
          <w:color w:val="auto"/>
        </w:rPr>
      </w:pPr>
    </w:p>
    <w:p>
      <w:pPr>
        <w:ind w:left="4" w:right="320" w:firstLine="991"/>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means any: (a) nation, state, commonwealth, province, territory, county, municipality, district or other jurisdiction of any nature, (b) federal, state, local, municipal, foreign or other government, (c) governmental or quasi-governmental authority of any nature (including any governmental division, department, agency, commission, bureau, instrumentality, official, ministry, fund, foundation, center, organization, unit, body or Entity and any court or other tribunal, and for the avoidance of doubt, any taxing authority) or (d) self-regulatory organization (including Nasdaq).</w:t>
      </w:r>
    </w:p>
    <w:p>
      <w:pPr>
        <w:spacing w:after="0" w:line="183" w:lineRule="exact"/>
        <w:rPr>
          <w:sz w:val="20"/>
          <w:szCs w:val="20"/>
          <w:color w:val="auto"/>
        </w:rPr>
      </w:pPr>
    </w:p>
    <w:p>
      <w:pPr>
        <w:jc w:val="both"/>
        <w:ind w:left="4" w:right="240" w:firstLine="99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Hazardous Materials</w:t>
      </w:r>
      <w:r>
        <w:rPr>
          <w:rFonts w:ascii="Arial" w:cs="Arial" w:eastAsia="Arial" w:hAnsi="Arial"/>
          <w:sz w:val="18"/>
          <w:szCs w:val="18"/>
          <w:color w:val="auto"/>
        </w:rPr>
        <w:t>” means any hazardous, toxic or dangerous substance, materials and wastes, including hydrocarbons (including naturally occurring or man-made petroleum and hydrocarbons), flammable explosives, asbestos, urea formaldehyde insulation, radioactive materials, biological substances, polychlorinated biphenyls, pesticides, herbicides and</w:t>
      </w:r>
    </w:p>
    <w:p>
      <w:pPr>
        <w:spacing w:after="0" w:line="112"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4"/>
          </w:cols>
          <w:pgMar w:left="436" w:top="270" w:right="499" w:bottom="1440" w:gutter="0" w:footer="0" w:header="0"/>
        </w:sectPr>
      </w:pPr>
    </w:p>
    <w:bookmarkStart w:id="26" w:name="page27"/>
    <w:bookmarkEnd w:id="26"/>
    <w:p>
      <w:pPr>
        <w:ind w:right="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other kind or type of pollutants or contaminants (including materials which include hazardous constituents), sewage, sludge, industrial slag, solvents or any other similar substances, materials, or wastes and including any other substances, materials or wastes that are or become regulated under any Environmental Law (including any that are or become classified as hazardous or toxic under any Environmental Law).</w:t>
      </w:r>
    </w:p>
    <w:p>
      <w:pPr>
        <w:spacing w:after="0" w:line="161" w:lineRule="exact"/>
        <w:rPr>
          <w:sz w:val="20"/>
          <w:szCs w:val="20"/>
          <w:color w:val="auto"/>
        </w:rPr>
      </w:pPr>
    </w:p>
    <w:p>
      <w:pPr>
        <w:ind w:firstLine="991"/>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Intellectual Property</w:t>
      </w:r>
      <w:r>
        <w:rPr>
          <w:rFonts w:ascii="Arial" w:cs="Arial" w:eastAsia="Arial" w:hAnsi="Arial"/>
          <w:sz w:val="16"/>
          <w:szCs w:val="16"/>
          <w:color w:val="auto"/>
        </w:rPr>
        <w:t>” means all intellectual property rights and assets, and all rights, interests and protections that are associated with, similar to, or required for the exercise of, any of the foregoing, however arising, pursuant to the laws of any jurisdiction throughout the world, whether registered or unregistered, including any and all: (i) inventions (whether or not patentable, and whether or not reduced to practice), all improvements thereto, and all patents (including all reissuances, divisionals, provisionals, continuations and continuations-in-part, re-examinations, renewals, substitutions and extensions thereof), patent applications, and other patent rights and any other Governmental Authority-issued indicia of invention ownership (including inventor’s certificates, petty patents and patent utility models); (ii) trademarks, service marks, trade names, brand names, logos, trade dress, design rights and other similar designations of source, sponsorship, association or origin, together with all goodwill connected with the use of and symbolized by, and all registrations, registration applications and renewals in respect of, any of the foregoing; (iii) Internet domain names, whether or not trademarks or service marks, registered in any top-level domain by any authorized private registrar or Governmental Authority, web addresses, web pages, websites and related content, accounts with Twitter, Facebook and other social media companies and the content found thereon and related thereto, and URLs; (iv) works of authorship, expressions, designs and design registrations, whether or not copyrightable, including copyrights and moral rights, and all registrations, applications for registration and renewals with respect thereto; (v) trade secrets, discoveries, business and technical information, know-how, methodologies, strategies, processes, databases, data collections and other confidential or proprietary information and all rights therein; (vi) software and firmware, including data files, source code, object code, application programming interfaces, routines, algorithms, architecture, files, records, schematics, computerized databases and other related specifications and documentation; (vii) semiconductor chips and mask works; (viii) other intellectual property rights; and (ix) copies and tangible embodiments (in whatever form or medium) of the foregoing.</w:t>
      </w:r>
    </w:p>
    <w:p>
      <w:pPr>
        <w:spacing w:after="0" w:line="164" w:lineRule="exact"/>
        <w:rPr>
          <w:sz w:val="20"/>
          <w:szCs w:val="20"/>
          <w:color w:val="auto"/>
        </w:rPr>
      </w:pPr>
    </w:p>
    <w:p>
      <w:pPr>
        <w:ind w:right="40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means, with respect to any asset, any mortgage, lien, pledge, hypothecation, charge, security interest, encumbrance or adverse claim of any kind with respect to such asset.</w:t>
      </w:r>
    </w:p>
    <w:p>
      <w:pPr>
        <w:spacing w:after="0" w:line="162" w:lineRule="exact"/>
        <w:rPr>
          <w:sz w:val="20"/>
          <w:szCs w:val="20"/>
          <w:color w:val="auto"/>
        </w:rPr>
      </w:pPr>
    </w:p>
    <w:p>
      <w:pPr>
        <w:ind w:firstLine="991"/>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Material Adverse Effect</w:t>
      </w:r>
      <w:r>
        <w:rPr>
          <w:rFonts w:ascii="Arial" w:cs="Arial" w:eastAsia="Arial" w:hAnsi="Arial"/>
          <w:sz w:val="17"/>
          <w:szCs w:val="17"/>
          <w:color w:val="auto"/>
        </w:rPr>
        <w:t>” means a material adverse effect on (i) the assets, liabilities, results of operations, financial condition, prospects or business of the Company and its Subsidiaries taken as a whole (on a consolidated basis), (ii) the legality or enforceability of any of the Transaction Documents or the Securities or (iii) the ability of the Company to perform its obligations under the Transaction Documents.</w:t>
      </w:r>
    </w:p>
    <w:p>
      <w:pPr>
        <w:spacing w:after="0" w:line="158" w:lineRule="exact"/>
        <w:rPr>
          <w:sz w:val="20"/>
          <w:szCs w:val="20"/>
          <w:color w:val="auto"/>
        </w:rPr>
      </w:pPr>
    </w:p>
    <w:p>
      <w:pPr>
        <w:ind w:right="160" w:firstLine="991"/>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Liens</w:t>
      </w:r>
      <w:r>
        <w:rPr>
          <w:rFonts w:ascii="Arial" w:cs="Arial" w:eastAsia="Arial" w:hAnsi="Arial"/>
          <w:sz w:val="16"/>
          <w:szCs w:val="16"/>
          <w:color w:val="auto"/>
        </w:rPr>
        <w:t>” means the individual and collective reference to the following: (A) Liens for Taxes, assessments and other governmental charges or levies not yet due or Liens for Taxes, assessments and other governmental charges or levies being contested in good faith and by appropriate proceedings for which adequate reserves (in the good faith judgment of the management of the Company) have been established in accordance with GAAP, and (B) Liens imposed by law which were incurred in the ordinary course of the Company’s business, such as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27" w:name="page28"/>
    <w:bookmarkEnd w:id="27"/>
    <w:p>
      <w:pPr>
        <w:ind w:right="1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carriers’, warehousemen’s and mechanics’ Liens, statutory landlords’ Liens, and other similar Liens arising in the ordinary course of the Company’s business, and which (x) do not individually or in the aggregate materially detract from the value of such property or assets or materially impair the use thereof in the operation of the business of the Company and its consolidated Subsidiaries, or (y) are being contested in good faith by appropriate proceedings, which proceedings have the effect of preventing for the foreseeable future the forfeiture or sale of the property or asset subject to such Lien.</w:t>
      </w:r>
    </w:p>
    <w:p>
      <w:pPr>
        <w:spacing w:after="0" w:line="184" w:lineRule="exact"/>
        <w:rPr>
          <w:sz w:val="20"/>
          <w:szCs w:val="20"/>
          <w:color w:val="auto"/>
        </w:rPr>
      </w:pPr>
    </w:p>
    <w:p>
      <w:pPr>
        <w:ind w:right="68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a limited liability company, a partnership, a joint venture, a corporation, a trust, an unincorporated organization or a government or any department or agency thereof or any other legal entity.</w:t>
      </w:r>
    </w:p>
    <w:p>
      <w:pPr>
        <w:spacing w:after="0" w:line="16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Personal Information</w:t>
      </w:r>
      <w:r>
        <w:rPr>
          <w:rFonts w:ascii="Arial" w:cs="Arial" w:eastAsia="Arial" w:hAnsi="Arial"/>
          <w:sz w:val="18"/>
          <w:szCs w:val="18"/>
          <w:color w:val="auto"/>
        </w:rPr>
        <w:t>” means data and information concerning an identifiable natural person.</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Privacy Laws</w:t>
      </w:r>
      <w:r>
        <w:rPr>
          <w:rFonts w:ascii="Arial" w:cs="Arial" w:eastAsia="Arial" w:hAnsi="Arial"/>
          <w:sz w:val="18"/>
          <w:szCs w:val="18"/>
          <w:color w:val="auto"/>
        </w:rPr>
        <w:t>” means laws relating to privacy, security or collection and use of Personal Information.</w:t>
      </w:r>
    </w:p>
    <w:p>
      <w:pPr>
        <w:spacing w:after="0" w:line="225" w:lineRule="exact"/>
        <w:rPr>
          <w:sz w:val="20"/>
          <w:szCs w:val="20"/>
          <w:color w:val="auto"/>
        </w:rPr>
      </w:pPr>
    </w:p>
    <w:p>
      <w:pPr>
        <w:ind w:right="4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Real Property</w:t>
      </w:r>
      <w:r>
        <w:rPr>
          <w:rFonts w:ascii="Arial" w:cs="Arial" w:eastAsia="Arial" w:hAnsi="Arial"/>
          <w:sz w:val="18"/>
          <w:szCs w:val="18"/>
          <w:color w:val="auto"/>
        </w:rPr>
        <w:t>” means all the real property, facilities and fixtures that are owned or leased or, in the case of fixtures, otherwise possessed by the Company or any of its Subsidiaries.</w:t>
      </w:r>
    </w:p>
    <w:p>
      <w:pPr>
        <w:spacing w:after="0" w:line="162" w:lineRule="exact"/>
        <w:rPr>
          <w:sz w:val="20"/>
          <w:szCs w:val="20"/>
          <w:color w:val="auto"/>
        </w:rPr>
      </w:pPr>
    </w:p>
    <w:p>
      <w:pPr>
        <w:jc w:val="both"/>
        <w:ind w:right="120" w:firstLine="991"/>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Real Property Lease</w:t>
      </w:r>
      <w:r>
        <w:rPr>
          <w:rFonts w:ascii="Arial" w:cs="Arial" w:eastAsia="Arial" w:hAnsi="Arial"/>
          <w:sz w:val="16"/>
          <w:szCs w:val="16"/>
          <w:color w:val="auto"/>
        </w:rPr>
        <w:t>” means each lease and other agreement with respect to which the Company or any of its Subsidiaries is a party or otherwise bound or affected with respect to the Real Property, except easements, rights of way, access agreements, surface damage agreements, surface use agreements or similar agreements that pertain to Real Property that is contained wholly within the boundaries of any leased Real Property.</w:t>
      </w:r>
    </w:p>
    <w:p>
      <w:pPr>
        <w:spacing w:after="0" w:line="142" w:lineRule="exact"/>
        <w:rPr>
          <w:sz w:val="20"/>
          <w:szCs w:val="20"/>
          <w:color w:val="auto"/>
        </w:rPr>
      </w:pPr>
    </w:p>
    <w:p>
      <w:pPr>
        <w:ind w:right="26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Registration Rights Agreement</w:t>
      </w:r>
      <w:r>
        <w:rPr>
          <w:rFonts w:ascii="Arial" w:cs="Arial" w:eastAsia="Arial" w:hAnsi="Arial"/>
          <w:sz w:val="18"/>
          <w:szCs w:val="18"/>
          <w:color w:val="auto"/>
        </w:rPr>
        <w:t>” means, with respect to each Deerfield Fund, the Deerfield Registration Rights Agreement and, with respect to each other Investor, the Investor Registration Rights Agreement.</w:t>
      </w:r>
    </w:p>
    <w:p>
      <w:pPr>
        <w:spacing w:after="0" w:line="162" w:lineRule="exact"/>
        <w:rPr>
          <w:sz w:val="20"/>
          <w:szCs w:val="20"/>
          <w:color w:val="auto"/>
        </w:rPr>
      </w:pPr>
    </w:p>
    <w:p>
      <w:pPr>
        <w:ind w:firstLine="99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Sanctions Authority</w:t>
      </w:r>
      <w:r>
        <w:rPr>
          <w:rFonts w:ascii="Arial" w:cs="Arial" w:eastAsia="Arial" w:hAnsi="Arial"/>
          <w:sz w:val="18"/>
          <w:szCs w:val="18"/>
          <w:color w:val="auto"/>
        </w:rPr>
        <w:t>” means U.S. Governmental Authorities (including, but not limited to, the Office of Foreign Assets Control, the U.S. Department of State and the U.S. Department of Commerce), the United Nations Security Council, the European Union, Her Majesty’s Treasury or any other relevant Governmental Authority having oversight over applicable Sanctions laws.</w:t>
      </w:r>
    </w:p>
    <w:p>
      <w:pPr>
        <w:spacing w:after="0" w:line="17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ind w:right="40" w:firstLine="99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any Person in which the Company, directly or indirectly, owns more than fifty percent (50%) of the outstanding voting capital stock, equity or similar interests or voting power of such Person at the time of this Agreement or at any time hereafter, whether directly or through any other Subsidiary.</w:t>
      </w:r>
    </w:p>
    <w:p>
      <w:pPr>
        <w:spacing w:after="0" w:line="176" w:lineRule="exact"/>
        <w:rPr>
          <w:sz w:val="20"/>
          <w:szCs w:val="20"/>
          <w:color w:val="auto"/>
        </w:rPr>
      </w:pPr>
    </w:p>
    <w:p>
      <w:pPr>
        <w:ind w:right="160" w:firstLine="99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Returns</w:t>
      </w:r>
      <w:r>
        <w:rPr>
          <w:rFonts w:ascii="Arial" w:cs="Arial" w:eastAsia="Arial" w:hAnsi="Arial"/>
          <w:sz w:val="18"/>
          <w:szCs w:val="18"/>
          <w:color w:val="auto"/>
        </w:rPr>
        <w:t>” means all returns, declarations, reports, statements, schedules, notices, forms or other documents or information required to be filed in respect of the determination, assessment, collection or payment of any Tax or in connection with the administration, implementation or enforcement of any legal requirement relating to any Tax.</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28" w:name="page29"/>
    <w:bookmarkEnd w:id="28"/>
    <w:p>
      <w:pPr>
        <w:ind w:right="120" w:firstLine="991"/>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b w:val="1"/>
          <w:bCs w:val="1"/>
          <w:color w:val="auto"/>
        </w:rPr>
        <w:t>Taxes</w:t>
      </w:r>
      <w:r>
        <w:rPr>
          <w:rFonts w:ascii="Arial" w:cs="Arial" w:eastAsia="Arial" w:hAnsi="Arial"/>
          <w:sz w:val="17"/>
          <w:szCs w:val="17"/>
          <w:color w:val="auto"/>
        </w:rPr>
        <w:t>” means all taxes, charges, fees, levies or other like assessments, including United States federal, state, local, foreign and other net income, gross income, gross receipts, social security, estimated, sales, use, ad valorem, franchise, profits, net worth, alternative or add-on minimum, capital gains, license, withholding, payroll, employment, unemployment, social security, excise, property or transfer taxes.</w:t>
      </w:r>
    </w:p>
    <w:p>
      <w:pPr>
        <w:spacing w:after="0" w:line="158" w:lineRule="exact"/>
        <w:rPr>
          <w:sz w:val="20"/>
          <w:szCs w:val="20"/>
          <w:color w:val="auto"/>
        </w:rPr>
      </w:pPr>
    </w:p>
    <w:p>
      <w:pPr>
        <w:ind w:firstLine="991"/>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Trading Day</w:t>
      </w:r>
      <w:r>
        <w:rPr>
          <w:rFonts w:ascii="Arial" w:cs="Arial" w:eastAsia="Arial" w:hAnsi="Arial"/>
          <w:sz w:val="17"/>
          <w:szCs w:val="17"/>
          <w:color w:val="auto"/>
        </w:rPr>
        <w:t>” means a day on which the principal Trading Market is open for trading; provided, that in the event that the Common Stock is not listed or quoted for trading on a Trading Market on the date in question, then Trading Day shall mean a Business Day.</w:t>
      </w:r>
    </w:p>
    <w:p>
      <w:pPr>
        <w:spacing w:after="0" w:line="140" w:lineRule="exact"/>
        <w:rPr>
          <w:sz w:val="20"/>
          <w:szCs w:val="20"/>
          <w:color w:val="auto"/>
        </w:rPr>
      </w:pPr>
    </w:p>
    <w:p>
      <w:pPr>
        <w:jc w:val="both"/>
        <w:ind w:right="200" w:firstLine="991"/>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Trading Market</w:t>
      </w:r>
      <w:r>
        <w:rPr>
          <w:rFonts w:ascii="Arial" w:cs="Arial" w:eastAsia="Arial" w:hAnsi="Arial"/>
          <w:sz w:val="17"/>
          <w:szCs w:val="17"/>
          <w:color w:val="auto"/>
        </w:rPr>
        <w:t>” means any of the following markets or exchanges on which the Common Stock is listed or quoted for trading on the date in question: the NYSE American, the Nasdaq Capital Market, the Nasdaq Global Market, the Nasdaq Global Select Market, the New York Stock Exchange, the OTC Bulletin Board, the OTCQB or the OTCQX (or any successors to any of the foregoing).</w:t>
      </w:r>
    </w:p>
    <w:p>
      <w:pPr>
        <w:spacing w:after="0" w:line="16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Each of the following terms is defined in the Section set forth opposite such term:</w:t>
      </w:r>
    </w:p>
    <w:p>
      <w:pPr>
        <w:spacing w:after="0" w:line="244" w:lineRule="exact"/>
        <w:rPr>
          <w:sz w:val="20"/>
          <w:szCs w:val="20"/>
          <w:color w:val="auto"/>
        </w:rPr>
      </w:pPr>
    </w:p>
    <w:tbl>
      <w:tblPr>
        <w:tblLayout w:type="fixed"/>
        <w:tblInd w:w="1760" w:type="dxa"/>
        <w:tblCellMar>
          <w:top w:w="0" w:type="dxa"/>
          <w:left w:w="0" w:type="dxa"/>
          <w:bottom w:w="0" w:type="dxa"/>
          <w:right w:w="0" w:type="dxa"/>
        </w:tblCellMar>
      </w:tblPr>
      <w:tr>
        <w:trPr>
          <w:trHeight w:val="191"/>
        </w:trPr>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Term</w:t>
            </w:r>
          </w:p>
        </w:tc>
        <w:tc>
          <w:tcPr>
            <w:tcW w:w="296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120" w:type="dxa"/>
            <w:vAlign w:val="bottom"/>
          </w:tcPr>
          <w:p>
            <w:pPr>
              <w:ind w:left="340"/>
              <w:spacing w:after="0"/>
              <w:rPr>
                <w:sz w:val="20"/>
                <w:szCs w:val="20"/>
                <w:color w:val="auto"/>
              </w:rPr>
            </w:pPr>
            <w:r>
              <w:rPr>
                <w:rFonts w:ascii="Arial" w:cs="Arial" w:eastAsia="Arial" w:hAnsi="Arial"/>
                <w:sz w:val="14"/>
                <w:szCs w:val="14"/>
                <w:b w:val="1"/>
                <w:bCs w:val="1"/>
                <w:color w:val="auto"/>
              </w:rPr>
              <w:t>Section</w:t>
            </w:r>
          </w:p>
        </w:tc>
      </w:tr>
      <w:tr>
        <w:trPr>
          <w:trHeight w:val="203"/>
        </w:trPr>
        <w:tc>
          <w:tcPr>
            <w:tcW w:w="33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1933 Act</w:t>
            </w:r>
          </w:p>
        </w:tc>
        <w:tc>
          <w:tcPr>
            <w:tcW w:w="306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Recitals</w:t>
            </w: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1934 Act</w:t>
            </w:r>
          </w:p>
        </w:tc>
        <w:tc>
          <w:tcPr>
            <w:tcW w:w="306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w w:val="90"/>
              </w:rPr>
              <w:t>Section 3.06(a)</w:t>
            </w: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Agreement</w:t>
            </w:r>
          </w:p>
        </w:tc>
        <w:tc>
          <w:tcPr>
            <w:tcW w:w="30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Preamble</w:t>
            </w: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Announcing Form 8-K</w:t>
            </w:r>
          </w:p>
        </w:tc>
        <w:tc>
          <w:tcPr>
            <w:tcW w:w="306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Section 5.04</w:t>
            </w: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Anti-Corruption Laws</w:t>
            </w:r>
          </w:p>
        </w:tc>
        <w:tc>
          <w:tcPr>
            <w:tcW w:w="30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w w:val="90"/>
              </w:rPr>
              <w:t>Section 3.22(a)</w:t>
            </w: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Bylaws</w:t>
            </w:r>
          </w:p>
        </w:tc>
        <w:tc>
          <w:tcPr>
            <w:tcW w:w="306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Section 3.05</w:t>
            </w: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Certificate of Incorporation</w:t>
            </w:r>
          </w:p>
        </w:tc>
        <w:tc>
          <w:tcPr>
            <w:tcW w:w="30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Section 3.03</w:t>
            </w: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Closing</w:t>
            </w:r>
          </w:p>
        </w:tc>
        <w:tc>
          <w:tcPr>
            <w:tcW w:w="306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Section 2.02</w:t>
            </w: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Closing Date</w:t>
            </w:r>
          </w:p>
        </w:tc>
        <w:tc>
          <w:tcPr>
            <w:tcW w:w="30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Section 2.02</w:t>
            </w: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Common Stock</w:t>
            </w:r>
          </w:p>
        </w:tc>
        <w:tc>
          <w:tcPr>
            <w:tcW w:w="306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Recitals</w:t>
            </w: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Company</w:t>
            </w:r>
          </w:p>
        </w:tc>
        <w:tc>
          <w:tcPr>
            <w:tcW w:w="30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Preamble</w:t>
            </w:r>
          </w:p>
        </w:tc>
      </w:tr>
      <w:tr>
        <w:trPr>
          <w:trHeight w:val="202"/>
        </w:trPr>
        <w:tc>
          <w:tcPr>
            <w:tcW w:w="3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120" w:type="dxa"/>
            <w:vAlign w:val="bottom"/>
          </w:tcPr>
          <w:p>
            <w:pPr>
              <w:spacing w:after="0" w:line="201" w:lineRule="exact"/>
              <w:rPr>
                <w:sz w:val="20"/>
                <w:szCs w:val="20"/>
                <w:color w:val="auto"/>
              </w:rPr>
            </w:pPr>
            <w:r>
              <w:rPr>
                <w:rFonts w:ascii="Arial" w:cs="Arial" w:eastAsia="Arial" w:hAnsi="Arial"/>
                <w:sz w:val="18"/>
                <w:szCs w:val="18"/>
                <w:color w:val="auto"/>
                <w:w w:val="90"/>
              </w:rPr>
              <w:t>Section 2.04(a)</w:t>
            </w:r>
          </w:p>
        </w:tc>
      </w:tr>
      <w:tr>
        <w:trPr>
          <w:trHeight w:val="230"/>
        </w:trPr>
        <w:tc>
          <w:tcPr>
            <w:tcW w:w="3300" w:type="dxa"/>
            <w:vAlign w:val="bottom"/>
            <w:gridSpan w:val="2"/>
          </w:tcPr>
          <w:p>
            <w:pPr>
              <w:spacing w:after="0"/>
              <w:rPr>
                <w:sz w:val="20"/>
                <w:szCs w:val="20"/>
                <w:color w:val="auto"/>
              </w:rPr>
            </w:pPr>
            <w:r>
              <w:rPr>
                <w:rFonts w:ascii="Arial" w:cs="Arial" w:eastAsia="Arial" w:hAnsi="Arial"/>
                <w:sz w:val="18"/>
                <w:szCs w:val="18"/>
                <w:color w:val="auto"/>
              </w:rPr>
              <w:t>Company Board</w:t>
            </w:r>
          </w:p>
        </w:tc>
        <w:tc>
          <w:tcPr>
            <w:tcW w:w="306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(vi)</w:t>
            </w: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Deerfield Registration Rights Agreement</w:t>
            </w:r>
          </w:p>
        </w:tc>
        <w:tc>
          <w:tcPr>
            <w:tcW w:w="30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Recitals</w:t>
            </w: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EDGAR system</w:t>
            </w:r>
          </w:p>
        </w:tc>
        <w:tc>
          <w:tcPr>
            <w:tcW w:w="306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Section 3.05</w:t>
            </w: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FDA</w:t>
            </w:r>
          </w:p>
        </w:tc>
        <w:tc>
          <w:tcPr>
            <w:tcW w:w="30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w w:val="90"/>
              </w:rPr>
              <w:t>Section 3.18(a)</w:t>
            </w: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GAAP</w:t>
            </w:r>
          </w:p>
        </w:tc>
        <w:tc>
          <w:tcPr>
            <w:tcW w:w="306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w w:val="90"/>
              </w:rPr>
              <w:t>Section 3.06(b)</w:t>
            </w: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Government Official</w:t>
            </w:r>
          </w:p>
        </w:tc>
        <w:tc>
          <w:tcPr>
            <w:tcW w:w="30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w w:val="90"/>
              </w:rPr>
              <w:t>Section 3.22(a)</w:t>
            </w: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Investor</w:t>
            </w:r>
          </w:p>
        </w:tc>
        <w:tc>
          <w:tcPr>
            <w:tcW w:w="306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Preamble</w:t>
            </w: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Investor Party</w:t>
            </w:r>
          </w:p>
        </w:tc>
        <w:tc>
          <w:tcPr>
            <w:tcW w:w="30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Section 5.16</w:t>
            </w: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Investor Registration Rights Agreement</w:t>
            </w:r>
          </w:p>
        </w:tc>
        <w:tc>
          <w:tcPr>
            <w:tcW w:w="306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Recitals</w:t>
            </w: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Investors</w:t>
            </w:r>
          </w:p>
        </w:tc>
        <w:tc>
          <w:tcPr>
            <w:tcW w:w="30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Preamble</w:t>
            </w: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Irrevocable Transfer Agent Instructions</w:t>
            </w:r>
          </w:p>
        </w:tc>
        <w:tc>
          <w:tcPr>
            <w:tcW w:w="306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Section 5.06</w:t>
            </w: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Legend Removal Date</w:t>
            </w:r>
          </w:p>
        </w:tc>
        <w:tc>
          <w:tcPr>
            <w:tcW w:w="30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w w:val="90"/>
              </w:rPr>
              <w:t>Section 5.12(c)</w:t>
            </w: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Permits</w:t>
            </w:r>
          </w:p>
        </w:tc>
        <w:tc>
          <w:tcPr>
            <w:tcW w:w="306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w w:val="90"/>
              </w:rPr>
              <w:t>Section 3.18(b)</w:t>
            </w: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Placement Agents</w:t>
            </w:r>
          </w:p>
        </w:tc>
        <w:tc>
          <w:tcPr>
            <w:tcW w:w="30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Section 4.15</w:t>
            </w: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Pre-Funded Warrant</w:t>
            </w:r>
          </w:p>
        </w:tc>
        <w:tc>
          <w:tcPr>
            <w:tcW w:w="306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Recitals</w:t>
            </w: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Privacy Policies</w:t>
            </w:r>
          </w:p>
        </w:tc>
        <w:tc>
          <w:tcPr>
            <w:tcW w:w="30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w w:val="90"/>
              </w:rPr>
              <w:t>Section 3.13(b)</w:t>
            </w:r>
          </w:p>
        </w:tc>
      </w:tr>
      <w:tr>
        <w:trPr>
          <w:trHeight w:val="230"/>
        </w:trPr>
        <w:tc>
          <w:tcPr>
            <w:tcW w:w="3300" w:type="dxa"/>
            <w:vAlign w:val="bottom"/>
            <w:gridSpan w:val="2"/>
          </w:tcPr>
          <w:p>
            <w:pPr>
              <w:spacing w:after="0"/>
              <w:rPr>
                <w:sz w:val="20"/>
                <w:szCs w:val="20"/>
                <w:color w:val="auto"/>
              </w:rPr>
            </w:pPr>
            <w:r>
              <w:rPr>
                <w:rFonts w:ascii="Arial" w:cs="Arial" w:eastAsia="Arial" w:hAnsi="Arial"/>
                <w:sz w:val="18"/>
                <w:szCs w:val="18"/>
                <w:color w:val="auto"/>
              </w:rPr>
              <w:t>Purchase Price</w:t>
            </w:r>
          </w:p>
        </w:tc>
        <w:tc>
          <w:tcPr>
            <w:tcW w:w="306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Section 2.01</w:t>
            </w:r>
          </w:p>
        </w:tc>
      </w:tr>
      <w:tr>
        <w:trPr>
          <w:trHeight w:val="350"/>
        </w:trPr>
        <w:tc>
          <w:tcPr>
            <w:tcW w:w="3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060" w:type="dxa"/>
            <w:vAlign w:val="bottom"/>
          </w:tcPr>
          <w:p>
            <w:pPr>
              <w:jc w:val="right"/>
              <w:ind w:right="2430"/>
              <w:spacing w:after="0"/>
              <w:rPr>
                <w:sz w:val="20"/>
                <w:szCs w:val="20"/>
                <w:color w:val="auto"/>
              </w:rPr>
            </w:pPr>
            <w:r>
              <w:rPr>
                <w:rFonts w:ascii="Arial" w:cs="Arial" w:eastAsia="Arial" w:hAnsi="Arial"/>
                <w:sz w:val="18"/>
                <w:szCs w:val="18"/>
                <w:color w:val="auto"/>
              </w:rPr>
              <w:t>-5-</w:t>
            </w:r>
          </w:p>
        </w:tc>
        <w:tc>
          <w:tcPr>
            <w:tcW w:w="1120" w:type="dxa"/>
            <w:vAlign w:val="bottom"/>
          </w:tcPr>
          <w:p>
            <w:pPr>
              <w:spacing w:after="0"/>
              <w:rPr>
                <w:sz w:val="24"/>
                <w:szCs w:val="24"/>
                <w:color w:val="auto"/>
              </w:rPr>
            </w:pPr>
          </w:p>
        </w:tc>
      </w:tr>
    </w:tbl>
    <w:p>
      <w:pPr>
        <w:sectPr>
          <w:pgSz w:w="11900" w:h="16838" w:orient="portrait"/>
          <w:cols w:equalWidth="0" w:num="1">
            <w:col w:w="10980"/>
          </w:cols>
          <w:pgMar w:left="440" w:top="270" w:right="479" w:bottom="1440" w:gutter="0" w:footer="0" w:header="0"/>
        </w:sectPr>
      </w:pPr>
    </w:p>
    <w:bookmarkStart w:id="29" w:name="page30"/>
    <w:bookmarkEnd w:id="2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1760" w:type="dxa"/>
        <w:tblCellMar>
          <w:top w:w="0" w:type="dxa"/>
          <w:left w:w="0" w:type="dxa"/>
          <w:bottom w:w="0" w:type="dxa"/>
          <w:right w:w="0" w:type="dxa"/>
        </w:tblCellMar>
      </w:tblPr>
      <w:tr>
        <w:trPr>
          <w:trHeight w:val="191"/>
        </w:trPr>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Term</w:t>
            </w:r>
          </w:p>
        </w:tc>
        <w:tc>
          <w:tcPr>
            <w:tcW w:w="6020" w:type="dxa"/>
            <w:vAlign w:val="bottom"/>
          </w:tcPr>
          <w:p>
            <w:pPr>
              <w:spacing w:after="0"/>
              <w:rPr>
                <w:sz w:val="16"/>
                <w:szCs w:val="16"/>
                <w:color w:val="auto"/>
              </w:rPr>
            </w:pPr>
          </w:p>
        </w:tc>
        <w:tc>
          <w:tcPr>
            <w:tcW w:w="1120" w:type="dxa"/>
            <w:vAlign w:val="bottom"/>
          </w:tcPr>
          <w:p>
            <w:pPr>
              <w:ind w:left="340"/>
              <w:spacing w:after="0"/>
              <w:rPr>
                <w:sz w:val="20"/>
                <w:szCs w:val="20"/>
                <w:color w:val="auto"/>
              </w:rPr>
            </w:pPr>
            <w:r>
              <w:rPr>
                <w:rFonts w:ascii="Arial" w:cs="Arial" w:eastAsia="Arial" w:hAnsi="Arial"/>
                <w:sz w:val="14"/>
                <w:szCs w:val="14"/>
                <w:b w:val="1"/>
                <w:bCs w:val="1"/>
                <w:color w:val="auto"/>
              </w:rPr>
              <w:t>Section</w:t>
            </w:r>
          </w:p>
        </w:tc>
      </w:tr>
      <w:tr>
        <w:trPr>
          <w:trHeight w:val="203"/>
        </w:trPr>
        <w:tc>
          <w:tcPr>
            <w:tcW w:w="63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Related Party</w:t>
            </w:r>
          </w:p>
        </w:tc>
        <w:tc>
          <w:tcPr>
            <w:tcW w:w="1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Section 3.22</w:t>
            </w:r>
          </w:p>
        </w:tc>
      </w:tr>
      <w:tr>
        <w:trPr>
          <w:trHeight w:val="216"/>
        </w:trPr>
        <w:tc>
          <w:tcPr>
            <w:tcW w:w="6360" w:type="dxa"/>
            <w:vAlign w:val="bottom"/>
            <w:gridSpan w:val="2"/>
          </w:tcPr>
          <w:p>
            <w:pPr>
              <w:spacing w:after="0"/>
              <w:rPr>
                <w:sz w:val="20"/>
                <w:szCs w:val="20"/>
                <w:color w:val="auto"/>
              </w:rPr>
            </w:pPr>
            <w:r>
              <w:rPr>
                <w:rFonts w:ascii="Arial" w:cs="Arial" w:eastAsia="Arial" w:hAnsi="Arial"/>
                <w:sz w:val="18"/>
                <w:szCs w:val="18"/>
                <w:color w:val="auto"/>
              </w:rPr>
              <w:t>Required Investors</w:t>
            </w:r>
          </w:p>
        </w:tc>
        <w:tc>
          <w:tcPr>
            <w:tcW w:w="1120" w:type="dxa"/>
            <w:vAlign w:val="bottom"/>
          </w:tcPr>
          <w:p>
            <w:pPr>
              <w:spacing w:after="0"/>
              <w:rPr>
                <w:sz w:val="20"/>
                <w:szCs w:val="20"/>
                <w:color w:val="auto"/>
              </w:rPr>
            </w:pPr>
            <w:r>
              <w:rPr>
                <w:rFonts w:ascii="Arial" w:cs="Arial" w:eastAsia="Arial" w:hAnsi="Arial"/>
                <w:sz w:val="18"/>
                <w:szCs w:val="18"/>
                <w:color w:val="auto"/>
              </w:rPr>
              <w:t>Section 6.05</w:t>
            </w: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Rule 144</w:t>
            </w: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w w:val="90"/>
              </w:rPr>
              <w:t>Section 5.12(a)</w:t>
            </w:r>
          </w:p>
        </w:tc>
      </w:tr>
      <w:tr>
        <w:trPr>
          <w:trHeight w:val="216"/>
        </w:trPr>
        <w:tc>
          <w:tcPr>
            <w:tcW w:w="6360" w:type="dxa"/>
            <w:vAlign w:val="bottom"/>
            <w:gridSpan w:val="2"/>
          </w:tcPr>
          <w:p>
            <w:pPr>
              <w:spacing w:after="0"/>
              <w:rPr>
                <w:sz w:val="20"/>
                <w:szCs w:val="20"/>
                <w:color w:val="auto"/>
              </w:rPr>
            </w:pPr>
            <w:r>
              <w:rPr>
                <w:rFonts w:ascii="Arial" w:cs="Arial" w:eastAsia="Arial" w:hAnsi="Arial"/>
                <w:sz w:val="18"/>
                <w:szCs w:val="18"/>
                <w:color w:val="auto"/>
              </w:rPr>
              <w:t>Sanctioned Country</w:t>
            </w:r>
          </w:p>
        </w:tc>
        <w:tc>
          <w:tcPr>
            <w:tcW w:w="1120" w:type="dxa"/>
            <w:vAlign w:val="bottom"/>
          </w:tcPr>
          <w:p>
            <w:pPr>
              <w:spacing w:after="0"/>
              <w:rPr>
                <w:sz w:val="20"/>
                <w:szCs w:val="20"/>
                <w:color w:val="auto"/>
              </w:rPr>
            </w:pPr>
            <w:r>
              <w:rPr>
                <w:rFonts w:ascii="Arial" w:cs="Arial" w:eastAsia="Arial" w:hAnsi="Arial"/>
                <w:sz w:val="18"/>
                <w:szCs w:val="18"/>
                <w:color w:val="auto"/>
                <w:w w:val="90"/>
              </w:rPr>
              <w:t>Section 3.22(b)</w:t>
            </w: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Sanctions</w:t>
            </w: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w w:val="90"/>
              </w:rPr>
              <w:t>Section 3.22(b)</w:t>
            </w:r>
          </w:p>
        </w:tc>
      </w:tr>
      <w:tr>
        <w:trPr>
          <w:trHeight w:val="216"/>
        </w:trPr>
        <w:tc>
          <w:tcPr>
            <w:tcW w:w="6360" w:type="dxa"/>
            <w:vAlign w:val="bottom"/>
            <w:gridSpan w:val="2"/>
          </w:tcPr>
          <w:p>
            <w:pPr>
              <w:spacing w:after="0"/>
              <w:rPr>
                <w:sz w:val="20"/>
                <w:szCs w:val="20"/>
                <w:color w:val="auto"/>
              </w:rPr>
            </w:pPr>
            <w:r>
              <w:rPr>
                <w:rFonts w:ascii="Arial" w:cs="Arial" w:eastAsia="Arial" w:hAnsi="Arial"/>
                <w:sz w:val="18"/>
                <w:szCs w:val="18"/>
                <w:color w:val="auto"/>
              </w:rPr>
              <w:t>Sarbanes-Oxley</w:t>
            </w:r>
          </w:p>
        </w:tc>
        <w:tc>
          <w:tcPr>
            <w:tcW w:w="1120" w:type="dxa"/>
            <w:vAlign w:val="bottom"/>
          </w:tcPr>
          <w:p>
            <w:pPr>
              <w:spacing w:after="0"/>
              <w:rPr>
                <w:sz w:val="20"/>
                <w:szCs w:val="20"/>
                <w:color w:val="auto"/>
              </w:rPr>
            </w:pPr>
            <w:r>
              <w:rPr>
                <w:rFonts w:ascii="Arial" w:cs="Arial" w:eastAsia="Arial" w:hAnsi="Arial"/>
                <w:sz w:val="18"/>
                <w:szCs w:val="18"/>
                <w:color w:val="auto"/>
                <w:w w:val="90"/>
              </w:rPr>
              <w:t>Section 3.06(c)</w:t>
            </w: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SDN List</w:t>
            </w: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w w:val="90"/>
              </w:rPr>
              <w:t>Section 3.22(b)</w:t>
            </w:r>
          </w:p>
        </w:tc>
      </w:tr>
      <w:tr>
        <w:trPr>
          <w:trHeight w:val="216"/>
        </w:trPr>
        <w:tc>
          <w:tcPr>
            <w:tcW w:w="6360" w:type="dxa"/>
            <w:vAlign w:val="bottom"/>
            <w:gridSpan w:val="2"/>
          </w:tcPr>
          <w:p>
            <w:pPr>
              <w:spacing w:after="0"/>
              <w:rPr>
                <w:sz w:val="20"/>
                <w:szCs w:val="20"/>
                <w:color w:val="auto"/>
              </w:rPr>
            </w:pPr>
            <w:r>
              <w:rPr>
                <w:rFonts w:ascii="Arial" w:cs="Arial" w:eastAsia="Arial" w:hAnsi="Arial"/>
                <w:sz w:val="18"/>
                <w:szCs w:val="18"/>
                <w:color w:val="auto"/>
              </w:rPr>
              <w:t>SEC Documents</w:t>
            </w:r>
          </w:p>
        </w:tc>
        <w:tc>
          <w:tcPr>
            <w:tcW w:w="1120" w:type="dxa"/>
            <w:vAlign w:val="bottom"/>
          </w:tcPr>
          <w:p>
            <w:pPr>
              <w:spacing w:after="0"/>
              <w:rPr>
                <w:sz w:val="20"/>
                <w:szCs w:val="20"/>
                <w:color w:val="auto"/>
              </w:rPr>
            </w:pPr>
            <w:r>
              <w:rPr>
                <w:rFonts w:ascii="Arial" w:cs="Arial" w:eastAsia="Arial" w:hAnsi="Arial"/>
                <w:sz w:val="18"/>
                <w:szCs w:val="18"/>
                <w:color w:val="auto"/>
                <w:w w:val="90"/>
              </w:rPr>
              <w:t>Section 3.06(a)</w:t>
            </w: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Securities</w:t>
            </w: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Recitals</w:t>
            </w:r>
          </w:p>
        </w:tc>
      </w:tr>
      <w:tr>
        <w:trPr>
          <w:trHeight w:val="216"/>
        </w:trPr>
        <w:tc>
          <w:tcPr>
            <w:tcW w:w="6360" w:type="dxa"/>
            <w:vAlign w:val="bottom"/>
            <w:gridSpan w:val="2"/>
          </w:tcPr>
          <w:p>
            <w:pPr>
              <w:spacing w:after="0"/>
              <w:rPr>
                <w:sz w:val="20"/>
                <w:szCs w:val="20"/>
                <w:color w:val="auto"/>
              </w:rPr>
            </w:pPr>
            <w:r>
              <w:rPr>
                <w:rFonts w:ascii="Arial" w:cs="Arial" w:eastAsia="Arial" w:hAnsi="Arial"/>
                <w:sz w:val="18"/>
                <w:szCs w:val="18"/>
                <w:color w:val="auto"/>
              </w:rPr>
              <w:t>Shares</w:t>
            </w:r>
          </w:p>
        </w:tc>
        <w:tc>
          <w:tcPr>
            <w:tcW w:w="1120" w:type="dxa"/>
            <w:vAlign w:val="bottom"/>
          </w:tcPr>
          <w:p>
            <w:pPr>
              <w:spacing w:after="0"/>
              <w:rPr>
                <w:sz w:val="20"/>
                <w:szCs w:val="20"/>
                <w:color w:val="auto"/>
              </w:rPr>
            </w:pPr>
            <w:r>
              <w:rPr>
                <w:rFonts w:ascii="Arial" w:cs="Arial" w:eastAsia="Arial" w:hAnsi="Arial"/>
                <w:sz w:val="18"/>
                <w:szCs w:val="18"/>
                <w:color w:val="auto"/>
              </w:rPr>
              <w:t>Recitals</w:t>
            </w: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Transaction Documents</w:t>
            </w: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Section 3.02</w:t>
            </w:r>
          </w:p>
        </w:tc>
      </w:tr>
      <w:tr>
        <w:trPr>
          <w:trHeight w:val="216"/>
        </w:trPr>
        <w:tc>
          <w:tcPr>
            <w:tcW w:w="6360" w:type="dxa"/>
            <w:vAlign w:val="bottom"/>
            <w:gridSpan w:val="2"/>
          </w:tcPr>
          <w:p>
            <w:pPr>
              <w:spacing w:after="0"/>
              <w:rPr>
                <w:sz w:val="20"/>
                <w:szCs w:val="20"/>
                <w:color w:val="auto"/>
              </w:rPr>
            </w:pPr>
            <w:r>
              <w:rPr>
                <w:rFonts w:ascii="Arial" w:cs="Arial" w:eastAsia="Arial" w:hAnsi="Arial"/>
                <w:sz w:val="18"/>
                <w:szCs w:val="18"/>
                <w:color w:val="auto"/>
              </w:rPr>
              <w:t>Transfer Agent</w:t>
            </w:r>
          </w:p>
        </w:tc>
        <w:tc>
          <w:tcPr>
            <w:tcW w:w="1120" w:type="dxa"/>
            <w:vAlign w:val="bottom"/>
          </w:tcPr>
          <w:p>
            <w:pPr>
              <w:spacing w:after="0"/>
              <w:rPr>
                <w:sz w:val="20"/>
                <w:szCs w:val="20"/>
                <w:color w:val="auto"/>
              </w:rPr>
            </w:pPr>
            <w:r>
              <w:rPr>
                <w:rFonts w:ascii="Arial" w:cs="Arial" w:eastAsia="Arial" w:hAnsi="Arial"/>
                <w:sz w:val="18"/>
                <w:szCs w:val="18"/>
                <w:color w:val="auto"/>
              </w:rPr>
              <w:t>Section 2.03</w:t>
            </w: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 Shares</w:t>
            </w: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Recitals</w:t>
            </w:r>
          </w:p>
        </w:tc>
      </w:tr>
    </w:tbl>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PURCHASE AND SALE OF SECURITIES</w:t>
      </w:r>
    </w:p>
    <w:p>
      <w:pPr>
        <w:spacing w:after="0" w:line="211" w:lineRule="exact"/>
        <w:rPr>
          <w:sz w:val="20"/>
          <w:szCs w:val="20"/>
          <w:color w:val="auto"/>
        </w:rPr>
      </w:pPr>
    </w:p>
    <w:p>
      <w:pPr>
        <w:ind w:right="20" w:firstLine="991"/>
        <w:spacing w:after="0" w:line="301" w:lineRule="auto"/>
        <w:rPr>
          <w:sz w:val="20"/>
          <w:szCs w:val="20"/>
          <w:color w:val="auto"/>
        </w:rPr>
      </w:pPr>
      <w:r>
        <w:rPr>
          <w:rFonts w:ascii="Arial" w:cs="Arial" w:eastAsia="Arial" w:hAnsi="Arial"/>
          <w:sz w:val="16"/>
          <w:szCs w:val="16"/>
          <w:color w:val="auto"/>
        </w:rPr>
        <w:t xml:space="preserve">Section 2.01. </w:t>
      </w:r>
      <w:r>
        <w:rPr>
          <w:rFonts w:ascii="Arial" w:cs="Arial" w:eastAsia="Arial" w:hAnsi="Arial"/>
          <w:sz w:val="16"/>
          <w:szCs w:val="16"/>
          <w:u w:val="single" w:color="auto"/>
          <w:color w:val="auto"/>
        </w:rPr>
        <w:t>Purchase and Sale of Securities</w:t>
      </w:r>
      <w:r>
        <w:rPr>
          <w:rFonts w:ascii="Arial" w:cs="Arial" w:eastAsia="Arial" w:hAnsi="Arial"/>
          <w:sz w:val="16"/>
          <w:szCs w:val="16"/>
          <w:color w:val="auto"/>
        </w:rPr>
        <w:t>. On the Closing Date, the Company shall issue and sell to each Investor, and each Investor severally and not jointly agrees to purchase from the Company, the number of Shares and/or a Pre-Funded Warrant to purchase the number of Warrant Shares set forth opposite such Investor’s name on the Schedule of Investors. The purchase price (the “</w:t>
      </w:r>
      <w:r>
        <w:rPr>
          <w:rFonts w:ascii="Arial" w:cs="Arial" w:eastAsia="Arial" w:hAnsi="Arial"/>
          <w:sz w:val="16"/>
          <w:szCs w:val="16"/>
          <w:b w:val="1"/>
          <w:bCs w:val="1"/>
          <w:color w:val="auto"/>
        </w:rPr>
        <w:t>Purchase Price</w:t>
      </w:r>
      <w:r>
        <w:rPr>
          <w:rFonts w:ascii="Arial" w:cs="Arial" w:eastAsia="Arial" w:hAnsi="Arial"/>
          <w:sz w:val="16"/>
          <w:szCs w:val="16"/>
          <w:color w:val="auto"/>
        </w:rPr>
        <w:t>”) for the Securities at the Closing shall be equal to $13.43 per Share and $13.42 per share of the Company’s common stock underlying each Pre-Funded Warrant, as applicable.</w:t>
      </w:r>
    </w:p>
    <w:p>
      <w:pPr>
        <w:spacing w:after="0" w:line="153" w:lineRule="exact"/>
        <w:rPr>
          <w:sz w:val="20"/>
          <w:szCs w:val="20"/>
          <w:color w:val="auto"/>
        </w:rPr>
      </w:pPr>
    </w:p>
    <w:p>
      <w:pPr>
        <w:ind w:right="80" w:firstLine="991"/>
        <w:spacing w:after="0" w:line="281" w:lineRule="auto"/>
        <w:rPr>
          <w:sz w:val="20"/>
          <w:szCs w:val="20"/>
          <w:color w:val="auto"/>
        </w:rPr>
      </w:pPr>
      <w:r>
        <w:rPr>
          <w:rFonts w:ascii="Arial" w:cs="Arial" w:eastAsia="Arial" w:hAnsi="Arial"/>
          <w:sz w:val="17"/>
          <w:szCs w:val="17"/>
          <w:color w:val="auto"/>
        </w:rPr>
        <w:t xml:space="preserve">Section 2.02. </w:t>
      </w:r>
      <w:r>
        <w:rPr>
          <w:rFonts w:ascii="Arial" w:cs="Arial" w:eastAsia="Arial" w:hAnsi="Arial"/>
          <w:sz w:val="17"/>
          <w:szCs w:val="17"/>
          <w:u w:val="single" w:color="auto"/>
          <w:color w:val="auto"/>
        </w:rPr>
        <w:t>Closing</w:t>
      </w:r>
      <w:r>
        <w:rPr>
          <w:rFonts w:ascii="Arial" w:cs="Arial" w:eastAsia="Arial" w:hAnsi="Arial"/>
          <w:sz w:val="17"/>
          <w:szCs w:val="17"/>
          <w:color w:val="auto"/>
        </w:rPr>
        <w:t>. The closing of the transactions contemplated by this Agreement (the “</w:t>
      </w:r>
      <w:r>
        <w:rPr>
          <w:rFonts w:ascii="Arial" w:cs="Arial" w:eastAsia="Arial" w:hAnsi="Arial"/>
          <w:sz w:val="17"/>
          <w:szCs w:val="17"/>
          <w:b w:val="1"/>
          <w:bCs w:val="1"/>
          <w:color w:val="auto"/>
        </w:rPr>
        <w:t>Closing</w:t>
      </w:r>
      <w:r>
        <w:rPr>
          <w:rFonts w:ascii="Arial" w:cs="Arial" w:eastAsia="Arial" w:hAnsi="Arial"/>
          <w:sz w:val="17"/>
          <w:szCs w:val="17"/>
          <w:color w:val="auto"/>
        </w:rPr>
        <w:t>”) shall take place on the date hereof simultaneously with, and contingent upon, the execution and delivery of this Agreement and the other Transaction Documents contemplated to be executed and delivered at the Closing, or on such other day as mutually agreed to by the Company and the Investors (the “</w:t>
      </w:r>
      <w:r>
        <w:rPr>
          <w:rFonts w:ascii="Arial" w:cs="Arial" w:eastAsia="Arial" w:hAnsi="Arial"/>
          <w:sz w:val="17"/>
          <w:szCs w:val="17"/>
          <w:b w:val="1"/>
          <w:bCs w:val="1"/>
          <w:color w:val="auto"/>
        </w:rPr>
        <w:t>Closing Date</w:t>
      </w:r>
      <w:r>
        <w:rPr>
          <w:rFonts w:ascii="Arial" w:cs="Arial" w:eastAsia="Arial" w:hAnsi="Arial"/>
          <w:sz w:val="17"/>
          <w:szCs w:val="17"/>
          <w:color w:val="auto"/>
        </w:rPr>
        <w:t>”). The Closing shall take place remotely by such electronic means as the Company and the Investors may agree.</w:t>
      </w:r>
    </w:p>
    <w:p>
      <w:pPr>
        <w:spacing w:after="0" w:line="169" w:lineRule="exact"/>
        <w:rPr>
          <w:sz w:val="20"/>
          <w:szCs w:val="20"/>
          <w:color w:val="auto"/>
        </w:rPr>
      </w:pPr>
    </w:p>
    <w:p>
      <w:pPr>
        <w:ind w:firstLine="991"/>
        <w:spacing w:after="0" w:line="291" w:lineRule="auto"/>
        <w:rPr>
          <w:sz w:val="20"/>
          <w:szCs w:val="20"/>
          <w:color w:val="auto"/>
        </w:rPr>
      </w:pPr>
      <w:r>
        <w:rPr>
          <w:rFonts w:ascii="Arial" w:cs="Arial" w:eastAsia="Arial" w:hAnsi="Arial"/>
          <w:sz w:val="16"/>
          <w:szCs w:val="16"/>
          <w:color w:val="auto"/>
        </w:rPr>
        <w:t xml:space="preserve">Section 2.03. </w:t>
      </w:r>
      <w:r>
        <w:rPr>
          <w:rFonts w:ascii="Arial" w:cs="Arial" w:eastAsia="Arial" w:hAnsi="Arial"/>
          <w:sz w:val="16"/>
          <w:szCs w:val="16"/>
          <w:u w:val="single" w:color="auto"/>
          <w:color w:val="auto"/>
        </w:rPr>
        <w:t>Form of Payment; Delivery of Shares and Pre-Funded Warrants</w:t>
      </w:r>
      <w:r>
        <w:rPr>
          <w:rFonts w:ascii="Arial" w:cs="Arial" w:eastAsia="Arial" w:hAnsi="Arial"/>
          <w:sz w:val="16"/>
          <w:szCs w:val="16"/>
          <w:color w:val="auto"/>
        </w:rPr>
        <w:t>. On the Closing Date, (a) each Investor shall pay the applicable Purchase Price to the Company for the Securities to be issued and sold to such Investor on the Closing Date, by wire transfer of immediately available funds in accordance with the Company’s written wire instructions, and (b) the Company shall deliver to each Investor (i) a copy of the duly executed irrevocable instructions to Computershare Trust Company, N.A. (the “</w:t>
      </w:r>
      <w:r>
        <w:rPr>
          <w:rFonts w:ascii="Arial" w:cs="Arial" w:eastAsia="Arial" w:hAnsi="Arial"/>
          <w:sz w:val="16"/>
          <w:szCs w:val="16"/>
          <w:b w:val="1"/>
          <w:bCs w:val="1"/>
          <w:color w:val="auto"/>
        </w:rPr>
        <w:t>Transfer Agent</w:t>
      </w:r>
      <w:r>
        <w:rPr>
          <w:rFonts w:ascii="Arial" w:cs="Arial" w:eastAsia="Arial" w:hAnsi="Arial"/>
          <w:sz w:val="16"/>
          <w:szCs w:val="16"/>
          <w:color w:val="auto"/>
        </w:rPr>
        <w:t xml:space="preserve">”) instructing the Transfer Agent to issue to such Investor or its designee(s), in book-entry form, a number of Shares equal to the aggregate number of Shares that such Investor is purchasing on the Closing Date, and (ii) if applicable, a Pre-Funded Warrant substantially in the form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to this Agreement, registered in such Investor’s name to purchase such number of Warrant Shares underlying such Pre-Funded Warrant to be purchased by such Investor at such Closing.</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40" w:top="265" w:right="479" w:bottom="1440" w:gutter="0" w:footer="0" w:header="0"/>
        </w:sectPr>
      </w:pPr>
    </w:p>
    <w:bookmarkStart w:id="30" w:name="page31"/>
    <w:bookmarkEnd w:id="30"/>
    <w:p>
      <w:pPr>
        <w:ind w:left="9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2.04. </w:t>
      </w:r>
      <w:r>
        <w:rPr>
          <w:rFonts w:ascii="Arial" w:cs="Arial" w:eastAsia="Arial" w:hAnsi="Arial"/>
          <w:sz w:val="18"/>
          <w:szCs w:val="18"/>
          <w:u w:val="single" w:color="auto"/>
          <w:color w:val="auto"/>
        </w:rPr>
        <w:t>Closing Deliverables</w:t>
      </w:r>
      <w:r>
        <w:rPr>
          <w:rFonts w:ascii="Arial" w:cs="Arial" w:eastAsia="Arial" w:hAnsi="Arial"/>
          <w:sz w:val="18"/>
          <w:szCs w:val="18"/>
          <w:color w:val="auto"/>
        </w:rPr>
        <w:t>.</w:t>
      </w:r>
    </w:p>
    <w:p>
      <w:pPr>
        <w:spacing w:after="0" w:line="225" w:lineRule="exact"/>
        <w:rPr>
          <w:sz w:val="20"/>
          <w:szCs w:val="20"/>
          <w:color w:val="auto"/>
        </w:rPr>
      </w:pPr>
    </w:p>
    <w:p>
      <w:pPr>
        <w:ind w:left="1220" w:hanging="253"/>
        <w:spacing w:after="0"/>
        <w:tabs>
          <w:tab w:leader="none" w:pos="12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On or prior to the Closing, the Company shall issue, deliver or cause to be delivered to each Investor each of the following:</w:t>
      </w:r>
    </w:p>
    <w:p>
      <w:pPr>
        <w:spacing w:after="0" w:line="128" w:lineRule="exact"/>
        <w:rPr>
          <w:rFonts w:ascii="Arial" w:cs="Arial" w:eastAsia="Arial" w:hAnsi="Arial"/>
          <w:sz w:val="17"/>
          <w:szCs w:val="17"/>
          <w:color w:val="auto"/>
        </w:rPr>
      </w:pPr>
    </w:p>
    <w:p>
      <w:pPr>
        <w:ind w:left="1580" w:hanging="212"/>
        <w:spacing w:after="0"/>
        <w:tabs>
          <w:tab w:leader="none" w:pos="15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this Agreement, duly executed by the Company;</w:t>
      </w:r>
    </w:p>
    <w:p>
      <w:pPr>
        <w:spacing w:after="0" w:line="117" w:lineRule="exact"/>
        <w:rPr>
          <w:rFonts w:ascii="Arial" w:cs="Arial" w:eastAsia="Arial" w:hAnsi="Arial"/>
          <w:sz w:val="18"/>
          <w:szCs w:val="18"/>
          <w:color w:val="auto"/>
        </w:rPr>
      </w:pPr>
    </w:p>
    <w:p>
      <w:pPr>
        <w:ind w:left="1640" w:hanging="272"/>
        <w:spacing w:after="0"/>
        <w:tabs>
          <w:tab w:leader="none" w:pos="16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Registration Rights Agreement, duly executed by the Company;</w:t>
      </w:r>
    </w:p>
    <w:p>
      <w:pPr>
        <w:spacing w:after="0" w:line="117" w:lineRule="exact"/>
        <w:rPr>
          <w:rFonts w:ascii="Arial" w:cs="Arial" w:eastAsia="Arial" w:hAnsi="Arial"/>
          <w:sz w:val="18"/>
          <w:szCs w:val="18"/>
          <w:color w:val="auto"/>
        </w:rPr>
      </w:pPr>
    </w:p>
    <w:p>
      <w:pPr>
        <w:ind w:left="1680" w:hanging="312"/>
        <w:spacing w:after="0"/>
        <w:tabs>
          <w:tab w:leader="none" w:pos="16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if applicable, the Pre-Funded Warrant, duly executed by the Company;</w:t>
      </w:r>
    </w:p>
    <w:p>
      <w:pPr>
        <w:spacing w:after="0" w:line="117" w:lineRule="exact"/>
        <w:rPr>
          <w:rFonts w:ascii="Arial" w:cs="Arial" w:eastAsia="Arial" w:hAnsi="Arial"/>
          <w:sz w:val="18"/>
          <w:szCs w:val="18"/>
          <w:color w:val="auto"/>
        </w:rPr>
      </w:pPr>
    </w:p>
    <w:p>
      <w:pPr>
        <w:ind w:left="960" w:right="100" w:firstLine="408"/>
        <w:spacing w:after="0" w:line="277" w:lineRule="auto"/>
        <w:tabs>
          <w:tab w:leader="none" w:pos="1666" w:val="left"/>
        </w:tabs>
        <w:numPr>
          <w:ilvl w:val="1"/>
          <w:numId w:val="25"/>
        </w:numPr>
        <w:rPr>
          <w:rFonts w:ascii="Arial" w:cs="Arial" w:eastAsia="Arial" w:hAnsi="Arial"/>
          <w:sz w:val="18"/>
          <w:szCs w:val="18"/>
          <w:color w:val="auto"/>
        </w:rPr>
      </w:pPr>
      <w:r>
        <w:rPr>
          <w:rFonts w:ascii="Arial" w:cs="Arial" w:eastAsia="Arial" w:hAnsi="Arial"/>
          <w:sz w:val="18"/>
          <w:szCs w:val="18"/>
          <w:color w:val="auto"/>
        </w:rPr>
        <w:t>a legal opinion of counsel to Company in form and substance reasonably satisfactory to the Investors, executed by such counsel and addressed to the Investors;</w:t>
      </w:r>
    </w:p>
    <w:p>
      <w:pPr>
        <w:spacing w:after="0" w:line="62" w:lineRule="exact"/>
        <w:rPr>
          <w:rFonts w:ascii="Arial" w:cs="Arial" w:eastAsia="Arial" w:hAnsi="Arial"/>
          <w:sz w:val="18"/>
          <w:szCs w:val="18"/>
          <w:color w:val="auto"/>
        </w:rPr>
      </w:pPr>
    </w:p>
    <w:p>
      <w:pPr>
        <w:ind w:left="960" w:right="420" w:firstLine="408"/>
        <w:spacing w:after="0" w:line="277" w:lineRule="auto"/>
        <w:tabs>
          <w:tab w:leader="none" w:pos="1616" w:val="left"/>
        </w:tabs>
        <w:numPr>
          <w:ilvl w:val="1"/>
          <w:numId w:val="25"/>
        </w:numPr>
        <w:rPr>
          <w:rFonts w:ascii="Arial" w:cs="Arial" w:eastAsia="Arial" w:hAnsi="Arial"/>
          <w:sz w:val="18"/>
          <w:szCs w:val="18"/>
          <w:color w:val="auto"/>
        </w:rPr>
      </w:pPr>
      <w:r>
        <w:rPr>
          <w:rFonts w:ascii="Arial" w:cs="Arial" w:eastAsia="Arial" w:hAnsi="Arial"/>
          <w:sz w:val="18"/>
          <w:szCs w:val="18"/>
          <w:color w:val="auto"/>
        </w:rPr>
        <w:t>a certificate executed on behalf of the Company by its Chief Executive Officer or its Chief Financial Officer, dated as of the Closing Date, certifying to the fulfillment of the conditions specified in Section 2.05(b); and</w:t>
      </w:r>
    </w:p>
    <w:p>
      <w:pPr>
        <w:spacing w:after="0" w:line="62" w:lineRule="exact"/>
        <w:rPr>
          <w:rFonts w:ascii="Arial" w:cs="Arial" w:eastAsia="Arial" w:hAnsi="Arial"/>
          <w:sz w:val="18"/>
          <w:szCs w:val="18"/>
          <w:color w:val="auto"/>
        </w:rPr>
      </w:pPr>
    </w:p>
    <w:p>
      <w:pPr>
        <w:ind w:left="960" w:right="60" w:firstLine="408"/>
        <w:spacing w:after="0" w:line="263" w:lineRule="auto"/>
        <w:tabs>
          <w:tab w:leader="none" w:pos="1666" w:val="left"/>
        </w:tabs>
        <w:numPr>
          <w:ilvl w:val="1"/>
          <w:numId w:val="25"/>
        </w:numPr>
        <w:rPr>
          <w:rFonts w:ascii="Arial" w:cs="Arial" w:eastAsia="Arial" w:hAnsi="Arial"/>
          <w:sz w:val="18"/>
          <w:szCs w:val="18"/>
          <w:color w:val="auto"/>
        </w:rPr>
      </w:pPr>
      <w:r>
        <w:rPr>
          <w:rFonts w:ascii="Arial" w:cs="Arial" w:eastAsia="Arial" w:hAnsi="Arial"/>
          <w:sz w:val="18"/>
          <w:szCs w:val="18"/>
          <w:color w:val="auto"/>
        </w:rPr>
        <w:t>a certificate of the Secretary of the Company, dated as of the Closing Date, certifying the resolutions adopted by the Board of Directors of the Company (the “</w:t>
      </w:r>
      <w:r>
        <w:rPr>
          <w:rFonts w:ascii="Arial" w:cs="Arial" w:eastAsia="Arial" w:hAnsi="Arial"/>
          <w:sz w:val="18"/>
          <w:szCs w:val="18"/>
          <w:b w:val="1"/>
          <w:bCs w:val="1"/>
          <w:color w:val="auto"/>
        </w:rPr>
        <w:t>Company Board</w:t>
      </w:r>
      <w:r>
        <w:rPr>
          <w:rFonts w:ascii="Arial" w:cs="Arial" w:eastAsia="Arial" w:hAnsi="Arial"/>
          <w:sz w:val="18"/>
          <w:szCs w:val="18"/>
          <w:color w:val="auto"/>
        </w:rPr>
        <w:t>”) approving the transactions contemplated by this Agreement and the other Transaction Documents and the issuance of the Securities.</w:t>
      </w:r>
    </w:p>
    <w:p>
      <w:pPr>
        <w:spacing w:after="0" w:line="183" w:lineRule="exact"/>
        <w:rPr>
          <w:rFonts w:ascii="Arial" w:cs="Arial" w:eastAsia="Arial" w:hAnsi="Arial"/>
          <w:sz w:val="18"/>
          <w:szCs w:val="18"/>
          <w:color w:val="auto"/>
        </w:rPr>
      </w:pPr>
    </w:p>
    <w:p>
      <w:pPr>
        <w:ind w:left="1220" w:hanging="253"/>
        <w:spacing w:after="0"/>
        <w:tabs>
          <w:tab w:leader="none" w:pos="12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On or prior to the Closing, each Investor shall issue, deliver or cause to be delivered to the Company each of the following:</w:t>
      </w:r>
    </w:p>
    <w:p>
      <w:pPr>
        <w:spacing w:after="0" w:line="128" w:lineRule="exact"/>
        <w:rPr>
          <w:rFonts w:ascii="Arial" w:cs="Arial" w:eastAsia="Arial" w:hAnsi="Arial"/>
          <w:sz w:val="17"/>
          <w:szCs w:val="17"/>
          <w:color w:val="auto"/>
        </w:rPr>
      </w:pPr>
    </w:p>
    <w:p>
      <w:pPr>
        <w:ind w:left="1580" w:hanging="212"/>
        <w:spacing w:after="0"/>
        <w:tabs>
          <w:tab w:leader="none" w:pos="15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this Agreement, duly executed by such Investor;</w:t>
      </w:r>
    </w:p>
    <w:p>
      <w:pPr>
        <w:spacing w:after="0" w:line="117" w:lineRule="exact"/>
        <w:rPr>
          <w:rFonts w:ascii="Arial" w:cs="Arial" w:eastAsia="Arial" w:hAnsi="Arial"/>
          <w:sz w:val="18"/>
          <w:szCs w:val="18"/>
          <w:color w:val="auto"/>
        </w:rPr>
      </w:pPr>
    </w:p>
    <w:p>
      <w:pPr>
        <w:ind w:left="1640" w:hanging="272"/>
        <w:spacing w:after="0"/>
        <w:tabs>
          <w:tab w:leader="none" w:pos="16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Registration Rights Agreement, duly executed by such Investor;</w:t>
      </w:r>
    </w:p>
    <w:p>
      <w:pPr>
        <w:spacing w:after="0" w:line="117" w:lineRule="exact"/>
        <w:rPr>
          <w:rFonts w:ascii="Arial" w:cs="Arial" w:eastAsia="Arial" w:hAnsi="Arial"/>
          <w:sz w:val="18"/>
          <w:szCs w:val="18"/>
          <w:color w:val="auto"/>
        </w:rPr>
      </w:pPr>
    </w:p>
    <w:p>
      <w:pPr>
        <w:ind w:left="960" w:right="440" w:firstLine="408"/>
        <w:spacing w:after="0" w:line="277" w:lineRule="auto"/>
        <w:tabs>
          <w:tab w:leader="none" w:pos="1676" w:val="left"/>
        </w:tabs>
        <w:numPr>
          <w:ilvl w:val="1"/>
          <w:numId w:val="25"/>
        </w:numPr>
        <w:rPr>
          <w:rFonts w:ascii="Arial" w:cs="Arial" w:eastAsia="Arial" w:hAnsi="Arial"/>
          <w:sz w:val="18"/>
          <w:szCs w:val="18"/>
          <w:color w:val="auto"/>
        </w:rPr>
      </w:pPr>
      <w:r>
        <w:rPr>
          <w:rFonts w:ascii="Arial" w:cs="Arial" w:eastAsia="Arial" w:hAnsi="Arial"/>
          <w:sz w:val="18"/>
          <w:szCs w:val="18"/>
          <w:color w:val="auto"/>
        </w:rPr>
        <w:t>a fully completed and duly executed selling stockholder questionnaire in the form attached as Exhibit B to the Registration Rights Agreement; and</w:t>
      </w:r>
    </w:p>
    <w:p>
      <w:pPr>
        <w:spacing w:after="0" w:line="62" w:lineRule="exact"/>
        <w:rPr>
          <w:rFonts w:ascii="Arial" w:cs="Arial" w:eastAsia="Arial" w:hAnsi="Arial"/>
          <w:sz w:val="18"/>
          <w:szCs w:val="18"/>
          <w:color w:val="auto"/>
        </w:rPr>
      </w:pPr>
    </w:p>
    <w:p>
      <w:pPr>
        <w:ind w:left="960" w:right="120" w:firstLine="408"/>
        <w:spacing w:after="0" w:line="277" w:lineRule="auto"/>
        <w:tabs>
          <w:tab w:leader="none" w:pos="1666" w:val="left"/>
        </w:tabs>
        <w:numPr>
          <w:ilvl w:val="1"/>
          <w:numId w:val="25"/>
        </w:numPr>
        <w:rPr>
          <w:rFonts w:ascii="Arial" w:cs="Arial" w:eastAsia="Arial" w:hAnsi="Arial"/>
          <w:sz w:val="18"/>
          <w:szCs w:val="18"/>
          <w:color w:val="auto"/>
        </w:rPr>
      </w:pPr>
      <w:r>
        <w:rPr>
          <w:rFonts w:ascii="Arial" w:cs="Arial" w:eastAsia="Arial" w:hAnsi="Arial"/>
          <w:sz w:val="18"/>
          <w:szCs w:val="18"/>
          <w:color w:val="auto"/>
        </w:rPr>
        <w:t>a fully completed and duly executed copy of the investor representation letter, addressed to the Placement Agents, substantially in the form attached hereto as Exhibit C.</w:t>
      </w:r>
    </w:p>
    <w:p>
      <w:pPr>
        <w:spacing w:after="0" w:line="170" w:lineRule="exact"/>
        <w:rPr>
          <w:sz w:val="20"/>
          <w:szCs w:val="20"/>
          <w:color w:val="auto"/>
        </w:rPr>
      </w:pPr>
    </w:p>
    <w:p>
      <w:pPr>
        <w:ind w:left="960"/>
        <w:spacing w:after="0"/>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u w:val="single" w:color="auto"/>
          <w:color w:val="auto"/>
        </w:rPr>
        <w:t>Closing Conditions</w:t>
      </w:r>
      <w:r>
        <w:rPr>
          <w:rFonts w:ascii="Arial" w:cs="Arial" w:eastAsia="Arial" w:hAnsi="Arial"/>
          <w:sz w:val="18"/>
          <w:szCs w:val="18"/>
          <w:color w:val="auto"/>
        </w:rPr>
        <w:t>.</w:t>
      </w:r>
    </w:p>
    <w:p>
      <w:pPr>
        <w:spacing w:after="0" w:line="225" w:lineRule="exact"/>
        <w:rPr>
          <w:sz w:val="20"/>
          <w:szCs w:val="20"/>
          <w:color w:val="auto"/>
        </w:rPr>
      </w:pPr>
    </w:p>
    <w:p>
      <w:pPr>
        <w:ind w:left="-20" w:right="20" w:firstLine="987"/>
        <w:spacing w:after="0" w:line="277" w:lineRule="auto"/>
        <w:tabs>
          <w:tab w:leader="none" w:pos="1216"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obligations of the Company hereunder in connection with the Closing, unless waived by the Company, are subject to the following conditions being met:</w:t>
      </w:r>
    </w:p>
    <w:p>
      <w:pPr>
        <w:spacing w:after="0" w:line="62" w:lineRule="exact"/>
        <w:rPr>
          <w:rFonts w:ascii="Arial" w:cs="Arial" w:eastAsia="Arial" w:hAnsi="Arial"/>
          <w:sz w:val="18"/>
          <w:szCs w:val="18"/>
          <w:color w:val="auto"/>
        </w:rPr>
      </w:pPr>
    </w:p>
    <w:p>
      <w:pPr>
        <w:ind w:left="960" w:firstLine="408"/>
        <w:spacing w:after="0" w:line="286" w:lineRule="auto"/>
        <w:tabs>
          <w:tab w:leader="none" w:pos="1576" w:val="left"/>
        </w:tabs>
        <w:numPr>
          <w:ilvl w:val="1"/>
          <w:numId w:val="26"/>
        </w:numPr>
        <w:rPr>
          <w:rFonts w:ascii="Arial" w:cs="Arial" w:eastAsia="Arial" w:hAnsi="Arial"/>
          <w:sz w:val="17"/>
          <w:szCs w:val="17"/>
          <w:color w:val="auto"/>
        </w:rPr>
      </w:pPr>
      <w:r>
        <w:rPr>
          <w:rFonts w:ascii="Arial" w:cs="Arial" w:eastAsia="Arial" w:hAnsi="Arial"/>
          <w:sz w:val="17"/>
          <w:szCs w:val="17"/>
          <w:color w:val="auto"/>
        </w:rPr>
        <w:t>the accuracy in all material respects (or to the extent representations or warranties are qualified by materiality or Material Adverse Effect, in all respects) when made and on the Closing Date of the representations and warranties of the Investors contained herein (except that representations and warranties made as of a specific date therein shall be accurate as of such date);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460" w:top="274" w:right="479" w:bottom="1440" w:gutter="0" w:footer="0" w:header="0"/>
        </w:sectPr>
      </w:pPr>
    </w:p>
    <w:bookmarkStart w:id="31" w:name="page32"/>
    <w:bookmarkEnd w:id="31"/>
    <w:p>
      <w:pPr>
        <w:ind w:left="980" w:right="500" w:firstLine="408"/>
        <w:spacing w:after="0" w:line="277" w:lineRule="auto"/>
        <w:tabs>
          <w:tab w:leader="none" w:pos="1646" w:val="left"/>
        </w:tabs>
        <w:numPr>
          <w:ilvl w:val="1"/>
          <w:numId w:val="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obligations, covenants and agreements of each Investor under this Agreement required to be performed at or prior to the Closing Date shall have been performed in all material respects; and</w:t>
      </w:r>
    </w:p>
    <w:p>
      <w:pPr>
        <w:spacing w:after="0" w:line="62" w:lineRule="exact"/>
        <w:rPr>
          <w:rFonts w:ascii="Arial" w:cs="Arial" w:eastAsia="Arial" w:hAnsi="Arial"/>
          <w:sz w:val="18"/>
          <w:szCs w:val="18"/>
          <w:color w:val="auto"/>
        </w:rPr>
      </w:pPr>
    </w:p>
    <w:p>
      <w:pPr>
        <w:ind w:left="1700" w:hanging="312"/>
        <w:spacing w:after="0"/>
        <w:tabs>
          <w:tab w:leader="none" w:pos="17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delivery by each Investor of the items set forth in Section 2.04(b) of this Agreement.</w:t>
      </w:r>
    </w:p>
    <w:p>
      <w:pPr>
        <w:spacing w:after="0" w:line="225" w:lineRule="exact"/>
        <w:rPr>
          <w:rFonts w:ascii="Arial" w:cs="Arial" w:eastAsia="Arial" w:hAnsi="Arial"/>
          <w:sz w:val="18"/>
          <w:szCs w:val="18"/>
          <w:color w:val="auto"/>
        </w:rPr>
      </w:pPr>
    </w:p>
    <w:p>
      <w:pPr>
        <w:ind w:right="160" w:firstLine="987"/>
        <w:spacing w:after="0" w:line="277" w:lineRule="auto"/>
        <w:tabs>
          <w:tab w:leader="none" w:pos="1246"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respective obligations of an Investor hereunder in connection with the Closing, unless waived by such Investor, are subject to the following conditions being met:</w:t>
      </w:r>
    </w:p>
    <w:p>
      <w:pPr>
        <w:spacing w:after="0" w:line="62" w:lineRule="exact"/>
        <w:rPr>
          <w:rFonts w:ascii="Arial" w:cs="Arial" w:eastAsia="Arial" w:hAnsi="Arial"/>
          <w:sz w:val="18"/>
          <w:szCs w:val="18"/>
          <w:color w:val="auto"/>
        </w:rPr>
      </w:pPr>
    </w:p>
    <w:p>
      <w:pPr>
        <w:jc w:val="both"/>
        <w:ind w:left="980" w:right="20" w:firstLine="408"/>
        <w:spacing w:after="0" w:line="286" w:lineRule="auto"/>
        <w:tabs>
          <w:tab w:leader="none" w:pos="1596" w:val="left"/>
        </w:tabs>
        <w:numPr>
          <w:ilvl w:val="1"/>
          <w:numId w:val="28"/>
        </w:numPr>
        <w:rPr>
          <w:rFonts w:ascii="Arial" w:cs="Arial" w:eastAsia="Arial" w:hAnsi="Arial"/>
          <w:sz w:val="17"/>
          <w:szCs w:val="17"/>
          <w:color w:val="auto"/>
        </w:rPr>
      </w:pPr>
      <w:r>
        <w:rPr>
          <w:rFonts w:ascii="Arial" w:cs="Arial" w:eastAsia="Arial" w:hAnsi="Arial"/>
          <w:sz w:val="17"/>
          <w:szCs w:val="17"/>
          <w:color w:val="auto"/>
        </w:rPr>
        <w:t>the accuracy in all material respects (or to the extent representations or warranties are qualified by materiality or Material Adverse Effect, in all respects) when made and on the Closing Date of the representations and warranties of the Company contained herein (except that representations and warranties made as of a specific date therein shall be accurate as of such date);</w:t>
      </w:r>
    </w:p>
    <w:p>
      <w:pPr>
        <w:spacing w:after="0" w:line="57" w:lineRule="exact"/>
        <w:rPr>
          <w:rFonts w:ascii="Arial" w:cs="Arial" w:eastAsia="Arial" w:hAnsi="Arial"/>
          <w:sz w:val="17"/>
          <w:szCs w:val="17"/>
          <w:color w:val="auto"/>
        </w:rPr>
      </w:pPr>
    </w:p>
    <w:p>
      <w:pPr>
        <w:ind w:left="980" w:right="80" w:firstLine="408"/>
        <w:spacing w:after="0" w:line="277" w:lineRule="auto"/>
        <w:tabs>
          <w:tab w:leader="none" w:pos="1646"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required approvals, obligations, covenants and agreements of the Company under this Agreement required to be performed at or prior to the Closing Date shall have been performed;</w:t>
      </w:r>
    </w:p>
    <w:p>
      <w:pPr>
        <w:spacing w:after="0" w:line="62" w:lineRule="exact"/>
        <w:rPr>
          <w:rFonts w:ascii="Arial" w:cs="Arial" w:eastAsia="Arial" w:hAnsi="Arial"/>
          <w:sz w:val="18"/>
          <w:szCs w:val="18"/>
          <w:color w:val="auto"/>
        </w:rPr>
      </w:pPr>
    </w:p>
    <w:p>
      <w:pPr>
        <w:ind w:left="980" w:right="200" w:firstLine="408"/>
        <w:spacing w:after="0" w:line="277" w:lineRule="auto"/>
        <w:tabs>
          <w:tab w:leader="none" w:pos="1696"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Company shall have filed with Nasdaq Global Market a true and complete Notification Form: Listing of Additional Shares covering the Securities;</w:t>
      </w:r>
    </w:p>
    <w:p>
      <w:pPr>
        <w:spacing w:after="0" w:line="62" w:lineRule="exact"/>
        <w:rPr>
          <w:rFonts w:ascii="Arial" w:cs="Arial" w:eastAsia="Arial" w:hAnsi="Arial"/>
          <w:sz w:val="18"/>
          <w:szCs w:val="18"/>
          <w:color w:val="auto"/>
        </w:rPr>
      </w:pPr>
    </w:p>
    <w:p>
      <w:pPr>
        <w:ind w:left="1700" w:hanging="312"/>
        <w:spacing w:after="0"/>
        <w:tabs>
          <w:tab w:leader="none" w:pos="17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delivery by the Company of the items set forth in Section 2.04(a) of this Agreement;</w:t>
      </w:r>
    </w:p>
    <w:p>
      <w:pPr>
        <w:spacing w:after="0" w:line="117" w:lineRule="exact"/>
        <w:rPr>
          <w:rFonts w:ascii="Arial" w:cs="Arial" w:eastAsia="Arial" w:hAnsi="Arial"/>
          <w:sz w:val="18"/>
          <w:szCs w:val="18"/>
          <w:color w:val="auto"/>
        </w:rPr>
      </w:pPr>
    </w:p>
    <w:p>
      <w:pPr>
        <w:ind w:left="1640" w:hanging="252"/>
        <w:spacing w:after="0"/>
        <w:tabs>
          <w:tab w:leader="none" w:pos="16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there shall have been no Material Adverse Effect with respect to the Company since the date hereof; and</w:t>
      </w:r>
    </w:p>
    <w:p>
      <w:pPr>
        <w:spacing w:after="0" w:line="113" w:lineRule="exact"/>
        <w:rPr>
          <w:rFonts w:ascii="Arial" w:cs="Arial" w:eastAsia="Arial" w:hAnsi="Arial"/>
          <w:sz w:val="18"/>
          <w:szCs w:val="18"/>
          <w:color w:val="auto"/>
        </w:rPr>
      </w:pPr>
    </w:p>
    <w:p>
      <w:pPr>
        <w:ind w:left="980" w:firstLine="408"/>
        <w:spacing w:after="0" w:line="292" w:lineRule="auto"/>
        <w:tabs>
          <w:tab w:leader="none" w:pos="1686" w:val="left"/>
        </w:tabs>
        <w:numPr>
          <w:ilvl w:val="1"/>
          <w:numId w:val="28"/>
        </w:numPr>
        <w:rPr>
          <w:rFonts w:ascii="Arial" w:cs="Arial" w:eastAsia="Arial" w:hAnsi="Arial"/>
          <w:sz w:val="16"/>
          <w:szCs w:val="16"/>
          <w:color w:val="auto"/>
        </w:rPr>
      </w:pPr>
      <w:r>
        <w:rPr>
          <w:rFonts w:ascii="Arial" w:cs="Arial" w:eastAsia="Arial" w:hAnsi="Arial"/>
          <w:sz w:val="16"/>
          <w:szCs w:val="16"/>
          <w:color w:val="auto"/>
        </w:rPr>
        <w:t xml:space="preserve">from the date hereof to the Closing Date, trading in the Common Stock shall not have been suspended by the </w:t>
      </w:r>
      <w:r>
        <w:rPr>
          <w:rFonts w:ascii="Arial" w:cs="Arial" w:eastAsia="Arial" w:hAnsi="Arial"/>
          <w:sz w:val="16"/>
          <w:szCs w:val="16"/>
          <w:b w:val="1"/>
          <w:bCs w:val="1"/>
          <w:color w:val="auto"/>
        </w:rPr>
        <w:t>SEC</w:t>
      </w:r>
      <w:r>
        <w:rPr>
          <w:rFonts w:ascii="Arial" w:cs="Arial" w:eastAsia="Arial" w:hAnsi="Arial"/>
          <w:sz w:val="16"/>
          <w:szCs w:val="16"/>
          <w:color w:val="auto"/>
        </w:rPr>
        <w:t xml:space="preserve"> or the Company’s principal Trading Market and, at any time from the date hereof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such Investor, makes it impracticable or inadvisable to purchase the Securities at the Closing.</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OF THE COMPANY</w:t>
      </w:r>
    </w:p>
    <w:p>
      <w:pPr>
        <w:spacing w:after="0" w:line="211"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The Company hereby represents and warrants the following as of the Closing Date (except for the representations and warranties that speak as of a specific date, which shall be made as of such date), to each of the Investors:</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Organization and Qualification</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57" w:lineRule="auto"/>
        <w:tabs>
          <w:tab w:leader="none" w:pos="1236"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 is a corporation and is duly organized, validly existing and in good standing under the laws of the State of Delaware and has the requisite corporate power and authority to own its properties and other assets, and to carry on its business as now being conducted. The Company is duly qualified to do business and is in good standing in every jurisdiction in which its ownership of property, or the nature of the business conducted by it makes such qualification necessary, except to the extent that the failure to be so qualified or be in good standing would not be reasonably expected to have a Material Adverse Effect.</w:t>
      </w:r>
    </w:p>
    <w:p>
      <w:pPr>
        <w:spacing w:after="0" w:line="79" w:lineRule="exact"/>
        <w:rPr>
          <w:rFonts w:ascii="Arial" w:cs="Arial" w:eastAsia="Arial" w:hAnsi="Arial"/>
          <w:sz w:val="18"/>
          <w:szCs w:val="18"/>
          <w:color w:val="auto"/>
        </w:rPr>
      </w:pPr>
    </w:p>
    <w:p>
      <w:pPr>
        <w:ind w:firstLine="987"/>
        <w:spacing w:after="0" w:line="289" w:lineRule="auto"/>
        <w:tabs>
          <w:tab w:leader="none" w:pos="1246"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Company does not, directly or indirectly own any security or beneficial ownership interest, in any other Person (including through joint venture or partnership agreements), other than any wholly owned Subsidiary. No Subsidiary of the Company owns, directly or indirectly, any security or beneficial ownership interest, in any other Person (including through joint venture or partnership agreements) or have any interest in any other Person, other than any wholly owned Subsidiary. Each of the Company’s Subsidiaries is a corporation, limited liability company, partnership or other entity and is duly organized or formed and validly existing in good standing under the laws of the jurisdiction in which it is incorporated or otherwise organized and has the requisite corporate, partnership, limited liability company or other organizational power and authority to own its properties, and to carry on its business as now being conducted. Each of the Company’s Subsidiaries is duly qualified to do business and is in good standing in every jurisdiction in which its ownership of property, or the nature of the business conducted by it makes such qualification necessary, except to the extent that the failure to be so qualified or be in good standing would not be reasonably expected to have a Material Adverse Effect.</w:t>
      </w:r>
    </w:p>
    <w:p>
      <w:pPr>
        <w:spacing w:after="0" w:line="166" w:lineRule="exact"/>
        <w:rPr>
          <w:sz w:val="20"/>
          <w:szCs w:val="20"/>
          <w:color w:val="auto"/>
        </w:rPr>
      </w:pPr>
    </w:p>
    <w:p>
      <w:pPr>
        <w:ind w:right="40" w:firstLine="991"/>
        <w:spacing w:after="0" w:line="287" w:lineRule="auto"/>
        <w:rPr>
          <w:sz w:val="20"/>
          <w:szCs w:val="20"/>
          <w:color w:val="auto"/>
        </w:rPr>
      </w:pPr>
      <w:r>
        <w:rPr>
          <w:rFonts w:ascii="Arial" w:cs="Arial" w:eastAsia="Arial" w:hAnsi="Arial"/>
          <w:sz w:val="16"/>
          <w:szCs w:val="16"/>
          <w:color w:val="auto"/>
        </w:rPr>
        <w:t xml:space="preserve">Section 3.02. </w:t>
      </w:r>
      <w:r>
        <w:rPr>
          <w:rFonts w:ascii="Arial" w:cs="Arial" w:eastAsia="Arial" w:hAnsi="Arial"/>
          <w:sz w:val="16"/>
          <w:szCs w:val="16"/>
          <w:u w:val="single" w:color="auto"/>
          <w:color w:val="auto"/>
        </w:rPr>
        <w:t>Authorization; Enforcement; Validity</w:t>
      </w:r>
      <w:r>
        <w:rPr>
          <w:rFonts w:ascii="Arial" w:cs="Arial" w:eastAsia="Arial" w:hAnsi="Arial"/>
          <w:sz w:val="16"/>
          <w:szCs w:val="16"/>
          <w:color w:val="auto"/>
        </w:rPr>
        <w:t>. The Company has the requisite corporate power and authority to enter into and perform its obligations under each of this Agreement, the Pre-Funded Warrants, the Registration Rights Agreement, the Irrevocable Transfer Agent Instructions (as defined below) and each of the other agreements to which it is a party or by which it is bound and which is entered into by the parties hereto in connection with the transactions contemplated hereby and thereby (collectively, the “</w:t>
      </w:r>
      <w:r>
        <w:rPr>
          <w:rFonts w:ascii="Arial" w:cs="Arial" w:eastAsia="Arial" w:hAnsi="Arial"/>
          <w:sz w:val="16"/>
          <w:szCs w:val="16"/>
          <w:b w:val="1"/>
          <w:bCs w:val="1"/>
          <w:color w:val="auto"/>
        </w:rPr>
        <w:t>Transaction Documents</w:t>
      </w:r>
      <w:r>
        <w:rPr>
          <w:rFonts w:ascii="Arial" w:cs="Arial" w:eastAsia="Arial" w:hAnsi="Arial"/>
          <w:sz w:val="16"/>
          <w:szCs w:val="16"/>
          <w:color w:val="auto"/>
        </w:rPr>
        <w:t>”), and to issue (and reserve for issuance, in the case of the Warrant Shares) and deliver the Securities in accordance with the terms hereof and of the other Transaction Documents. The execution and delivery of the Transaction Documents by the Company, and the consummation by the Company of the transactions contemplated hereby and thereby, including the issuance of the Securities, have been duly authorized by the Company Board and no further consent or authorization is required by the Company, its stockholders or the Company Board (including pursuant to the rules of the principal Trading Market). This Agreement and the other Transaction Documents dated of even date herewith have been duly executed and delivered by the Company, and constitute the legal, valid and binding obligations of the Company, enforceable against the Company in accordance with their terms, except as may be limited by bankruptcy, insolvency, fraudulent conveyance or similar laws affecting creditors’ rights generally and general principles of equity.</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0" w:right="439" w:bottom="1440" w:gutter="0" w:footer="0" w:header="0"/>
        </w:sectPr>
      </w:pPr>
    </w:p>
    <w:bookmarkStart w:id="33" w:name="page34"/>
    <w:bookmarkEnd w:id="33"/>
    <w:p>
      <w:pPr>
        <w:ind w:firstLine="991"/>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3.03. </w:t>
      </w:r>
      <w:r>
        <w:rPr>
          <w:rFonts w:ascii="Arial" w:cs="Arial" w:eastAsia="Arial" w:hAnsi="Arial"/>
          <w:sz w:val="16"/>
          <w:szCs w:val="16"/>
          <w:u w:val="single" w:color="auto"/>
          <w:color w:val="auto"/>
        </w:rPr>
        <w:t>Capitalization</w:t>
      </w:r>
      <w:r>
        <w:rPr>
          <w:rFonts w:ascii="Arial" w:cs="Arial" w:eastAsia="Arial" w:hAnsi="Arial"/>
          <w:sz w:val="16"/>
          <w:szCs w:val="16"/>
          <w:color w:val="auto"/>
        </w:rPr>
        <w:t>. The Company is authorized under its Ninth Amended and Restated Certificate of Incorporation, dated as of June 24, 2014, as amended and in effect on the date hereof (the “</w:t>
      </w:r>
      <w:r>
        <w:rPr>
          <w:rFonts w:ascii="Arial" w:cs="Arial" w:eastAsia="Arial" w:hAnsi="Arial"/>
          <w:sz w:val="16"/>
          <w:szCs w:val="16"/>
          <w:b w:val="1"/>
          <w:bCs w:val="1"/>
          <w:color w:val="auto"/>
        </w:rPr>
        <w:t>Certificate of Incorporation</w:t>
      </w:r>
      <w:r>
        <w:rPr>
          <w:rFonts w:ascii="Arial" w:cs="Arial" w:eastAsia="Arial" w:hAnsi="Arial"/>
          <w:sz w:val="16"/>
          <w:szCs w:val="16"/>
          <w:color w:val="auto"/>
        </w:rPr>
        <w:t>”) to issue 115,000,000 shares of Common Stock, of which 15,367,730 shares are issued and outstanding as of the date hereof, and 5,000,000 shares of preferred stock, par value $0.001 per share, of which no shares are issued and outstanding as of the date hereof. All of the issued and outstanding shares of the Company’s capital stock have been duly authorized and validly issued and are fully paid and nonassessable; none of such shares were issued in violation of any pre-emptive rights; and such shares were issued in compliance in all material respects with applicable state and federal securities law and any rights of third parties. No Person is entitled to preemptive or similar statutory or contractual rights with respect to the issuance by the Company of any securities of the Company, and neither the execution and delivery of this Agreement, nor the issuance of the Securities will trigger any price reset or anti-dilution rights, or otherwise result in the adjustment of any exercise, conversion or exchange price, in respect of any outstanding securities of the Company. Except as set forth in the SEC Documents, there are no outstanding warrants, options, convertible securities or other rights, agreements or arrangements of any character under which the Company is or may be obligated to issue any equity securities of any kind and except as contemplated by this Agreement. Except for the Registration Rights Agreement and as set forth in the SEC Documents, there are no voting agreements, buy-sell agreements, option or right of first purchase agreements or other agreements of any kind among the Company and any of the securityholders of the Company relating to the securities of the Company held by them. Except as provided in the Registration Rights Agreement and as set forth in the SEC Documents, no Person has the right to require the Company to register any securities of the Company under the 1933 Act, whether on a demand basis or in connection with the registration of securities of the Company for its own account or for the account of any other Person. The Company is not, and never has been, a “shell company” (as defined in Rule 12b-2 under the 1934 Act) and is not an issuer of a type identified in, or subject to, Rule 144(i)(1) under the 1933 Act. The Company is eligible to register the Shares and the Warrant Shares for resale by the holders thereof on a registration statement on Form S-3 under the 1933 Act. The SEC has never issued any stop order or other order suspending the effectiveness of any registration statement filed by the Company under the 1933 Act.</w:t>
      </w:r>
    </w:p>
    <w:p>
      <w:pPr>
        <w:spacing w:after="0" w:line="169" w:lineRule="exact"/>
        <w:rPr>
          <w:sz w:val="20"/>
          <w:szCs w:val="20"/>
          <w:color w:val="auto"/>
        </w:rPr>
      </w:pPr>
    </w:p>
    <w:p>
      <w:pPr>
        <w:ind w:right="20" w:firstLine="991"/>
        <w:spacing w:after="0" w:line="271" w:lineRule="auto"/>
        <w:rPr>
          <w:sz w:val="20"/>
          <w:szCs w:val="20"/>
          <w:color w:val="auto"/>
        </w:rPr>
      </w:pPr>
      <w:r>
        <w:rPr>
          <w:rFonts w:ascii="Arial" w:cs="Arial" w:eastAsia="Arial" w:hAnsi="Arial"/>
          <w:sz w:val="17"/>
          <w:szCs w:val="17"/>
          <w:color w:val="auto"/>
        </w:rPr>
        <w:t xml:space="preserve">Section 3.04. </w:t>
      </w:r>
      <w:r>
        <w:rPr>
          <w:rFonts w:ascii="Arial" w:cs="Arial" w:eastAsia="Arial" w:hAnsi="Arial"/>
          <w:sz w:val="17"/>
          <w:szCs w:val="17"/>
          <w:u w:val="single" w:color="auto"/>
          <w:color w:val="auto"/>
        </w:rPr>
        <w:t>Issuance of Shares</w:t>
      </w:r>
      <w:r>
        <w:rPr>
          <w:rFonts w:ascii="Arial" w:cs="Arial" w:eastAsia="Arial" w:hAnsi="Arial"/>
          <w:sz w:val="17"/>
          <w:szCs w:val="17"/>
          <w:color w:val="auto"/>
        </w:rPr>
        <w:t>. The Shares have been duly and validly authorized and, when issued and paid for pursuant to this Agreement, will be validly issued, fully paid and nonassessable, and shall be free and clear of all Liens, except for restrictions on transfer set forth in the Transaction Documents or imposed by applicable securities laws. Upon the due exercise of the Pre-Funded Warrants, the Warrant Shares will be validly issued, fully paid and non-assessable free and clear of all Liens, except for restrictions on transfer set forth in the Transaction Documents or imposed by applicable securities laws. The Company has reserved a sufficient number of shares of Common Stock for issuance of the Warrant Shares. The issuance by the Company of the Shares is, and upon due exercise of the Pre-Funded Warrants, the issuance of the Warrant Shares will be, in compliance with all applicable federal and state securities laws and exempt from registration under the 1933 Act and applicable state securities laws. Neither the Company nor any person acting on its behalf has engaged or will engage in any form of general</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40" w:top="274" w:right="479" w:bottom="1440" w:gutter="0" w:footer="0" w:header="0"/>
        </w:sectPr>
      </w:pPr>
    </w:p>
    <w:bookmarkStart w:id="34" w:name="page35"/>
    <w:bookmarkEnd w:id="34"/>
    <w:p>
      <w:pPr>
        <w:ind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solicitation or general advertising (within the meaning of Regulation D under the 1933 Act) in connection with any offer or sale of the Securities. The Securities are not being offered in a manner involving a public offering under, or in a distribution in violation of, the 1933 Act or any state securities laws. No “bad actor” disqualifying event described in Rule 506(d)(1)(i)-(viii) of the 1933 Act (a “Disqualification Event”) is applicable to the Company or other “covered person” (within the meaning of Regulation D under the 1933 Act), except for a Disqualification Event as to which Rule 506(d)(2)(ii– iv) or (d)(3) is applicable.</w:t>
      </w:r>
    </w:p>
    <w:p>
      <w:pPr>
        <w:spacing w:after="0" w:line="188" w:lineRule="exact"/>
        <w:rPr>
          <w:sz w:val="20"/>
          <w:szCs w:val="20"/>
          <w:color w:val="auto"/>
        </w:rPr>
      </w:pPr>
    </w:p>
    <w:p>
      <w:pPr>
        <w:ind w:firstLine="991"/>
        <w:spacing w:after="0" w:line="287" w:lineRule="auto"/>
        <w:rPr>
          <w:sz w:val="20"/>
          <w:szCs w:val="20"/>
          <w:color w:val="auto"/>
        </w:rPr>
      </w:pPr>
      <w:r>
        <w:rPr>
          <w:rFonts w:ascii="Arial" w:cs="Arial" w:eastAsia="Arial" w:hAnsi="Arial"/>
          <w:sz w:val="16"/>
          <w:szCs w:val="16"/>
          <w:color w:val="auto"/>
        </w:rPr>
        <w:t xml:space="preserve">Section 3.05. </w:t>
      </w:r>
      <w:r>
        <w:rPr>
          <w:rFonts w:ascii="Arial" w:cs="Arial" w:eastAsia="Arial" w:hAnsi="Arial"/>
          <w:sz w:val="16"/>
          <w:szCs w:val="16"/>
          <w:u w:val="single" w:color="auto"/>
          <w:color w:val="auto"/>
        </w:rPr>
        <w:t>No Conflicts</w:t>
      </w:r>
      <w:r>
        <w:rPr>
          <w:rFonts w:ascii="Arial" w:cs="Arial" w:eastAsia="Arial" w:hAnsi="Arial"/>
          <w:sz w:val="16"/>
          <w:szCs w:val="16"/>
          <w:color w:val="auto"/>
        </w:rPr>
        <w:t>. The execution, delivery and performance of this Agreement and the other Transaction Documents by the Company and the issuance and sale of the Securities in accordance with the provisions hereof and thereof do not (i) conflict with or result in a breach or violation of (a) any of the terms and provisions of, or constitute a default under, the Company’s Certificate of Incorporation, or the Company’s Amended and Restated Bylaws, effective as of June 18, 2014 (the “</w:t>
      </w:r>
      <w:r>
        <w:rPr>
          <w:rFonts w:ascii="Arial" w:cs="Arial" w:eastAsia="Arial" w:hAnsi="Arial"/>
          <w:sz w:val="16"/>
          <w:szCs w:val="16"/>
          <w:b w:val="1"/>
          <w:bCs w:val="1"/>
          <w:color w:val="auto"/>
        </w:rPr>
        <w:t>Bylaws</w:t>
      </w:r>
      <w:r>
        <w:rPr>
          <w:rFonts w:ascii="Arial" w:cs="Arial" w:eastAsia="Arial" w:hAnsi="Arial"/>
          <w:sz w:val="16"/>
          <w:szCs w:val="16"/>
          <w:color w:val="auto"/>
        </w:rPr>
        <w:t>”), both as in effect on the date hereof (true and complete copies of which have been made available to the Investors through the Electronic Data Gathering, Analysis, and Retrieval system (the “</w:t>
      </w:r>
      <w:r>
        <w:rPr>
          <w:rFonts w:ascii="Arial" w:cs="Arial" w:eastAsia="Arial" w:hAnsi="Arial"/>
          <w:sz w:val="16"/>
          <w:szCs w:val="16"/>
          <w:b w:val="1"/>
          <w:bCs w:val="1"/>
          <w:color w:val="auto"/>
        </w:rPr>
        <w:t>EDGAR system</w:t>
      </w:r>
      <w:r>
        <w:rPr>
          <w:rFonts w:ascii="Arial" w:cs="Arial" w:eastAsia="Arial" w:hAnsi="Arial"/>
          <w:sz w:val="16"/>
          <w:szCs w:val="16"/>
          <w:color w:val="auto"/>
        </w:rPr>
        <w:t xml:space="preserve">”)), or (b) assuming the accuracy of the representations and warranties in </w:t>
      </w:r>
      <w:r>
        <w:rPr>
          <w:rFonts w:ascii="Arial" w:cs="Arial" w:eastAsia="Arial" w:hAnsi="Arial"/>
          <w:sz w:val="16"/>
          <w:szCs w:val="16"/>
          <w:u w:val="single" w:color="auto"/>
          <w:color w:val="auto"/>
        </w:rPr>
        <w:t>Article IV</w:t>
      </w:r>
      <w:r>
        <w:rPr>
          <w:rFonts w:ascii="Arial" w:cs="Arial" w:eastAsia="Arial" w:hAnsi="Arial"/>
          <w:sz w:val="16"/>
          <w:szCs w:val="16"/>
          <w:color w:val="auto"/>
        </w:rPr>
        <w:t>, any applicable statute, rule, regulation or order of any governmental agency or body or any court, domestic or foreign, having jurisdiction over the Company or any of its assets or properties, or (ii) except for such violations, conflicts or defaults as would not reasonably be expected, individually or in the aggregate, to have a Material Adverse Effect, conflict with, or constitute a default (or an event that with or without notice or lapse of time or both would become a default) under, result in the creation of any Lien upon any of the properties or assets of the Company or give to others any rights of termination, amendment, acceleration or cancellation (with or without notice, lapse of time or both) of, any material contract to which the Company or any of its Subsidiaries is a party or by which it is bound.</w:t>
      </w:r>
    </w:p>
    <w:p>
      <w:pPr>
        <w:spacing w:after="0" w:line="17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u w:val="single" w:color="auto"/>
          <w:color w:val="auto"/>
        </w:rPr>
        <w:t>SEC Documents; Financial Statements; Sarbanes-Oxley</w:t>
      </w:r>
      <w:r>
        <w:rPr>
          <w:rFonts w:ascii="Arial" w:cs="Arial" w:eastAsia="Arial" w:hAnsi="Arial"/>
          <w:sz w:val="18"/>
          <w:szCs w:val="18"/>
          <w:color w:val="auto"/>
        </w:rPr>
        <w:t>.</w:t>
      </w:r>
    </w:p>
    <w:p>
      <w:pPr>
        <w:spacing w:after="0" w:line="117" w:lineRule="exact"/>
        <w:rPr>
          <w:sz w:val="20"/>
          <w:szCs w:val="20"/>
          <w:color w:val="auto"/>
        </w:rPr>
      </w:pPr>
    </w:p>
    <w:p>
      <w:pPr>
        <w:ind w:right="80" w:firstLine="987"/>
        <w:spacing w:after="0" w:line="289" w:lineRule="auto"/>
        <w:tabs>
          <w:tab w:leader="none" w:pos="1236" w:val="left"/>
        </w:tabs>
        <w:numPr>
          <w:ilvl w:val="0"/>
          <w:numId w:val="30"/>
        </w:numPr>
        <w:rPr>
          <w:rFonts w:ascii="Arial" w:cs="Arial" w:eastAsia="Arial" w:hAnsi="Arial"/>
          <w:sz w:val="16"/>
          <w:szCs w:val="16"/>
          <w:color w:val="auto"/>
        </w:rPr>
      </w:pPr>
      <w:r>
        <w:rPr>
          <w:rFonts w:ascii="Arial" w:cs="Arial" w:eastAsia="Arial" w:hAnsi="Arial"/>
          <w:sz w:val="16"/>
          <w:szCs w:val="16"/>
          <w:color w:val="auto"/>
        </w:rPr>
        <w:t>Since December 31, 2019, the Company has filed on a timely basis all reports, schedules, forms, statements and other documents required to be filed by it with the SEC pursuant to the reporting requirements of the Securities Exchange Act of 1934 Act, as amended (the “</w:t>
      </w:r>
      <w:r>
        <w:rPr>
          <w:rFonts w:ascii="Arial" w:cs="Arial" w:eastAsia="Arial" w:hAnsi="Arial"/>
          <w:sz w:val="16"/>
          <w:szCs w:val="16"/>
          <w:b w:val="1"/>
          <w:bCs w:val="1"/>
          <w:color w:val="auto"/>
        </w:rPr>
        <w:t>1934 Act</w:t>
      </w:r>
      <w:r>
        <w:rPr>
          <w:rFonts w:ascii="Arial" w:cs="Arial" w:eastAsia="Arial" w:hAnsi="Arial"/>
          <w:sz w:val="16"/>
          <w:szCs w:val="16"/>
          <w:color w:val="auto"/>
        </w:rPr>
        <w:t>”) (all of the foregoing filed prior to the date this representation is made (including all exhibits included therein and financial statements and schedules thereto and documents incorporated by reference therein) being hereinafter referred to as the “</w:t>
      </w:r>
      <w:r>
        <w:rPr>
          <w:rFonts w:ascii="Arial" w:cs="Arial" w:eastAsia="Arial" w:hAnsi="Arial"/>
          <w:sz w:val="16"/>
          <w:szCs w:val="16"/>
          <w:b w:val="1"/>
          <w:bCs w:val="1"/>
          <w:color w:val="auto"/>
        </w:rPr>
        <w:t>SEC Documents</w:t>
      </w:r>
      <w:r>
        <w:rPr>
          <w:rFonts w:ascii="Arial" w:cs="Arial" w:eastAsia="Arial" w:hAnsi="Arial"/>
          <w:sz w:val="16"/>
          <w:szCs w:val="16"/>
          <w:color w:val="auto"/>
        </w:rPr>
        <w:t>”). As of their respective dates (or, if amended or superseded by a filing prior to the date of this Agreement, then on the date of such filing), the SEC Documents complied in all material respects with the requirements of the 1934 Act and the rules and regulations of the SEC promulgated thereunder applicable to the SEC Documents. None of the SEC Documents, at the time they were filed with the SEC, contained any untrue statement of a material fact or omitted to state a material fact required to be stated therein or necessary in order to make the statements therein, in light of the circumstances under which they were made, not misleading. The Company has not received any written comments from the SEC staff that have not been resolved to the satisfaction of the SEC staff.</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35" w:name="page36"/>
    <w:bookmarkEnd w:id="35"/>
    <w:p>
      <w:pPr>
        <w:ind w:left="4" w:right="60" w:firstLine="987"/>
        <w:spacing w:after="0" w:line="272" w:lineRule="auto"/>
        <w:tabs>
          <w:tab w:leader="none" w:pos="1250" w:val="left"/>
        </w:tabs>
        <w:numPr>
          <w:ilvl w:val="0"/>
          <w:numId w:val="3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of their respective dates, the consolidated financial statements of the Company and its Subsidiaries included in the SEC Documents complied as to form in all material respects with the published rules and regulations of the SEC with respect thereto. Such financial statements have been prepared in accordance with United States generally accepted accounting principles (“</w:t>
      </w:r>
      <w:r>
        <w:rPr>
          <w:rFonts w:ascii="Arial" w:cs="Arial" w:eastAsia="Arial" w:hAnsi="Arial"/>
          <w:sz w:val="17"/>
          <w:szCs w:val="17"/>
          <w:b w:val="1"/>
          <w:bCs w:val="1"/>
          <w:color w:val="auto"/>
        </w:rPr>
        <w:t>GAAP</w:t>
      </w:r>
      <w:r>
        <w:rPr>
          <w:rFonts w:ascii="Arial" w:cs="Arial" w:eastAsia="Arial" w:hAnsi="Arial"/>
          <w:sz w:val="17"/>
          <w:szCs w:val="17"/>
          <w:color w:val="auto"/>
        </w:rPr>
        <w:t>”), consistently applied, during the periods involved (except (i) as may be otherwise indicated in such financial statements or the notes thereto, or (ii) in the case of unaudited interim statements, to the extent they may exclude footnotes and are subject to normal and recurring year-end adjustments that are not reasonably expected to be material in amount) and fairly present in all material respects the consolidated financial position of the Company and its Subsidiaries as of the dates thereof and the consolidated results of their operations and cash flows for the periods presented.</w:t>
      </w:r>
    </w:p>
    <w:p>
      <w:pPr>
        <w:spacing w:after="0" w:line="69" w:lineRule="exact"/>
        <w:rPr>
          <w:rFonts w:ascii="Arial" w:cs="Arial" w:eastAsia="Arial" w:hAnsi="Arial"/>
          <w:sz w:val="17"/>
          <w:szCs w:val="17"/>
          <w:color w:val="auto"/>
        </w:rPr>
      </w:pPr>
    </w:p>
    <w:p>
      <w:pPr>
        <w:ind w:left="4" w:right="60" w:firstLine="987"/>
        <w:spacing w:after="0" w:line="277" w:lineRule="auto"/>
        <w:tabs>
          <w:tab w:leader="none" w:pos="12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 is in compliance in all material respects with applicable provisions of the Sarbanes-Oxley Act of 2002, as amended, and the rules and regulations thereunder (collectively, “</w:t>
      </w:r>
      <w:r>
        <w:rPr>
          <w:rFonts w:ascii="Arial" w:cs="Arial" w:eastAsia="Arial" w:hAnsi="Arial"/>
          <w:sz w:val="18"/>
          <w:szCs w:val="18"/>
          <w:b w:val="1"/>
          <w:bCs w:val="1"/>
          <w:color w:val="auto"/>
        </w:rPr>
        <w:t>Sarbanes-Oxley</w:t>
      </w:r>
      <w:r>
        <w:rPr>
          <w:rFonts w:ascii="Arial" w:cs="Arial" w:eastAsia="Arial" w:hAnsi="Arial"/>
          <w:sz w:val="18"/>
          <w:szCs w:val="18"/>
          <w:color w:val="auto"/>
        </w:rPr>
        <w:t>”).</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u w:val="single" w:color="auto"/>
          <w:color w:val="auto"/>
        </w:rPr>
        <w:t>Internal Accounting Controls; Disclosure Controls and Procedures</w:t>
      </w:r>
      <w:r>
        <w:rPr>
          <w:rFonts w:ascii="Arial" w:cs="Arial" w:eastAsia="Arial" w:hAnsi="Arial"/>
          <w:sz w:val="18"/>
          <w:szCs w:val="18"/>
          <w:color w:val="auto"/>
        </w:rPr>
        <w:t>.</w:t>
      </w:r>
    </w:p>
    <w:p>
      <w:pPr>
        <w:spacing w:after="0" w:line="117" w:lineRule="exact"/>
        <w:rPr>
          <w:sz w:val="20"/>
          <w:szCs w:val="20"/>
          <w:color w:val="auto"/>
        </w:rPr>
      </w:pPr>
    </w:p>
    <w:p>
      <w:pPr>
        <w:ind w:left="4" w:right="540" w:firstLine="987"/>
        <w:spacing w:after="0" w:line="291" w:lineRule="auto"/>
        <w:tabs>
          <w:tab w:leader="none" w:pos="1240" w:val="left"/>
        </w:tabs>
        <w:numPr>
          <w:ilvl w:val="1"/>
          <w:numId w:val="32"/>
        </w:numPr>
        <w:rPr>
          <w:rFonts w:ascii="Arial" w:cs="Arial" w:eastAsia="Arial" w:hAnsi="Arial"/>
          <w:sz w:val="16"/>
          <w:szCs w:val="16"/>
          <w:color w:val="auto"/>
        </w:rPr>
      </w:pPr>
      <w:r>
        <w:rPr>
          <w:rFonts w:ascii="Arial" w:cs="Arial" w:eastAsia="Arial" w:hAnsi="Arial"/>
          <w:sz w:val="16"/>
          <w:szCs w:val="16"/>
          <w:color w:val="auto"/>
        </w:rPr>
        <w:t>The Company maintains a system of internal accounting controls that comply with applicable securities laws and are reasonably designed to provide reasonable assurance that (i) transactions are executed in accordance with management’s general or specific authorizations,</w:t>
      </w:r>
    </w:p>
    <w:p>
      <w:pPr>
        <w:ind w:left="4" w:right="260" w:hanging="4"/>
        <w:spacing w:after="0" w:line="281" w:lineRule="auto"/>
        <w:tabs>
          <w:tab w:leader="none" w:pos="269" w:val="left"/>
        </w:tabs>
        <w:numPr>
          <w:ilvl w:val="0"/>
          <w:numId w:val="33"/>
        </w:numPr>
        <w:rPr>
          <w:rFonts w:ascii="Arial" w:cs="Arial" w:eastAsia="Arial" w:hAnsi="Arial"/>
          <w:sz w:val="16"/>
          <w:szCs w:val="16"/>
          <w:color w:val="auto"/>
        </w:rPr>
      </w:pPr>
      <w:r>
        <w:rPr>
          <w:rFonts w:ascii="Arial" w:cs="Arial" w:eastAsia="Arial" w:hAnsi="Arial"/>
          <w:sz w:val="16"/>
          <w:szCs w:val="16"/>
          <w:color w:val="auto"/>
        </w:rPr>
        <w:t>transactions are recorded as necessary to permit preparation of financial statements in conformity with GAAP and to maintain asset and liability accountability, (iii) access to assets or incurrence of liability is permitted only in accordance with management’s general or specific authorization and</w:t>
      </w:r>
    </w:p>
    <w:p>
      <w:pPr>
        <w:spacing w:after="0" w:line="1" w:lineRule="exact"/>
        <w:rPr>
          <w:rFonts w:ascii="Arial" w:cs="Arial" w:eastAsia="Arial" w:hAnsi="Arial"/>
          <w:sz w:val="16"/>
          <w:szCs w:val="16"/>
          <w:color w:val="auto"/>
        </w:rPr>
      </w:pPr>
    </w:p>
    <w:p>
      <w:pPr>
        <w:ind w:left="4" w:right="40" w:hanging="4"/>
        <w:spacing w:after="0" w:line="255" w:lineRule="auto"/>
        <w:tabs>
          <w:tab w:leader="none" w:pos="309"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recorded accountability for assets and liabilities is compared with the existing assets and liabilities at reasonable intervals and appropriate action is taken with respect to any differences and the interactive data in eXtensible Business Reporting Language incorporated by reference in the SEC Documents is accurate.</w:t>
      </w:r>
    </w:p>
    <w:p>
      <w:pPr>
        <w:spacing w:after="0" w:line="81" w:lineRule="exact"/>
        <w:rPr>
          <w:rFonts w:ascii="Arial" w:cs="Arial" w:eastAsia="Arial" w:hAnsi="Arial"/>
          <w:sz w:val="18"/>
          <w:szCs w:val="18"/>
          <w:color w:val="auto"/>
        </w:rPr>
      </w:pPr>
    </w:p>
    <w:p>
      <w:pPr>
        <w:ind w:left="4" w:firstLine="987"/>
        <w:spacing w:after="0" w:line="254" w:lineRule="auto"/>
        <w:tabs>
          <w:tab w:leader="none" w:pos="1250" w:val="left"/>
        </w:tabs>
        <w:numPr>
          <w:ilvl w:val="1"/>
          <w:numId w:val="34"/>
        </w:numPr>
        <w:rPr>
          <w:rFonts w:ascii="Arial" w:cs="Arial" w:eastAsia="Arial" w:hAnsi="Arial"/>
          <w:sz w:val="18"/>
          <w:szCs w:val="18"/>
          <w:color w:val="auto"/>
        </w:rPr>
      </w:pPr>
      <w:r>
        <w:rPr>
          <w:rFonts w:ascii="Arial" w:cs="Arial" w:eastAsia="Arial" w:hAnsi="Arial"/>
          <w:sz w:val="18"/>
          <w:szCs w:val="18"/>
          <w:color w:val="auto"/>
        </w:rPr>
        <w:t>(i) The Company has established and maintains disclosure controls and procedures (as defined in Rules 13a-15 and 15d-15 under the 1934 Act), which are designed to ensure that material information relating to the Company is made known to the Company’s principal executive officer and its principal financial officer by others within those entities; (ii) since the end of the Company’s most recent audited fiscal year, there have been no significant deficiencies or material weakness in the Company’s internal control over financial reporting (whether or not remediated) and no change in the Company’s internal control over financial reporting that has materially affected, or is reasonably likely to materially affect, the Company’s internal control over financial reporting; and (iii) the Company is not aware of any change in its internal controls over financial reporting that has occurred during its most recent fiscal quarter that has materially affected, or is reasonably likely to materially affect, the Company’s internal control over financial reporting.</w:t>
      </w:r>
    </w:p>
    <w:p>
      <w:pPr>
        <w:spacing w:after="0" w:line="192" w:lineRule="exact"/>
        <w:rPr>
          <w:sz w:val="20"/>
          <w:szCs w:val="20"/>
          <w:color w:val="auto"/>
        </w:rPr>
      </w:pPr>
    </w:p>
    <w:p>
      <w:pPr>
        <w:ind w:left="4" w:right="40" w:firstLine="991"/>
        <w:spacing w:after="0" w:line="277" w:lineRule="auto"/>
        <w:rPr>
          <w:sz w:val="20"/>
          <w:szCs w:val="20"/>
          <w:color w:val="auto"/>
        </w:rPr>
      </w:pPr>
      <w:r>
        <w:rPr>
          <w:rFonts w:ascii="Arial" w:cs="Arial" w:eastAsia="Arial" w:hAnsi="Arial"/>
          <w:sz w:val="18"/>
          <w:szCs w:val="18"/>
          <w:color w:val="auto"/>
        </w:rPr>
        <w:t xml:space="preserve">Section 3.08. </w:t>
      </w:r>
      <w:r>
        <w:rPr>
          <w:rFonts w:ascii="Arial" w:cs="Arial" w:eastAsia="Arial" w:hAnsi="Arial"/>
          <w:sz w:val="18"/>
          <w:szCs w:val="18"/>
          <w:u w:val="single" w:color="auto"/>
          <w:color w:val="auto"/>
        </w:rPr>
        <w:t>Absence of Certain Changes</w:t>
      </w:r>
      <w:r>
        <w:rPr>
          <w:rFonts w:ascii="Arial" w:cs="Arial" w:eastAsia="Arial" w:hAnsi="Arial"/>
          <w:sz w:val="18"/>
          <w:szCs w:val="18"/>
          <w:color w:val="auto"/>
        </w:rPr>
        <w:t>. Since December 31, 2020, there has been no event, occurrence or development that has had, or would reasonably be expected to have, individually or in the aggregate, a Material Adverse Effect.</w:t>
      </w:r>
    </w:p>
    <w:p>
      <w:pPr>
        <w:spacing w:after="0" w:line="170" w:lineRule="exact"/>
        <w:rPr>
          <w:sz w:val="20"/>
          <w:szCs w:val="20"/>
          <w:color w:val="auto"/>
        </w:rPr>
      </w:pPr>
    </w:p>
    <w:p>
      <w:pPr>
        <w:ind w:left="4" w:firstLine="991"/>
        <w:spacing w:after="0" w:line="286" w:lineRule="auto"/>
        <w:rPr>
          <w:sz w:val="20"/>
          <w:szCs w:val="20"/>
          <w:color w:val="auto"/>
        </w:rPr>
      </w:pPr>
      <w:r>
        <w:rPr>
          <w:rFonts w:ascii="Arial" w:cs="Arial" w:eastAsia="Arial" w:hAnsi="Arial"/>
          <w:sz w:val="17"/>
          <w:szCs w:val="17"/>
          <w:color w:val="auto"/>
        </w:rPr>
        <w:t xml:space="preserve">Section 3.09. </w:t>
      </w:r>
      <w:r>
        <w:rPr>
          <w:rFonts w:ascii="Arial" w:cs="Arial" w:eastAsia="Arial" w:hAnsi="Arial"/>
          <w:sz w:val="17"/>
          <w:szCs w:val="17"/>
          <w:u w:val="single" w:color="auto"/>
          <w:color w:val="auto"/>
        </w:rPr>
        <w:t>Absence of Litigation</w:t>
      </w:r>
      <w:r>
        <w:rPr>
          <w:rFonts w:ascii="Arial" w:cs="Arial" w:eastAsia="Arial" w:hAnsi="Arial"/>
          <w:sz w:val="17"/>
          <w:szCs w:val="17"/>
          <w:color w:val="auto"/>
        </w:rPr>
        <w:t>. There are no legal, governmental or regulatory investigations, actions, suits or proceedings pending or, to the Company’s Knowledge, threatened to which the Company or any of its Subsidiaries is or to which any property of the Company is subject that, individually or in the aggregate have had or, would reasonably be expected to have, a Material Adverse Effect.</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4"/>
          </w:cols>
          <w:pgMar w:left="436" w:top="274" w:right="459" w:bottom="1440" w:gutter="0" w:footer="0" w:header="0"/>
        </w:sectPr>
      </w:pPr>
    </w:p>
    <w:bookmarkStart w:id="36" w:name="page37"/>
    <w:bookmarkEnd w:id="36"/>
    <w:p>
      <w:pPr>
        <w:ind w:right="20" w:firstLine="991"/>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3.10. </w:t>
      </w:r>
      <w:r>
        <w:rPr>
          <w:rFonts w:ascii="Arial" w:cs="Arial" w:eastAsia="Arial" w:hAnsi="Arial"/>
          <w:sz w:val="18"/>
          <w:szCs w:val="18"/>
          <w:u w:val="single" w:color="auto"/>
          <w:color w:val="auto"/>
        </w:rPr>
        <w:t>Acknowledgment Regarding Investor’s Purchase of the Securities</w:t>
      </w:r>
      <w:r>
        <w:rPr>
          <w:rFonts w:ascii="Arial" w:cs="Arial" w:eastAsia="Arial" w:hAnsi="Arial"/>
          <w:sz w:val="18"/>
          <w:szCs w:val="18"/>
          <w:color w:val="auto"/>
        </w:rPr>
        <w:t>. The Company acknowledges and agrees that each of the Investors is acting solely in the capacity of an arm’s length purchaser with respect to the Company in connection with the Transaction Documents and the transactions contemplated hereby and thereby. The Company further acknowledges that each Investor is not acting as a financial advisor or fiduciary of the Company (or in any similar capacity) with respect to the Transaction Documents and the transactions contemplated hereby and thereby, and any advice given by any of the Investors or any of their respective representatives or agents in connection with the Transaction Documents and the transactions contemplated hereby and thereby is merely incidental to such Investor’s purchase of the Securities. The Company further represents to each Investor that the Company’s decision to enter into the Transaction Documents has been based solely on the independent evaluation by the Company and its representatives.</w:t>
      </w:r>
    </w:p>
    <w:p>
      <w:pPr>
        <w:spacing w:after="0" w:line="192" w:lineRule="exact"/>
        <w:rPr>
          <w:sz w:val="20"/>
          <w:szCs w:val="20"/>
          <w:color w:val="auto"/>
        </w:rPr>
      </w:pPr>
    </w:p>
    <w:p>
      <w:pPr>
        <w:ind w:right="140" w:firstLine="991"/>
        <w:spacing w:after="0" w:line="259" w:lineRule="auto"/>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u w:val="single" w:color="auto"/>
          <w:color w:val="auto"/>
        </w:rPr>
        <w:t>No Integrated Offering</w:t>
      </w:r>
      <w:r>
        <w:rPr>
          <w:rFonts w:ascii="Arial" w:cs="Arial" w:eastAsia="Arial" w:hAnsi="Arial"/>
          <w:sz w:val="18"/>
          <w:szCs w:val="18"/>
          <w:color w:val="auto"/>
        </w:rPr>
        <w:t>. Neither the Company, nor any of its Affiliates, nor any Person acting on its or their behalf has, directly or indirectly, made any offers or sales of any security or solicited any offers to buy any security, under circumstances that would require registration of any of the Securities under the 1933 Act or cause this offering of the Securities to be integrated with prior offerings by the Company for purposes of the 1933 Act or any applicable stockholder approval provisions of any authority.</w:t>
      </w:r>
    </w:p>
    <w:p>
      <w:pPr>
        <w:spacing w:after="0" w:line="187" w:lineRule="exact"/>
        <w:rPr>
          <w:sz w:val="20"/>
          <w:szCs w:val="20"/>
          <w:color w:val="auto"/>
        </w:rPr>
      </w:pPr>
    </w:p>
    <w:p>
      <w:pPr>
        <w:ind w:firstLine="991"/>
        <w:spacing w:after="0" w:line="291" w:lineRule="auto"/>
        <w:rPr>
          <w:sz w:val="20"/>
          <w:szCs w:val="20"/>
          <w:color w:val="auto"/>
        </w:rPr>
      </w:pPr>
      <w:r>
        <w:rPr>
          <w:rFonts w:ascii="Arial" w:cs="Arial" w:eastAsia="Arial" w:hAnsi="Arial"/>
          <w:sz w:val="16"/>
          <w:szCs w:val="16"/>
          <w:color w:val="auto"/>
        </w:rPr>
        <w:t xml:space="preserve">Section 3.12. </w:t>
      </w:r>
      <w:r>
        <w:rPr>
          <w:rFonts w:ascii="Arial" w:cs="Arial" w:eastAsia="Arial" w:hAnsi="Arial"/>
          <w:sz w:val="16"/>
          <w:szCs w:val="16"/>
          <w:u w:val="single" w:color="auto"/>
          <w:color w:val="auto"/>
        </w:rPr>
        <w:t>Employee Relations</w:t>
      </w:r>
      <w:r>
        <w:rPr>
          <w:rFonts w:ascii="Arial" w:cs="Arial" w:eastAsia="Arial" w:hAnsi="Arial"/>
          <w:sz w:val="16"/>
          <w:szCs w:val="16"/>
          <w:color w:val="auto"/>
        </w:rPr>
        <w:t>. Neither the Company nor any of its Subsidiaries is involved in any labor union dispute nor, to the Company’s Knowledge, is any such dispute threatened. None of the employees of the Company or any of its Subsidiaries is a member of a union or similar labor organization that relates to such employee’s relationship with the Company or any of its Subsidiaries. Neither the Company nor any of its Subsidiaries is a party to a collective bargaining agreement. The Company and its Subsidiaries are in compliance with all federal, state, local and foreign laws and regulations relating to employment and employment practices (including, but not limited to Title VII of the Civil Rights Act of 1964, as amended and the Fair Labor Standards Act of 1938, as amended), terms and conditions of employment and wages and hours, except where the failure to be in compliance has not and would not be reasonably expected to result, individually or in the aggregate, in a Material Adverse Effect.</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3.13. </w:t>
      </w:r>
      <w:r>
        <w:rPr>
          <w:rFonts w:ascii="Arial" w:cs="Arial" w:eastAsia="Arial" w:hAnsi="Arial"/>
          <w:sz w:val="18"/>
          <w:szCs w:val="18"/>
          <w:u w:val="single" w:color="auto"/>
          <w:color w:val="auto"/>
        </w:rPr>
        <w:t>Intellectual Property Rights</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90" w:lineRule="auto"/>
        <w:tabs>
          <w:tab w:leader="none" w:pos="1236"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Company and its Subsidiaries own or possess adequate rights or licenses to use all Intellectual Property necessary to conduct their respective businesses as now conducted, except where the failure to own or possess such right would not reasonably be expected to result, individually or in the aggregate, in a Material Adverse Effect. None of the Company’s or its Subsidiaries’ Intellectual Property has expired, terminated or been abandoned that are necessary or material to the conduct of the Company’s business as now conducted. There is no claim, action or proceeding being made or brought, or to the Company’s Knowledge, being threatened in writing, against the Company or any of its Subsidiaries with respect to or relating to any infringement or misappropriation of the Intellectual Property of any other Person. The Company and each of its Subsidiaries have taken reasonable security measures to protect the secrecy, confidentiality and value of all of their material Intellectual Property. There are no current exclusive rights or licenses granted to any third party with respect to the material Intellectual Property of the Company or its Subsidiaries.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0"/>
          </w:cols>
          <w:pgMar w:left="440" w:top="274" w:right="479" w:bottom="1440" w:gutter="0" w:footer="0" w:header="0"/>
        </w:sectPr>
      </w:pPr>
    </w:p>
    <w:bookmarkStart w:id="37" w:name="page38"/>
    <w:bookmarkEnd w:id="37"/>
    <w:p>
      <w:pPr>
        <w:ind w:right="20" w:firstLine="987"/>
        <w:spacing w:after="0" w:line="290" w:lineRule="auto"/>
        <w:tabs>
          <w:tab w:leader="none" w:pos="1246"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Privacy and Data Security</w:t>
      </w:r>
      <w:r>
        <w:rPr>
          <w:rFonts w:ascii="Arial" w:cs="Arial" w:eastAsia="Arial" w:hAnsi="Arial"/>
          <w:sz w:val="16"/>
          <w:szCs w:val="16"/>
          <w:color w:val="auto"/>
        </w:rPr>
        <w:t>. The Company has complied with all applicable Privacy Laws relating to privacy, security, collection or use of Personal Information of any individuals (including clinical trial participants, patients, patient family members, caregivers or advocates, physicians and other health care professionals, clinical trial investigators, researchers, pharmacists) that interact with the Company in connection with the operation of the Company’s business, except for such non-compliance as has not had, and would not reasonably be expected to have, individually or in the aggregate, a Material Adverse Effect. To the Company’s Knowledge, the Company has complied with its written and published policies and procedures concerning the privacy, security, collection and use of Personal Information (the “</w:t>
      </w:r>
      <w:r>
        <w:rPr>
          <w:rFonts w:ascii="Arial" w:cs="Arial" w:eastAsia="Arial" w:hAnsi="Arial"/>
          <w:sz w:val="16"/>
          <w:szCs w:val="16"/>
          <w:b w:val="1"/>
          <w:bCs w:val="1"/>
          <w:color w:val="auto"/>
        </w:rPr>
        <w:t>Privacy Policies</w:t>
      </w:r>
      <w:r>
        <w:rPr>
          <w:rFonts w:ascii="Arial" w:cs="Arial" w:eastAsia="Arial" w:hAnsi="Arial"/>
          <w:sz w:val="16"/>
          <w:szCs w:val="16"/>
          <w:color w:val="auto"/>
        </w:rPr>
        <w:t>”), except for such non-compliance as has not had, and would not reasonably be expected to have, individually or in the aggregate, a Material Adverse Effect. To the Company’s Knowledge, as of the date hereof, no claims have been asserted or threatened against the Company by any Person alleging a violation of Privacy Laws or Privacy Policies.</w:t>
      </w:r>
    </w:p>
    <w:p>
      <w:pPr>
        <w:spacing w:after="0" w:line="165" w:lineRule="exact"/>
        <w:rPr>
          <w:sz w:val="20"/>
          <w:szCs w:val="20"/>
          <w:color w:val="auto"/>
        </w:rPr>
      </w:pPr>
    </w:p>
    <w:p>
      <w:pPr>
        <w:ind w:firstLine="991"/>
        <w:spacing w:after="0" w:line="254" w:lineRule="auto"/>
        <w:rPr>
          <w:sz w:val="20"/>
          <w:szCs w:val="20"/>
          <w:color w:val="auto"/>
        </w:rPr>
      </w:pPr>
      <w:r>
        <w:rPr>
          <w:rFonts w:ascii="Arial" w:cs="Arial" w:eastAsia="Arial" w:hAnsi="Arial"/>
          <w:sz w:val="18"/>
          <w:szCs w:val="18"/>
          <w:color w:val="auto"/>
        </w:rPr>
        <w:t xml:space="preserve">Section 3.14. </w:t>
      </w:r>
      <w:r>
        <w:rPr>
          <w:rFonts w:ascii="Arial" w:cs="Arial" w:eastAsia="Arial" w:hAnsi="Arial"/>
          <w:sz w:val="18"/>
          <w:szCs w:val="18"/>
          <w:u w:val="single" w:color="auto"/>
          <w:color w:val="auto"/>
        </w:rPr>
        <w:t>Environmental Laws</w:t>
      </w:r>
      <w:r>
        <w:rPr>
          <w:rFonts w:ascii="Arial" w:cs="Arial" w:eastAsia="Arial" w:hAnsi="Arial"/>
          <w:sz w:val="18"/>
          <w:szCs w:val="18"/>
          <w:color w:val="auto"/>
        </w:rPr>
        <w:t>. Each of the Company and its Subsidiaries (a) is in compliance, in all material respects, with all Environmental Laws, (b) holds all material permits, licenses or other approvals required of it under applicable Environmental Laws to conduct its business as now being conducted, and (c) is in compliance with all terms and conditions of any such permit, license or approval, except, in the case of each of clauses (a), (b), and (c), as would not reasonably be expected to have a Material Adverse Effect. None of the Company or any of its Subsidiaries has received any written notice of any material noncompliance with any Environmental Laws or the terms and conditions of any material permit, license or approval required under applicable Environmental Laws to conduct the Company’s and its Subsidiaries’ respective businesses as now being conducted.</w:t>
      </w:r>
    </w:p>
    <w:p>
      <w:pPr>
        <w:spacing w:after="0" w:line="195" w:lineRule="exact"/>
        <w:rPr>
          <w:sz w:val="20"/>
          <w:szCs w:val="20"/>
          <w:color w:val="auto"/>
        </w:rPr>
      </w:pPr>
    </w:p>
    <w:p>
      <w:pPr>
        <w:ind w:firstLine="991"/>
        <w:spacing w:after="0" w:line="308" w:lineRule="auto"/>
        <w:rPr>
          <w:sz w:val="20"/>
          <w:szCs w:val="20"/>
          <w:color w:val="auto"/>
        </w:rPr>
      </w:pPr>
      <w:r>
        <w:rPr>
          <w:rFonts w:ascii="Arial" w:cs="Arial" w:eastAsia="Arial" w:hAnsi="Arial"/>
          <w:sz w:val="17"/>
          <w:szCs w:val="17"/>
          <w:color w:val="auto"/>
        </w:rPr>
        <w:t xml:space="preserve">Section 3.15. </w:t>
      </w:r>
      <w:r>
        <w:rPr>
          <w:rFonts w:ascii="Arial" w:cs="Arial" w:eastAsia="Arial" w:hAnsi="Arial"/>
          <w:sz w:val="17"/>
          <w:szCs w:val="17"/>
          <w:u w:val="single" w:color="auto"/>
          <w:color w:val="auto"/>
        </w:rPr>
        <w:t>Personal Property</w:t>
      </w:r>
      <w:r>
        <w:rPr>
          <w:rFonts w:ascii="Arial" w:cs="Arial" w:eastAsia="Arial" w:hAnsi="Arial"/>
          <w:sz w:val="17"/>
          <w:szCs w:val="17"/>
          <w:color w:val="auto"/>
        </w:rPr>
        <w:t>. The Company and each of its Subsidiaries has good and valid title to all personal property owned by them that is material to the business of the Company and its Subsidiaries, in each case free and clear of all Liens (other than Permitted Liens).</w:t>
      </w:r>
    </w:p>
    <w:p>
      <w:pPr>
        <w:spacing w:after="0" w:line="146" w:lineRule="exact"/>
        <w:rPr>
          <w:sz w:val="20"/>
          <w:szCs w:val="20"/>
          <w:color w:val="auto"/>
        </w:rPr>
      </w:pPr>
    </w:p>
    <w:p>
      <w:pPr>
        <w:ind w:firstLine="991"/>
        <w:spacing w:after="0" w:line="254" w:lineRule="auto"/>
        <w:rPr>
          <w:sz w:val="20"/>
          <w:szCs w:val="20"/>
          <w:color w:val="auto"/>
        </w:rPr>
      </w:pPr>
      <w:r>
        <w:rPr>
          <w:rFonts w:ascii="Arial" w:cs="Arial" w:eastAsia="Arial" w:hAnsi="Arial"/>
          <w:sz w:val="18"/>
          <w:szCs w:val="18"/>
          <w:color w:val="auto"/>
        </w:rPr>
        <w:t xml:space="preserve">Section 3.16. </w:t>
      </w:r>
      <w:r>
        <w:rPr>
          <w:rFonts w:ascii="Arial" w:cs="Arial" w:eastAsia="Arial" w:hAnsi="Arial"/>
          <w:sz w:val="18"/>
          <w:szCs w:val="18"/>
          <w:u w:val="single" w:color="auto"/>
          <w:color w:val="auto"/>
        </w:rPr>
        <w:t>Real Property</w:t>
      </w:r>
      <w:r>
        <w:rPr>
          <w:rFonts w:ascii="Arial" w:cs="Arial" w:eastAsia="Arial" w:hAnsi="Arial"/>
          <w:sz w:val="18"/>
          <w:szCs w:val="18"/>
          <w:color w:val="auto"/>
        </w:rPr>
        <w:t>. None of the Company or any of its Subsidiaries owns any Real Property. All of the Real Property Leases are valid and in full force and effect and are enforceable against the Company or its applicable Subsidiaries and, to the Company’s Knowledge, each other party thereto. Neither the Company nor any of its Subsidiaries nor, to the Company’s Knowledge, any other party thereto is in default in any material respect under any of the Real Property Leases and, to the Company’s Knowledge, no event has occurred which with the giving of notice or the passage of time or both would reasonably be expected to constitute a default under, or otherwise give any party the right to terminate, any of such Real Property Leases. No Real Property Lease is subject to termination, modification or acceleration as a result of the transactions contemplated hereby or by the other Transaction Documents.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40" w:top="274" w:right="479" w:bottom="1440" w:gutter="0" w:footer="0" w:header="0"/>
        </w:sectPr>
      </w:pPr>
    </w:p>
    <w:bookmarkStart w:id="38" w:name="page39"/>
    <w:bookmarkEnd w:id="38"/>
    <w:p>
      <w:pPr>
        <w:ind w:right="60" w:firstLine="991"/>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3.17. </w:t>
      </w:r>
      <w:r>
        <w:rPr>
          <w:rFonts w:ascii="Arial" w:cs="Arial" w:eastAsia="Arial" w:hAnsi="Arial"/>
          <w:sz w:val="16"/>
          <w:szCs w:val="16"/>
          <w:u w:val="single" w:color="auto"/>
          <w:color w:val="auto"/>
        </w:rPr>
        <w:t>Insurance</w:t>
      </w:r>
      <w:r>
        <w:rPr>
          <w:rFonts w:ascii="Arial" w:cs="Arial" w:eastAsia="Arial" w:hAnsi="Arial"/>
          <w:sz w:val="16"/>
          <w:szCs w:val="16"/>
          <w:color w:val="auto"/>
        </w:rPr>
        <w:t>. The Company and each of its Subsidiaries are insured by insurers of recognized financial responsibility against such losses and risks and in such amounts as management of the Company believes to be prudent and customary for similarly situated companies in the businesses in which the Company and its Subsidiaries are engaged. All material policies of insurance insuring the Company or any of its Subsidiaries or their respective businesses, assets, employees, officers and directors are in full force and effect and the Company and its Subsidiaries are in compliance in all material respects with the terms of such policies and instruments. There are no material claims by the Company or any of its Subsidiaries under any such policy or instrument as to which any insurance company is denying liability or defending under a reservation of rights clause. Neither the Company nor any of its Subsidiaries has been refused any insurance coverage sought or applied for, and, to the Company’s Knowledge, the Company and its Subsidiaries will be able to renew its existing insurance coverage as and when such coverage expires or to obtain similar coverage from similar insurers as may be necessary to continue its business at a cost that would not be reasonably expected to have a Material Adverse Effect.</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3.18. </w:t>
      </w:r>
      <w:r>
        <w:rPr>
          <w:rFonts w:ascii="Arial" w:cs="Arial" w:eastAsia="Arial" w:hAnsi="Arial"/>
          <w:sz w:val="18"/>
          <w:szCs w:val="18"/>
          <w:u w:val="single" w:color="auto"/>
          <w:color w:val="auto"/>
        </w:rPr>
        <w:t>Regulatory Permits and Other Regulatory Matters</w:t>
      </w:r>
      <w:r>
        <w:rPr>
          <w:rFonts w:ascii="Arial" w:cs="Arial" w:eastAsia="Arial" w:hAnsi="Arial"/>
          <w:sz w:val="18"/>
          <w:szCs w:val="18"/>
          <w:color w:val="auto"/>
        </w:rPr>
        <w:t>.</w:t>
      </w:r>
    </w:p>
    <w:p>
      <w:pPr>
        <w:spacing w:after="0" w:line="117" w:lineRule="exact"/>
        <w:rPr>
          <w:sz w:val="20"/>
          <w:szCs w:val="20"/>
          <w:color w:val="auto"/>
        </w:rPr>
      </w:pPr>
    </w:p>
    <w:p>
      <w:pPr>
        <w:ind w:right="100" w:firstLine="987"/>
        <w:spacing w:after="0" w:line="257" w:lineRule="auto"/>
        <w:tabs>
          <w:tab w:leader="none" w:pos="1236"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Compliance</w:t>
      </w:r>
      <w:r>
        <w:rPr>
          <w:rFonts w:ascii="Arial" w:cs="Arial" w:eastAsia="Arial" w:hAnsi="Arial"/>
          <w:sz w:val="18"/>
          <w:szCs w:val="18"/>
          <w:color w:val="auto"/>
        </w:rPr>
        <w:t>. Each of the Company and its Subsidiaries is in compliance, in all material respects, with applicable provisions of Federal Food, Drug, and Cosmetic Act (21 U.S.C. §§ 301 et seq.) and all regulations promulgated thereunder by the United States Food and Drug Administration (the “</w:t>
      </w:r>
      <w:r>
        <w:rPr>
          <w:rFonts w:ascii="Arial" w:cs="Arial" w:eastAsia="Arial" w:hAnsi="Arial"/>
          <w:sz w:val="18"/>
          <w:szCs w:val="18"/>
          <w:b w:val="1"/>
          <w:bCs w:val="1"/>
          <w:color w:val="auto"/>
        </w:rPr>
        <w:t>FDA</w:t>
      </w:r>
      <w:r>
        <w:rPr>
          <w:rFonts w:ascii="Arial" w:cs="Arial" w:eastAsia="Arial" w:hAnsi="Arial"/>
          <w:sz w:val="18"/>
          <w:szCs w:val="18"/>
          <w:color w:val="auto"/>
        </w:rPr>
        <w:t>”), as well as any comparable laws or regulations of any other Governmental Authority that regulates the development, testing, manufacturing, labeling, storage, recordkeeping, promotion, marketing, distribution and sale of drugs and biologics, except as would not reasonably be expected to have a Material Adverse Effect.</w:t>
      </w:r>
    </w:p>
    <w:p>
      <w:pPr>
        <w:spacing w:after="0" w:line="79" w:lineRule="exact"/>
        <w:rPr>
          <w:rFonts w:ascii="Arial" w:cs="Arial" w:eastAsia="Arial" w:hAnsi="Arial"/>
          <w:sz w:val="18"/>
          <w:szCs w:val="18"/>
          <w:color w:val="auto"/>
        </w:rPr>
      </w:pPr>
    </w:p>
    <w:p>
      <w:pPr>
        <w:ind w:firstLine="987"/>
        <w:spacing w:after="0" w:line="271" w:lineRule="auto"/>
        <w:tabs>
          <w:tab w:leader="none" w:pos="1246"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t>Permits</w:t>
      </w:r>
      <w:r>
        <w:rPr>
          <w:rFonts w:ascii="Arial" w:cs="Arial" w:eastAsia="Arial" w:hAnsi="Arial"/>
          <w:sz w:val="17"/>
          <w:szCs w:val="17"/>
          <w:color w:val="auto"/>
        </w:rPr>
        <w:t>. The Company and its Subsidiaries possess all certificates, authorizations, approvals, licenses and permits issued by the appropriate federal, state or foreign regulatory authorities necessary to conduct their business as presently conducted (“</w:t>
      </w:r>
      <w:r>
        <w:rPr>
          <w:rFonts w:ascii="Arial" w:cs="Arial" w:eastAsia="Arial" w:hAnsi="Arial"/>
          <w:sz w:val="17"/>
          <w:szCs w:val="17"/>
          <w:b w:val="1"/>
          <w:bCs w:val="1"/>
          <w:color w:val="auto"/>
        </w:rPr>
        <w:t>Permits</w:t>
      </w:r>
      <w:r>
        <w:rPr>
          <w:rFonts w:ascii="Arial" w:cs="Arial" w:eastAsia="Arial" w:hAnsi="Arial"/>
          <w:sz w:val="17"/>
          <w:szCs w:val="17"/>
          <w:color w:val="auto"/>
        </w:rPr>
        <w:t>”), including all Permits required by the FDA or any other Governmental Authority that regulates the development, testing, manufacturing, labeling, storage, recordkeeping, promotion, marketing, distribution and sale of drugs and biologics. Each of the Permits is valid and in full force and effect, and neither the Company nor any such Subsidiary has received any notice of proceedings relating to the revocation or modification of any such Permit, except, in each case, where the failure to hold such Permits or the failure of such Permits to be valid or in full force and effect would not be reasonably expected to have a Material Adverse Effect. The Company and its Subsidiaries are and have been in compliance with the terms of all Permits, except for any non-compliance that has not had, or would not reasonably be expected to have, a Material Adverse Effect.</w:t>
      </w:r>
    </w:p>
    <w:p>
      <w:pPr>
        <w:spacing w:after="0" w:line="70" w:lineRule="exact"/>
        <w:rPr>
          <w:rFonts w:ascii="Arial" w:cs="Arial" w:eastAsia="Arial" w:hAnsi="Arial"/>
          <w:sz w:val="17"/>
          <w:szCs w:val="17"/>
          <w:color w:val="auto"/>
        </w:rPr>
      </w:pPr>
    </w:p>
    <w:p>
      <w:pPr>
        <w:ind w:right="40" w:firstLine="987"/>
        <w:spacing w:after="0" w:line="254" w:lineRule="auto"/>
        <w:tabs>
          <w:tab w:leader="none" w:pos="1236"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Studies and Other Preclinical and Clinical Tests</w:t>
      </w:r>
      <w:r>
        <w:rPr>
          <w:rFonts w:ascii="Arial" w:cs="Arial" w:eastAsia="Arial" w:hAnsi="Arial"/>
          <w:sz w:val="18"/>
          <w:szCs w:val="18"/>
          <w:color w:val="auto"/>
        </w:rPr>
        <w:t>. The studies, tests and preclinical and clinical trials conducted by or, to the Company’s Knowledge, on behalf of the Company or any of its Subsidiaries were, and if still pending are, being conducted in all material respects in accordance with experimental protocols, procedures and controls pursuant to applicable statutory and regulatory requirements, as well as accepted professional, scientific and clinical practice standards; the descriptions of the results of such studies, tests and trials contained in the SEC Documents are accurate and complete, in all material respects; and neither the Company nor any of its Subsidiaries has received any notices or correspondence from the FDA or any foreign, state or local governmental body exercising comparable authority or any institutional review board or comparable authority requiring the termination, suspension or material modification of any studies, tests or preclinical or clinical trials conducted by or on behalf of the Company or any of its Subsidiaries.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39" w:name="page40"/>
    <w:bookmarkEnd w:id="39"/>
    <w:p>
      <w:pPr>
        <w:ind w:right="20" w:firstLine="987"/>
        <w:spacing w:after="0" w:line="255" w:lineRule="auto"/>
        <w:tabs>
          <w:tab w:leader="none" w:pos="1246"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Exclusion or Debarment</w:t>
      </w:r>
      <w:r>
        <w:rPr>
          <w:rFonts w:ascii="Arial" w:cs="Arial" w:eastAsia="Arial" w:hAnsi="Arial"/>
          <w:sz w:val="18"/>
          <w:szCs w:val="18"/>
          <w:color w:val="auto"/>
        </w:rPr>
        <w:t>. None of the Company, its Subsidiaries or, to the Company’s Knowledge, any of their respective officers, directors, employees, agents or subcontractors (i) has been convicted of any crime or engaged in any conduct which has resulted or could result in exclusion, debarment or disqualification by the FDA or any other Governmental Authority or (ii) has failed to disclose a material fact required to be disclosed to any Governmental Authority, and there are no proceedings pending or threatened against the Company or any of its Subsidiaries that would reasonably be expected to result in criminal or civil liability or exclusion, debarment or disqualification by the FDA or any other Governmental Authority.</w:t>
      </w:r>
    </w:p>
    <w:p>
      <w:pPr>
        <w:spacing w:after="0" w:line="192"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 xml:space="preserve">Section 3.19. </w:t>
      </w:r>
      <w:r>
        <w:rPr>
          <w:rFonts w:ascii="Arial" w:cs="Arial" w:eastAsia="Arial" w:hAnsi="Arial"/>
          <w:sz w:val="18"/>
          <w:szCs w:val="18"/>
          <w:u w:val="single" w:color="auto"/>
          <w:color w:val="auto"/>
        </w:rPr>
        <w:t>Listing</w:t>
      </w:r>
      <w:r>
        <w:rPr>
          <w:rFonts w:ascii="Arial" w:cs="Arial" w:eastAsia="Arial" w:hAnsi="Arial"/>
          <w:sz w:val="18"/>
          <w:szCs w:val="18"/>
          <w:color w:val="auto"/>
        </w:rPr>
        <w:t>. The Common Stock is listed on the Nasdaq Global Market, and the Company is in compliance with the listing requirements applicable to issuers with securities listed on the Nasdaq Global Market and has taken no action designed to, or which is likely or would reasonably be expected to have the effect of, terminating the registration of the Common Stock under the 1934 Act or delisting the Common Stock from the Nasdaq Global Market. The Company has not received any notification that, and to the Company’s Knowledge, neither the SEC nor the Nasdaq Global Market is contemplating terminating such listing or registration.</w:t>
      </w:r>
    </w:p>
    <w:p>
      <w:pPr>
        <w:spacing w:after="0" w:line="188" w:lineRule="exact"/>
        <w:rPr>
          <w:sz w:val="20"/>
          <w:szCs w:val="20"/>
          <w:color w:val="auto"/>
        </w:rPr>
      </w:pPr>
    </w:p>
    <w:p>
      <w:pPr>
        <w:ind w:right="60" w:firstLine="991"/>
        <w:spacing w:after="0" w:line="269" w:lineRule="auto"/>
        <w:rPr>
          <w:sz w:val="20"/>
          <w:szCs w:val="20"/>
          <w:color w:val="auto"/>
        </w:rPr>
      </w:pPr>
      <w:r>
        <w:rPr>
          <w:rFonts w:ascii="Arial" w:cs="Arial" w:eastAsia="Arial" w:hAnsi="Arial"/>
          <w:sz w:val="17"/>
          <w:szCs w:val="17"/>
          <w:color w:val="auto"/>
        </w:rPr>
        <w:t xml:space="preserve">Section 3.20. </w:t>
      </w:r>
      <w:r>
        <w:rPr>
          <w:rFonts w:ascii="Arial" w:cs="Arial" w:eastAsia="Arial" w:hAnsi="Arial"/>
          <w:sz w:val="17"/>
          <w:szCs w:val="17"/>
          <w:u w:val="single" w:color="auto"/>
          <w:color w:val="auto"/>
        </w:rPr>
        <w:t>Tax Status</w:t>
      </w:r>
      <w:r>
        <w:rPr>
          <w:rFonts w:ascii="Arial" w:cs="Arial" w:eastAsia="Arial" w:hAnsi="Arial"/>
          <w:sz w:val="17"/>
          <w:szCs w:val="17"/>
          <w:color w:val="auto"/>
        </w:rPr>
        <w:t>. Each of the Company and its Subsidiaries (i) has timely filed all foreign, federal and state income, franchise and all other material Tax Returns required by any jurisdiction to which it is subject, (ii) has paid all Taxes that are material in amount and required to be paid, except those that the Company is contesting by appropriate proceedings and for which the Company has made reserves in the consolidated financial statements of the Company and its Subsidiaries that are adequate in accordance with GAAP, and (iii) has established in the consolidated financial statements of the Company and its Subsidiaries reserves that are adequate in accordance with GAAP for the payment of all material Tax liabilities and deferred Taxes as of the date this representation is made. There are no unpaid Taxes in any material amount claimed in writing to be due by the taxing authority of any jurisdiction. Each of the Company and its Subsidiaries has timely withheld and paid all material Taxes (including sales Taxes) required to have been withheld and paid in connection with any amounts paid or owing to any employee, independent contractor, creditor, stockholder or third party. No material Tax audits or administrative or judicial Tax proceedings are being conducted or are pending or threatened in writing with respect to the Company or any of its Subsidiaries.</w:t>
      </w:r>
    </w:p>
    <w:p>
      <w:pPr>
        <w:spacing w:after="0" w:line="185" w:lineRule="exact"/>
        <w:rPr>
          <w:sz w:val="20"/>
          <w:szCs w:val="20"/>
          <w:color w:val="auto"/>
        </w:rPr>
      </w:pPr>
    </w:p>
    <w:p>
      <w:pPr>
        <w:ind w:right="80" w:firstLine="991"/>
        <w:spacing w:after="0" w:line="257" w:lineRule="auto"/>
        <w:rPr>
          <w:sz w:val="20"/>
          <w:szCs w:val="20"/>
          <w:color w:val="auto"/>
        </w:rPr>
      </w:pPr>
      <w:r>
        <w:rPr>
          <w:rFonts w:ascii="Arial" w:cs="Arial" w:eastAsia="Arial" w:hAnsi="Arial"/>
          <w:sz w:val="18"/>
          <w:szCs w:val="18"/>
          <w:color w:val="auto"/>
        </w:rPr>
        <w:t xml:space="preserve">Section 3.21. </w:t>
      </w:r>
      <w:r>
        <w:rPr>
          <w:rFonts w:ascii="Arial" w:cs="Arial" w:eastAsia="Arial" w:hAnsi="Arial"/>
          <w:sz w:val="18"/>
          <w:szCs w:val="18"/>
          <w:u w:val="single" w:color="auto"/>
          <w:color w:val="auto"/>
        </w:rPr>
        <w:t>Transactions With Affiliates</w:t>
      </w:r>
      <w:r>
        <w:rPr>
          <w:rFonts w:ascii="Arial" w:cs="Arial" w:eastAsia="Arial" w:hAnsi="Arial"/>
          <w:sz w:val="18"/>
          <w:szCs w:val="18"/>
          <w:color w:val="auto"/>
        </w:rPr>
        <w:t>. Except as set forth in the SEC Documents, none of the Company’s or any Subsidiary’s respective officers or directors (each a “</w:t>
      </w:r>
      <w:r>
        <w:rPr>
          <w:rFonts w:ascii="Arial" w:cs="Arial" w:eastAsia="Arial" w:hAnsi="Arial"/>
          <w:sz w:val="18"/>
          <w:szCs w:val="18"/>
          <w:b w:val="1"/>
          <w:bCs w:val="1"/>
          <w:color w:val="auto"/>
        </w:rPr>
        <w:t>Related Party</w:t>
      </w:r>
      <w:r>
        <w:rPr>
          <w:rFonts w:ascii="Arial" w:cs="Arial" w:eastAsia="Arial" w:hAnsi="Arial"/>
          <w:sz w:val="18"/>
          <w:szCs w:val="18"/>
          <w:color w:val="auto"/>
        </w:rPr>
        <w:t>”), nor any Affiliate of any Related Party, is a party to any transaction, contract, agreement, instrument, commitment, understanding or other arrangement or relationship with the Company or any of its Subsidiaries (other than directly for services as an employee, officer or director), whether for the furnishing of services to or by, providing for rental of real or personal property to or from, or otherwise requiring payments or consideration to or from any such Related Party.</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0"/>
          </w:cols>
          <w:pgMar w:left="440" w:top="274" w:right="499" w:bottom="1440" w:gutter="0" w:footer="0" w:header="0"/>
        </w:sectPr>
      </w:pPr>
    </w:p>
    <w:bookmarkStart w:id="40" w:name="page41"/>
    <w:bookmarkEnd w:id="40"/>
    <w:p>
      <w:pPr>
        <w:ind w:left="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3.22. </w:t>
      </w:r>
      <w:r>
        <w:rPr>
          <w:rFonts w:ascii="Arial" w:cs="Arial" w:eastAsia="Arial" w:hAnsi="Arial"/>
          <w:sz w:val="18"/>
          <w:szCs w:val="18"/>
          <w:u w:val="single" w:color="auto"/>
          <w:color w:val="auto"/>
        </w:rPr>
        <w:t>Foreign Corrupt Practices and Certain Other Federal Regulations</w:t>
      </w:r>
      <w:r>
        <w:rPr>
          <w:rFonts w:ascii="Arial" w:cs="Arial" w:eastAsia="Arial" w:hAnsi="Arial"/>
          <w:sz w:val="18"/>
          <w:szCs w:val="18"/>
          <w:color w:val="auto"/>
        </w:rPr>
        <w:t>.</w:t>
      </w:r>
    </w:p>
    <w:p>
      <w:pPr>
        <w:spacing w:after="0" w:line="117" w:lineRule="exact"/>
        <w:rPr>
          <w:sz w:val="20"/>
          <w:szCs w:val="20"/>
          <w:color w:val="auto"/>
        </w:rPr>
      </w:pPr>
    </w:p>
    <w:p>
      <w:pPr>
        <w:ind w:left="4" w:firstLine="987"/>
        <w:spacing w:after="0" w:line="289" w:lineRule="auto"/>
        <w:tabs>
          <w:tab w:leader="none" w:pos="1240" w:val="left"/>
        </w:tabs>
        <w:numPr>
          <w:ilvl w:val="1"/>
          <w:numId w:val="39"/>
        </w:numPr>
        <w:rPr>
          <w:rFonts w:ascii="Arial" w:cs="Arial" w:eastAsia="Arial" w:hAnsi="Arial"/>
          <w:sz w:val="16"/>
          <w:szCs w:val="16"/>
          <w:color w:val="auto"/>
        </w:rPr>
      </w:pPr>
      <w:r>
        <w:rPr>
          <w:rFonts w:ascii="Arial" w:cs="Arial" w:eastAsia="Arial" w:hAnsi="Arial"/>
          <w:sz w:val="16"/>
          <w:szCs w:val="16"/>
          <w:color w:val="auto"/>
        </w:rPr>
        <w:t>Since December 31, 2018, neither the Company nor any of its Subsidiaries, nor to the Company’s Knowledge, any director or officer of the Company or any of its Subsidiaries has, in the course of its actions for, or on behalf of, the Company or any of its Subsidiaries: (i) used any corporate funds for any unlawful contribution, gift, entertainment or other unlawful expenses relating to political activity; (ii) made any direct or indirect unlawful payment from corporate funds to any employee, official, representative or other Person acting on behalf of any Governmental Authority, state-owned entity, public international organization, political party or official thereof, or candidate for political office (collectively, “</w:t>
      </w:r>
      <w:r>
        <w:rPr>
          <w:rFonts w:ascii="Arial" w:cs="Arial" w:eastAsia="Arial" w:hAnsi="Arial"/>
          <w:sz w:val="16"/>
          <w:szCs w:val="16"/>
          <w:b w:val="1"/>
          <w:bCs w:val="1"/>
          <w:color w:val="auto"/>
        </w:rPr>
        <w:t>Government Official</w:t>
      </w:r>
      <w:r>
        <w:rPr>
          <w:rFonts w:ascii="Arial" w:cs="Arial" w:eastAsia="Arial" w:hAnsi="Arial"/>
          <w:sz w:val="16"/>
          <w:szCs w:val="16"/>
          <w:color w:val="auto"/>
        </w:rPr>
        <w:t>”); (iii) violated or is in violation of any provision of the U.S. Foreign Corrupt Practices Act of 1977, as amended, the U.K. Bribery Act 2010, or any other applicable Law or international convention of similar effect concerning bribery or corruption which applies to the Company (collectively, “</w:t>
      </w:r>
      <w:r>
        <w:rPr>
          <w:rFonts w:ascii="Arial" w:cs="Arial" w:eastAsia="Arial" w:hAnsi="Arial"/>
          <w:sz w:val="16"/>
          <w:szCs w:val="16"/>
          <w:b w:val="1"/>
          <w:bCs w:val="1"/>
          <w:color w:val="auto"/>
        </w:rPr>
        <w:t>Anti-Corruption Laws</w:t>
      </w:r>
      <w:r>
        <w:rPr>
          <w:rFonts w:ascii="Arial" w:cs="Arial" w:eastAsia="Arial" w:hAnsi="Arial"/>
          <w:sz w:val="16"/>
          <w:szCs w:val="16"/>
          <w:color w:val="auto"/>
        </w:rPr>
        <w:t>”); or (iv) made any unlawful bribe, rebate, payoff, influence payment, kickback or other unlawful payment to any Government</w:t>
      </w:r>
      <w:r>
        <w:rPr>
          <w:rFonts w:ascii="Arial" w:cs="Arial" w:eastAsia="Arial" w:hAnsi="Arial"/>
          <w:sz w:val="16"/>
          <w:szCs w:val="16"/>
          <w:b w:val="1"/>
          <w:bCs w:val="1"/>
          <w:color w:val="auto"/>
        </w:rPr>
        <w:t xml:space="preserve"> </w:t>
      </w:r>
      <w:r>
        <w:rPr>
          <w:rFonts w:ascii="Arial" w:cs="Arial" w:eastAsia="Arial" w:hAnsi="Arial"/>
          <w:sz w:val="16"/>
          <w:szCs w:val="16"/>
          <w:color w:val="auto"/>
        </w:rPr>
        <w:t>Official. The Company has in place policies, procedures, and internal controls reasonably designed to ensure compliance with all Anti-Corruption Laws.</w:t>
      </w:r>
    </w:p>
    <w:p>
      <w:pPr>
        <w:spacing w:after="0" w:line="58" w:lineRule="exact"/>
        <w:rPr>
          <w:rFonts w:ascii="Arial" w:cs="Arial" w:eastAsia="Arial" w:hAnsi="Arial"/>
          <w:sz w:val="16"/>
          <w:szCs w:val="16"/>
          <w:color w:val="auto"/>
        </w:rPr>
      </w:pPr>
    </w:p>
    <w:p>
      <w:pPr>
        <w:ind w:left="4" w:right="20" w:firstLine="987"/>
        <w:spacing w:after="0" w:line="285" w:lineRule="auto"/>
        <w:tabs>
          <w:tab w:leader="none" w:pos="1250" w:val="left"/>
        </w:tabs>
        <w:numPr>
          <w:ilvl w:val="1"/>
          <w:numId w:val="39"/>
        </w:numPr>
        <w:rPr>
          <w:rFonts w:ascii="Arial" w:cs="Arial" w:eastAsia="Arial" w:hAnsi="Arial"/>
          <w:sz w:val="16"/>
          <w:szCs w:val="16"/>
          <w:color w:val="auto"/>
        </w:rPr>
      </w:pPr>
      <w:r>
        <w:rPr>
          <w:rFonts w:ascii="Arial" w:cs="Arial" w:eastAsia="Arial" w:hAnsi="Arial"/>
          <w:sz w:val="16"/>
          <w:szCs w:val="16"/>
          <w:color w:val="auto"/>
        </w:rPr>
        <w:t>The Company and each of its Subsidiaries is, and has been at all times since December 31, 2018, in compliance in all material respects with all economic sanctions laws, all executive orders and implementing regulations as administered by any Sanctions Authority (“</w:t>
      </w:r>
      <w:r>
        <w:rPr>
          <w:rFonts w:ascii="Arial" w:cs="Arial" w:eastAsia="Arial" w:hAnsi="Arial"/>
          <w:sz w:val="16"/>
          <w:szCs w:val="16"/>
          <w:b w:val="1"/>
          <w:bCs w:val="1"/>
          <w:color w:val="auto"/>
        </w:rPr>
        <w:t>Sanctions</w:t>
      </w:r>
      <w:r>
        <w:rPr>
          <w:rFonts w:ascii="Arial" w:cs="Arial" w:eastAsia="Arial" w:hAnsi="Arial"/>
          <w:sz w:val="16"/>
          <w:szCs w:val="16"/>
          <w:color w:val="auto"/>
        </w:rPr>
        <w:t>”). None of the Company nor any of its Subsidiaries or, to the Company’s Knowledge, any of their respective directors or officers: (i) is a Person on the list of the Specially Designated Nationals and Blocked Persons (the “</w:t>
      </w:r>
      <w:r>
        <w:rPr>
          <w:rFonts w:ascii="Arial" w:cs="Arial" w:eastAsia="Arial" w:hAnsi="Arial"/>
          <w:sz w:val="16"/>
          <w:szCs w:val="16"/>
          <w:b w:val="1"/>
          <w:bCs w:val="1"/>
          <w:color w:val="auto"/>
        </w:rPr>
        <w:t>SDN List</w:t>
      </w:r>
      <w:r>
        <w:rPr>
          <w:rFonts w:ascii="Arial" w:cs="Arial" w:eastAsia="Arial" w:hAnsi="Arial"/>
          <w:sz w:val="16"/>
          <w:szCs w:val="16"/>
          <w:color w:val="auto"/>
        </w:rPr>
        <w:t>”) or similar list maintained by any Sanctions Authority, (ii) is a Person who is otherwise the target of U.S. economic sanctions laws such that a U.S. person cannot deal or otherwise engage in business transactions with such Person,</w:t>
      </w:r>
    </w:p>
    <w:p>
      <w:pPr>
        <w:spacing w:after="0" w:line="1" w:lineRule="exact"/>
        <w:rPr>
          <w:rFonts w:ascii="Arial" w:cs="Arial" w:eastAsia="Arial" w:hAnsi="Arial"/>
          <w:sz w:val="16"/>
          <w:szCs w:val="16"/>
          <w:color w:val="auto"/>
        </w:rPr>
      </w:pPr>
    </w:p>
    <w:p>
      <w:pPr>
        <w:ind w:left="4" w:right="60" w:hanging="4"/>
        <w:spacing w:after="0" w:line="255" w:lineRule="auto"/>
        <w:tabs>
          <w:tab w:leader="none" w:pos="319" w:val="left"/>
        </w:tabs>
        <w:numPr>
          <w:ilvl w:val="0"/>
          <w:numId w:val="40"/>
        </w:numPr>
        <w:rPr>
          <w:rFonts w:ascii="Arial" w:cs="Arial" w:eastAsia="Arial" w:hAnsi="Arial"/>
          <w:sz w:val="18"/>
          <w:szCs w:val="18"/>
          <w:color w:val="auto"/>
        </w:rPr>
      </w:pPr>
      <w:r>
        <w:rPr>
          <w:rFonts w:ascii="Arial" w:cs="Arial" w:eastAsia="Arial" w:hAnsi="Arial"/>
          <w:sz w:val="18"/>
          <w:szCs w:val="18"/>
          <w:color w:val="auto"/>
        </w:rPr>
        <w:t>is a Person organized or resident in a country or territory subject to comprehensive Sanctions (a “</w:t>
      </w:r>
      <w:r>
        <w:rPr>
          <w:rFonts w:ascii="Arial" w:cs="Arial" w:eastAsia="Arial" w:hAnsi="Arial"/>
          <w:sz w:val="18"/>
          <w:szCs w:val="18"/>
          <w:b w:val="1"/>
          <w:bCs w:val="1"/>
          <w:color w:val="auto"/>
        </w:rPr>
        <w:t>Sanctioned Country</w:t>
      </w:r>
      <w:r>
        <w:rPr>
          <w:rFonts w:ascii="Arial" w:cs="Arial" w:eastAsia="Arial" w:hAnsi="Arial"/>
          <w:sz w:val="18"/>
          <w:szCs w:val="18"/>
          <w:color w:val="auto"/>
        </w:rPr>
        <w:t>”), or (iv) is owned or controlled by (including by virtue of such Person being a director or owning voting shares or interests), or acts, directly or indirectly, for or on behalf of, any Person on the SDN List or a government of a Sanctioned Country.</w:t>
      </w:r>
    </w:p>
    <w:p>
      <w:pPr>
        <w:spacing w:after="0" w:line="81" w:lineRule="exact"/>
        <w:rPr>
          <w:rFonts w:ascii="Arial" w:cs="Arial" w:eastAsia="Arial" w:hAnsi="Arial"/>
          <w:sz w:val="18"/>
          <w:szCs w:val="18"/>
          <w:color w:val="auto"/>
        </w:rPr>
      </w:pPr>
    </w:p>
    <w:p>
      <w:pPr>
        <w:ind w:left="4" w:right="40" w:firstLine="987"/>
        <w:spacing w:after="0" w:line="290" w:lineRule="auto"/>
        <w:tabs>
          <w:tab w:leader="none" w:pos="1240" w:val="left"/>
        </w:tabs>
        <w:numPr>
          <w:ilvl w:val="1"/>
          <w:numId w:val="40"/>
        </w:numPr>
        <w:rPr>
          <w:rFonts w:ascii="Arial" w:cs="Arial" w:eastAsia="Arial" w:hAnsi="Arial"/>
          <w:sz w:val="16"/>
          <w:szCs w:val="16"/>
          <w:color w:val="auto"/>
        </w:rPr>
      </w:pPr>
      <w:r>
        <w:rPr>
          <w:rFonts w:ascii="Arial" w:cs="Arial" w:eastAsia="Arial" w:hAnsi="Arial"/>
          <w:sz w:val="16"/>
          <w:szCs w:val="16"/>
          <w:color w:val="auto"/>
        </w:rPr>
        <w:t>The Company and each of its Subsidiaries is, and has at all times since December 31, 2018 been, in compliance in all material respects with all laws related to terrorism or money laundering including: (i) all applicable requirements of the Currency and Foreign Transactions Reporting Act of 1970 (31 U.S.C. 5311 et. seq. (the Bank Secrecy Act)), as amended by Title III of the Patriot Act, (ii) the Trading with the Enemy Act of 1917, as amended, (iii) that certain Executive Order No. 13224 of September 23, 2001, entitled Blocking Property and Prohibiting Transactions With Persons Who Commit, Threaten to Commit, or Support Terrorism (66 Fed. Reg. 49079 (2001)) or any other enabling legislation, executive order or regulations issued pursuant or relating thereto, and (iv) other applicable federal or state laws relating to “know your customer” or anti-money laundering rules and regulations. No action, suit or other proceeding by or before any court or Governmental Authority against the Company or any of its Subsidiaries with respect to compliance with such anti-money laundering laws is pending or, to the Company’s Knowledge, threatened.</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4"/>
          </w:cols>
          <w:pgMar w:left="436" w:top="274" w:right="439" w:bottom="1440" w:gutter="0" w:footer="0" w:header="0"/>
        </w:sectPr>
      </w:pPr>
    </w:p>
    <w:bookmarkStart w:id="41" w:name="page42"/>
    <w:bookmarkEnd w:id="41"/>
    <w:p>
      <w:pPr>
        <w:ind w:right="28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3.23. </w:t>
      </w:r>
      <w:r>
        <w:rPr>
          <w:rFonts w:ascii="Arial" w:cs="Arial" w:eastAsia="Arial" w:hAnsi="Arial"/>
          <w:sz w:val="18"/>
          <w:szCs w:val="18"/>
          <w:u w:val="single" w:color="auto"/>
          <w:color w:val="auto"/>
        </w:rPr>
        <w:t>Investment Company</w:t>
      </w:r>
      <w:r>
        <w:rPr>
          <w:rFonts w:ascii="Arial" w:cs="Arial" w:eastAsia="Arial" w:hAnsi="Arial"/>
          <w:sz w:val="18"/>
          <w:szCs w:val="18"/>
          <w:color w:val="auto"/>
        </w:rPr>
        <w:t>. The Company is not, and upon the Closing will not be, an “investment company,” a company controlled by an “investment company” or an “affiliated person” of, or “promoter” or “principal underwriter” for, an “investment company,” as such terms are defined in the Investment Company Act of 1940, as amended.</w:t>
      </w:r>
    </w:p>
    <w:p>
      <w:pPr>
        <w:spacing w:after="0" w:line="184" w:lineRule="exact"/>
        <w:rPr>
          <w:sz w:val="20"/>
          <w:szCs w:val="20"/>
          <w:color w:val="auto"/>
        </w:rPr>
      </w:pPr>
    </w:p>
    <w:p>
      <w:pPr>
        <w:ind w:right="120" w:firstLine="991"/>
        <w:spacing w:after="0" w:line="286" w:lineRule="auto"/>
        <w:rPr>
          <w:sz w:val="20"/>
          <w:szCs w:val="20"/>
          <w:color w:val="auto"/>
        </w:rPr>
      </w:pPr>
      <w:r>
        <w:rPr>
          <w:rFonts w:ascii="Arial" w:cs="Arial" w:eastAsia="Arial" w:hAnsi="Arial"/>
          <w:sz w:val="17"/>
          <w:szCs w:val="17"/>
          <w:color w:val="auto"/>
        </w:rPr>
        <w:t xml:space="preserve">Section 3.24. </w:t>
      </w:r>
      <w:r>
        <w:rPr>
          <w:rFonts w:ascii="Arial" w:cs="Arial" w:eastAsia="Arial" w:hAnsi="Arial"/>
          <w:sz w:val="17"/>
          <w:szCs w:val="17"/>
          <w:u w:val="single" w:color="auto"/>
          <w:color w:val="auto"/>
        </w:rPr>
        <w:t>Manipulation of Prices; Securities</w:t>
      </w:r>
      <w:r>
        <w:rPr>
          <w:rFonts w:ascii="Arial" w:cs="Arial" w:eastAsia="Arial" w:hAnsi="Arial"/>
          <w:sz w:val="17"/>
          <w:szCs w:val="17"/>
          <w:color w:val="auto"/>
        </w:rPr>
        <w:t>. Since December 31, 2018, neither the Company nor any of its Subsidiaries, or any of their respective officers or directors has taken, directly or indirectly, any action designed to cause or to result in the stabilization or manipulation of the price of any security of the Company or any Subsidiary to facilitate the sale or resale of any of the Securities.</w:t>
      </w:r>
    </w:p>
    <w:p>
      <w:pPr>
        <w:spacing w:after="0" w:line="165" w:lineRule="exact"/>
        <w:rPr>
          <w:sz w:val="20"/>
          <w:szCs w:val="20"/>
          <w:color w:val="auto"/>
        </w:rPr>
      </w:pPr>
    </w:p>
    <w:p>
      <w:pPr>
        <w:ind w:right="100" w:firstLine="991"/>
        <w:spacing w:after="0" w:line="279" w:lineRule="auto"/>
        <w:rPr>
          <w:sz w:val="20"/>
          <w:szCs w:val="20"/>
          <w:color w:val="auto"/>
        </w:rPr>
      </w:pPr>
      <w:r>
        <w:rPr>
          <w:rFonts w:ascii="Arial" w:cs="Arial" w:eastAsia="Arial" w:hAnsi="Arial"/>
          <w:sz w:val="17"/>
          <w:szCs w:val="17"/>
          <w:color w:val="auto"/>
        </w:rPr>
        <w:t xml:space="preserve">Section 3.25. </w:t>
      </w:r>
      <w:r>
        <w:rPr>
          <w:rFonts w:ascii="Arial" w:cs="Arial" w:eastAsia="Arial" w:hAnsi="Arial"/>
          <w:sz w:val="17"/>
          <w:szCs w:val="17"/>
          <w:u w:val="single" w:color="auto"/>
          <w:color w:val="auto"/>
        </w:rPr>
        <w:t>Brokers and Finders</w:t>
      </w:r>
      <w:r>
        <w:rPr>
          <w:rFonts w:ascii="Arial" w:cs="Arial" w:eastAsia="Arial" w:hAnsi="Arial"/>
          <w:sz w:val="17"/>
          <w:szCs w:val="17"/>
          <w:color w:val="auto"/>
        </w:rPr>
        <w:t>. With the exception of the Placement Agents (as defined below), no Person will have, as a result of the transactions contemplated by the Transaction Documents, any valid right, interest or claim against or upon the Company or an Investor for any commission, fee or other compensation pursuant to any agreement, arrangement or understanding entered into by or on behalf of such Investor. The Company shall be solely responsible for the payment of any such compensation to the Placement Agents.</w:t>
      </w:r>
    </w:p>
    <w:p>
      <w:pPr>
        <w:spacing w:after="0" w:line="171" w:lineRule="exact"/>
        <w:rPr>
          <w:sz w:val="20"/>
          <w:szCs w:val="20"/>
          <w:color w:val="auto"/>
        </w:rPr>
      </w:pPr>
    </w:p>
    <w:p>
      <w:pPr>
        <w:ind w:right="180" w:firstLine="991"/>
        <w:spacing w:after="0" w:line="257" w:lineRule="auto"/>
        <w:rPr>
          <w:sz w:val="20"/>
          <w:szCs w:val="20"/>
          <w:color w:val="auto"/>
        </w:rPr>
      </w:pPr>
      <w:r>
        <w:rPr>
          <w:rFonts w:ascii="Arial" w:cs="Arial" w:eastAsia="Arial" w:hAnsi="Arial"/>
          <w:sz w:val="18"/>
          <w:szCs w:val="18"/>
          <w:color w:val="auto"/>
        </w:rPr>
        <w:t xml:space="preserve">Section 3.26. </w:t>
      </w:r>
      <w:r>
        <w:rPr>
          <w:rFonts w:ascii="Arial" w:cs="Arial" w:eastAsia="Arial" w:hAnsi="Arial"/>
          <w:sz w:val="18"/>
          <w:szCs w:val="18"/>
          <w:u w:val="single" w:color="auto"/>
          <w:color w:val="auto"/>
        </w:rPr>
        <w:t>DTC Eligibility</w:t>
      </w:r>
      <w:r>
        <w:rPr>
          <w:rFonts w:ascii="Arial" w:cs="Arial" w:eastAsia="Arial" w:hAnsi="Arial"/>
          <w:sz w:val="18"/>
          <w:szCs w:val="18"/>
          <w:color w:val="auto"/>
        </w:rPr>
        <w:t>. The Common Stock is eligible for clearing through DTC through its Deposit/Withdrawal At Custodian (DWAC) system, and the Company is eligible and participating in the Direct Registration System (DRS) of DTC with respect to the Common Stock. The Company’s Transfer Agent is a participant in DTC’s Fast Automated Securities Transfer Program. The Common Stock is not, and has not at any time been, subject to any “chill,” “freeze” or similar restriction with respect to any services of DTC, including the clearing of transactions in shares of the Common Stock through DTC</w:t>
      </w:r>
    </w:p>
    <w:p>
      <w:pPr>
        <w:spacing w:after="0" w:line="188" w:lineRule="exact"/>
        <w:rPr>
          <w:sz w:val="20"/>
          <w:szCs w:val="20"/>
          <w:color w:val="auto"/>
        </w:rPr>
      </w:pPr>
    </w:p>
    <w:p>
      <w:pPr>
        <w:ind w:right="160" w:firstLine="991"/>
        <w:spacing w:after="0" w:line="257" w:lineRule="auto"/>
        <w:rPr>
          <w:sz w:val="20"/>
          <w:szCs w:val="20"/>
          <w:color w:val="auto"/>
        </w:rPr>
      </w:pPr>
      <w:r>
        <w:rPr>
          <w:rFonts w:ascii="Arial" w:cs="Arial" w:eastAsia="Arial" w:hAnsi="Arial"/>
          <w:sz w:val="18"/>
          <w:szCs w:val="18"/>
          <w:color w:val="auto"/>
        </w:rPr>
        <w:t xml:space="preserve">Section 3.27. </w:t>
      </w:r>
      <w:r>
        <w:rPr>
          <w:rFonts w:ascii="Arial" w:cs="Arial" w:eastAsia="Arial" w:hAnsi="Arial"/>
          <w:sz w:val="18"/>
          <w:szCs w:val="18"/>
          <w:u w:val="single" w:color="auto"/>
          <w:color w:val="auto"/>
        </w:rPr>
        <w:t>No Side Letters</w:t>
      </w:r>
      <w:r>
        <w:rPr>
          <w:rFonts w:ascii="Arial" w:cs="Arial" w:eastAsia="Arial" w:hAnsi="Arial"/>
          <w:sz w:val="18"/>
          <w:szCs w:val="18"/>
          <w:color w:val="auto"/>
        </w:rPr>
        <w:t>. The Company has not entered into any subscription agreement, side letter or similar agreement with any Investor in connection with such Investor’s participation in the transactions contemplated by this Agreement. No Investor is entitled to purchase any Securities on terms that are more favorable to such Investor than any other Investor party hereto (it being acknowledged and agreed that any deviation between the Investor Registration Rights Agreement and the Deerfield Registration Rights Agreement shall not be deemed a breach of the foregoing representation).</w:t>
      </w:r>
    </w:p>
    <w:p>
      <w:pPr>
        <w:spacing w:after="0" w:line="188" w:lineRule="exact"/>
        <w:rPr>
          <w:sz w:val="20"/>
          <w:szCs w:val="20"/>
          <w:color w:val="auto"/>
        </w:rPr>
      </w:pPr>
    </w:p>
    <w:p>
      <w:pPr>
        <w:ind w:firstLine="991"/>
        <w:spacing w:after="0" w:line="290" w:lineRule="auto"/>
        <w:rPr>
          <w:sz w:val="20"/>
          <w:szCs w:val="20"/>
          <w:color w:val="auto"/>
        </w:rPr>
      </w:pPr>
      <w:r>
        <w:rPr>
          <w:rFonts w:ascii="Arial" w:cs="Arial" w:eastAsia="Arial" w:hAnsi="Arial"/>
          <w:sz w:val="16"/>
          <w:szCs w:val="16"/>
          <w:color w:val="auto"/>
        </w:rPr>
        <w:t xml:space="preserve">Section 3.28. </w:t>
      </w:r>
      <w:r>
        <w:rPr>
          <w:rFonts w:ascii="Arial" w:cs="Arial" w:eastAsia="Arial" w:hAnsi="Arial"/>
          <w:sz w:val="16"/>
          <w:szCs w:val="16"/>
          <w:u w:val="single" w:color="auto"/>
          <w:color w:val="auto"/>
        </w:rPr>
        <w:t>Anti-takeover Provisions</w:t>
      </w:r>
      <w:r>
        <w:rPr>
          <w:rFonts w:ascii="Arial" w:cs="Arial" w:eastAsia="Arial" w:hAnsi="Arial"/>
          <w:sz w:val="16"/>
          <w:szCs w:val="16"/>
          <w:color w:val="auto"/>
        </w:rPr>
        <w:t>. The Company and the Company Board have taken all necessary action, if any, in order to render inapplicable any control share acquisition, business combination or other similar anti-takeover provision under the Company’s charter documents or the laws of the State of Delaware that is or could become applicable to any of the Investors as a result of the transactions contemplated by the Transaction Documents and the Company’s fulfilling its obligations with respect thereto, including the Company’s issuance of the Securities and any Investor’s ownership of the Securities. The Company has not adopted a stockholders rights plan (or “poison pill”) or similar arrangement relating to accumulations of beneficial ownership of Common Stock or a change in control of the Company (any such plan or arrangement, a “</w:t>
      </w:r>
      <w:r>
        <w:rPr>
          <w:rFonts w:ascii="Arial" w:cs="Arial" w:eastAsia="Arial" w:hAnsi="Arial"/>
          <w:sz w:val="16"/>
          <w:szCs w:val="16"/>
          <w:b w:val="1"/>
          <w:bCs w:val="1"/>
          <w:color w:val="auto"/>
        </w:rPr>
        <w:t>Rights Plan</w:t>
      </w:r>
      <w:r>
        <w:rPr>
          <w:rFonts w:ascii="Arial" w:cs="Arial" w:eastAsia="Arial" w:hAnsi="Arial"/>
          <w:sz w:val="16"/>
          <w:szCs w:val="16"/>
          <w:color w:val="auto"/>
        </w:rPr>
        <w:t>”), and the Company will not have adopted any Rights Plan that in any way interferes with, or otherwise adversely affects, any Investor (or other holder’s) exercise in full of its rights under the Transaction Documents or ownership of all of the Securities or that otherwise affects or applies to any Investor.</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60"/>
          </w:cols>
          <w:pgMar w:left="440" w:top="274" w:right="499" w:bottom="1440" w:gutter="0" w:footer="0" w:header="0"/>
        </w:sectPr>
      </w:pPr>
    </w:p>
    <w:bookmarkStart w:id="42" w:name="page43"/>
    <w:bookmarkEnd w:id="42"/>
    <w:p>
      <w:pPr>
        <w:ind w:right="240" w:firstLine="991"/>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3.29. </w:t>
      </w:r>
      <w:r>
        <w:rPr>
          <w:rFonts w:ascii="Arial" w:cs="Arial" w:eastAsia="Arial" w:hAnsi="Arial"/>
          <w:sz w:val="16"/>
          <w:szCs w:val="16"/>
          <w:u w:val="single" w:color="auto"/>
          <w:color w:val="auto"/>
        </w:rPr>
        <w:t>Director by Deputization</w:t>
      </w:r>
      <w:r>
        <w:rPr>
          <w:rFonts w:ascii="Arial" w:cs="Arial" w:eastAsia="Arial" w:hAnsi="Arial"/>
          <w:sz w:val="16"/>
          <w:szCs w:val="16"/>
          <w:color w:val="auto"/>
        </w:rPr>
        <w:t>. The Company acknowledges and agrees that, so long as Jonathan Leff serves on the Company Board each of the Deerfield Funds and their respective Affiliates that beneficially owns (for any purpose of Section 16 of the 1934 Act) any shares of Common Stock (or any derivative securities with respect thereto) shall be and remain, a “director by deputization” for purposes of Section 16 of the 1934 Act, including Rule 16b-3 thereunder and related guidance of the SEC, and the Company agrees not to take any contrary position.</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INVESTOR’S REPRESENTATIONS AND WARRANTIES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Each Investor represents and warrants, severally and not jointly, with respect to only itself, as of the date hereof and as of the Closing Date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that:</w:t>
      </w:r>
    </w:p>
    <w:p>
      <w:pPr>
        <w:spacing w:after="0" w:line="211"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Organization and Qualification</w:t>
      </w:r>
      <w:r>
        <w:rPr>
          <w:rFonts w:ascii="Arial" w:cs="Arial" w:eastAsia="Arial" w:hAnsi="Arial"/>
          <w:sz w:val="18"/>
          <w:szCs w:val="18"/>
          <w:color w:val="auto"/>
        </w:rPr>
        <w:t>. If such Investor is an entity, such Investor is a corporation, limited liability company, partnership or other entity and is duly organized or formed and validly existing in good standing under the laws of the jurisdiction in which it is incorporated or otherwise organized and has the requisite corporate, partnership, limited liability company or other organizational power and authority to own its properties, and to carry on its business as now being conducted.</w:t>
      </w:r>
    </w:p>
    <w:p>
      <w:pPr>
        <w:spacing w:after="0" w:line="187" w:lineRule="exact"/>
        <w:rPr>
          <w:sz w:val="20"/>
          <w:szCs w:val="20"/>
          <w:color w:val="auto"/>
        </w:rPr>
      </w:pPr>
    </w:p>
    <w:p>
      <w:pPr>
        <w:ind w:right="40" w:firstLine="991"/>
        <w:spacing w:after="0" w:line="254"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Authorization; Enforcement; Validity</w:t>
      </w:r>
      <w:r>
        <w:rPr>
          <w:rFonts w:ascii="Arial" w:cs="Arial" w:eastAsia="Arial" w:hAnsi="Arial"/>
          <w:sz w:val="18"/>
          <w:szCs w:val="18"/>
          <w:color w:val="auto"/>
        </w:rPr>
        <w:t>. If such Investor is an entity, such Investor is a validly existing corporation, partnership, limited liability company or other entity and has the requisite corporate, partnership, limited liability or other organizational power and authority to enter into the transactions contemplated by the Transaction Documents. This Agreement, the Registration Rights Agreement, and each of the Transaction Documents to which such Investor is a party have been duly and validly authorized (as applicable), executed and delivered on behalf of such Investor and are legal, valid and binding agreements of such Investor, enforceable against such Investor in accordance with their respective terms, except as may be limited by bankruptcy, insolvency, fraudulent conveyance or similar laws affecting creditors’ rights generally and general principles of equity.</w:t>
      </w:r>
    </w:p>
    <w:p>
      <w:pPr>
        <w:spacing w:after="0" w:line="195" w:lineRule="exact"/>
        <w:rPr>
          <w:sz w:val="20"/>
          <w:szCs w:val="20"/>
          <w:color w:val="auto"/>
        </w:rPr>
      </w:pPr>
    </w:p>
    <w:p>
      <w:pPr>
        <w:ind w:firstLine="991"/>
        <w:spacing w:after="0" w:line="273" w:lineRule="auto"/>
        <w:rPr>
          <w:sz w:val="20"/>
          <w:szCs w:val="20"/>
          <w:color w:val="auto"/>
        </w:rPr>
      </w:pPr>
      <w:r>
        <w:rPr>
          <w:rFonts w:ascii="Arial" w:cs="Arial" w:eastAsia="Arial" w:hAnsi="Arial"/>
          <w:sz w:val="17"/>
          <w:szCs w:val="17"/>
          <w:color w:val="auto"/>
        </w:rPr>
        <w:t xml:space="preserve">Section 4.03. </w:t>
      </w:r>
      <w:r>
        <w:rPr>
          <w:rFonts w:ascii="Arial" w:cs="Arial" w:eastAsia="Arial" w:hAnsi="Arial"/>
          <w:sz w:val="17"/>
          <w:szCs w:val="17"/>
          <w:u w:val="single" w:color="auto"/>
          <w:color w:val="auto"/>
        </w:rPr>
        <w:t>Investment Purpose</w:t>
      </w:r>
      <w:r>
        <w:rPr>
          <w:rFonts w:ascii="Arial" w:cs="Arial" w:eastAsia="Arial" w:hAnsi="Arial"/>
          <w:sz w:val="17"/>
          <w:szCs w:val="17"/>
          <w:color w:val="auto"/>
        </w:rPr>
        <w:t xml:space="preserve">. Such Investor is acquiring the Securities hereunder for its own account and not with a view towards, or for resale in connection with, the public sale or distribution, except pursuant to sales registered under, or exempted from, the registration requirements of the 1933 Act;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by making the representations herein, such Investor does not agree to hold any of the Securities for any minimum or other specific term and reserves the right to assign, transfer or otherwise dispose of any of the Securities at any time in accordance with or pursuant to a registration statement or an exemption under the 1933 Act. Such Investor is not a broker-dealer registered with the SEC under the 1934 Act or an entity engaged in a business that would require it to be so registered.</w:t>
      </w:r>
    </w:p>
    <w:p>
      <w:pPr>
        <w:spacing w:after="0" w:line="178" w:lineRule="exact"/>
        <w:rPr>
          <w:sz w:val="20"/>
          <w:szCs w:val="20"/>
          <w:color w:val="auto"/>
        </w:rPr>
      </w:pPr>
    </w:p>
    <w:p>
      <w:pPr>
        <w:ind w:right="140" w:firstLine="991"/>
        <w:spacing w:after="0" w:line="259" w:lineRule="auto"/>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u w:val="single" w:color="auto"/>
          <w:color w:val="auto"/>
        </w:rPr>
        <w:t>Accredited Investor Status</w:t>
      </w:r>
      <w:r>
        <w:rPr>
          <w:rFonts w:ascii="Arial" w:cs="Arial" w:eastAsia="Arial" w:hAnsi="Arial"/>
          <w:sz w:val="18"/>
          <w:szCs w:val="18"/>
          <w:color w:val="auto"/>
        </w:rPr>
        <w:t>. Such Investor is one of (a) (i) an “accredited investor” as that term is defined in Rule 501(a)(1), (a)(2), (a)(3), (a)(7) or (a)(8) under the 1933 Act or (ii) a “qualified institutional buyer” as defined in Rule 144A(a) under the 1933 Act; (b) an Institutional Account as defined in Financial Industry Regulatory Authority Rule 4512(c); or (c) a sophisticated institutional investor, experienced in investing in private equity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43" w:name="page44"/>
    <w:bookmarkEnd w:id="43"/>
    <w:p>
      <w:pPr>
        <w:ind w:right="8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transactions and capable of evaluating investment risks independently, both in general and with regard to all transactions and investment strategies involving a security or securities, including such Investor’s participation in the transactions contemplated by this Agreement. Such Investor has determined based on its own independent review and such professional advice as it deems appropriate that its purchase of the Securities and participation in the transactions contemplated by this Agreement (i) have been duly authorized and approved by all necessary action, and (ii) do not and will not violate or constitute a default under its charter, by-laws or other constituent document or under any law, rule, regulation, agreement or other obligation by which it is bound. Such Investor is able to bear the risks associated with its purchase of the Securities, including but not limited to loss of its entire investment.</w:t>
      </w:r>
    </w:p>
    <w:p>
      <w:pPr>
        <w:spacing w:after="0" w:line="195" w:lineRule="exact"/>
        <w:rPr>
          <w:sz w:val="20"/>
          <w:szCs w:val="20"/>
          <w:color w:val="auto"/>
        </w:rPr>
      </w:pPr>
    </w:p>
    <w:p>
      <w:pPr>
        <w:ind w:right="60" w:firstLine="991"/>
        <w:spacing w:after="0" w:line="279" w:lineRule="auto"/>
        <w:rPr>
          <w:sz w:val="20"/>
          <w:szCs w:val="20"/>
          <w:color w:val="auto"/>
        </w:rPr>
      </w:pPr>
      <w:r>
        <w:rPr>
          <w:rFonts w:ascii="Arial" w:cs="Arial" w:eastAsia="Arial" w:hAnsi="Arial"/>
          <w:sz w:val="17"/>
          <w:szCs w:val="17"/>
          <w:color w:val="auto"/>
        </w:rPr>
        <w:t xml:space="preserve">Section 4.05. </w:t>
      </w:r>
      <w:r>
        <w:rPr>
          <w:rFonts w:ascii="Arial" w:cs="Arial" w:eastAsia="Arial" w:hAnsi="Arial"/>
          <w:sz w:val="17"/>
          <w:szCs w:val="17"/>
          <w:u w:val="single" w:color="auto"/>
          <w:color w:val="auto"/>
        </w:rPr>
        <w:t>Reliance on Exemptions</w:t>
      </w:r>
      <w:r>
        <w:rPr>
          <w:rFonts w:ascii="Arial" w:cs="Arial" w:eastAsia="Arial" w:hAnsi="Arial"/>
          <w:sz w:val="17"/>
          <w:szCs w:val="17"/>
          <w:color w:val="auto"/>
        </w:rPr>
        <w:t>. Such Investor understands that the Securities are being offered and sold to it in reliance on specific exemptions from the registration requirements of the United States federal and state securities laws and that the Company is relying in part upon the truth and accuracy of, and such Investor’s compliance with, the representations, warranties, agreements, acknowledgments and understandings of such Investor set forth herein in order to determine the availability of such exemptions.</w:t>
      </w:r>
    </w:p>
    <w:p>
      <w:pPr>
        <w:spacing w:after="0" w:line="171" w:lineRule="exact"/>
        <w:rPr>
          <w:sz w:val="20"/>
          <w:szCs w:val="20"/>
          <w:color w:val="auto"/>
        </w:rPr>
      </w:pPr>
    </w:p>
    <w:p>
      <w:pPr>
        <w:ind w:firstLine="991"/>
        <w:spacing w:after="0" w:line="271" w:lineRule="auto"/>
        <w:rPr>
          <w:sz w:val="20"/>
          <w:szCs w:val="20"/>
          <w:color w:val="auto"/>
        </w:rPr>
      </w:pPr>
      <w:r>
        <w:rPr>
          <w:rFonts w:ascii="Arial" w:cs="Arial" w:eastAsia="Arial" w:hAnsi="Arial"/>
          <w:sz w:val="17"/>
          <w:szCs w:val="17"/>
          <w:color w:val="auto"/>
        </w:rPr>
        <w:t xml:space="preserve">Section 4.06. </w:t>
      </w:r>
      <w:r>
        <w:rPr>
          <w:rFonts w:ascii="Arial" w:cs="Arial" w:eastAsia="Arial" w:hAnsi="Arial"/>
          <w:sz w:val="17"/>
          <w:szCs w:val="17"/>
          <w:u w:val="single" w:color="auto"/>
          <w:color w:val="auto"/>
        </w:rPr>
        <w:t>Information</w:t>
      </w:r>
      <w:r>
        <w:rPr>
          <w:rFonts w:ascii="Arial" w:cs="Arial" w:eastAsia="Arial" w:hAnsi="Arial"/>
          <w:sz w:val="17"/>
          <w:szCs w:val="17"/>
          <w:color w:val="auto"/>
        </w:rPr>
        <w:t xml:space="preserve">. Such Investor and its advisors, if any, have been afforded the opportunity to ask questions of the Company. Neither such inquiries nor any other due diligence investigations conducted by such Investor or its advisors, if any, or its representatives, nor any of the representations of such Investor contained herein or in any Investor Representation Letter delivered in connection herewith shall modify, amend or affect such Investor’s right to rely on the Company’s representations, warranties, covenants and agreements contained in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and elsewhere herein and in the other Transaction Documents. The Investor has received no representation or warranties from the Company, its employees, agents, or attorneys in making this investment decision other than as set forth in </w:t>
      </w:r>
      <w:r>
        <w:rPr>
          <w:rFonts w:ascii="Arial" w:cs="Arial" w:eastAsia="Arial" w:hAnsi="Arial"/>
          <w:sz w:val="17"/>
          <w:szCs w:val="17"/>
          <w:u w:val="single" w:color="auto"/>
          <w:color w:val="auto"/>
        </w:rPr>
        <w:t>Article III</w:t>
      </w:r>
      <w:r>
        <w:rPr>
          <w:rFonts w:ascii="Arial" w:cs="Arial" w:eastAsia="Arial" w:hAnsi="Arial"/>
          <w:sz w:val="17"/>
          <w:szCs w:val="17"/>
          <w:color w:val="auto"/>
        </w:rPr>
        <w:t>. Such Investor can bear the economic risk of a total loss of its investment in the Securities being offered and has such knowledge and experience in business and financial matters so as to enable it to understand the risks of and form an investment decision with respect to its investment in the Securities.</w:t>
      </w:r>
    </w:p>
    <w:p>
      <w:pPr>
        <w:spacing w:after="0" w:line="178" w:lineRule="exact"/>
        <w:rPr>
          <w:sz w:val="20"/>
          <w:szCs w:val="20"/>
          <w:color w:val="auto"/>
        </w:rPr>
      </w:pPr>
    </w:p>
    <w:p>
      <w:pPr>
        <w:ind w:right="80" w:firstLine="991"/>
        <w:spacing w:after="0" w:line="255" w:lineRule="auto"/>
        <w:rPr>
          <w:sz w:val="20"/>
          <w:szCs w:val="20"/>
          <w:color w:val="auto"/>
        </w:rPr>
      </w:pPr>
      <w:r>
        <w:rPr>
          <w:rFonts w:ascii="Arial" w:cs="Arial" w:eastAsia="Arial" w:hAnsi="Arial"/>
          <w:sz w:val="18"/>
          <w:szCs w:val="18"/>
          <w:color w:val="auto"/>
        </w:rPr>
        <w:t xml:space="preserve">Section 4.07. </w:t>
      </w:r>
      <w:r>
        <w:rPr>
          <w:rFonts w:ascii="Arial" w:cs="Arial" w:eastAsia="Arial" w:hAnsi="Arial"/>
          <w:sz w:val="18"/>
          <w:szCs w:val="18"/>
          <w:u w:val="single" w:color="auto"/>
          <w:color w:val="auto"/>
        </w:rPr>
        <w:t>Independent Investment Decision</w:t>
      </w:r>
      <w:r>
        <w:rPr>
          <w:rFonts w:ascii="Arial" w:cs="Arial" w:eastAsia="Arial" w:hAnsi="Arial"/>
          <w:sz w:val="18"/>
          <w:szCs w:val="18"/>
          <w:color w:val="auto"/>
        </w:rPr>
        <w:t>. Such Investor has independently evaluated the merits of its decision to purchase the Securities pursuant to the Transaction Documents, and such Investor confirms that it has not relied on the advice of any other Investor or any other Investor’s business or legal counsel in making such decision. Such Investor understands that nothing in this Agreement or any other materials presented by or on behalf of the Company to the Investor in connection with the purchase of the Securities constitutes legal, tax or investment advice. Such Investor has consulted such legal, tax and investment advisors as it, in its sole discretion, has deemed necessary or appropriate in connection with its purchase of the Securities.</w:t>
      </w:r>
    </w:p>
    <w:p>
      <w:pPr>
        <w:spacing w:after="0" w:line="192" w:lineRule="exact"/>
        <w:rPr>
          <w:sz w:val="20"/>
          <w:szCs w:val="20"/>
          <w:color w:val="auto"/>
        </w:rPr>
      </w:pPr>
    </w:p>
    <w:p>
      <w:pPr>
        <w:jc w:val="both"/>
        <w:ind w:right="100" w:firstLine="991"/>
        <w:spacing w:after="0" w:line="286" w:lineRule="auto"/>
        <w:rPr>
          <w:sz w:val="20"/>
          <w:szCs w:val="20"/>
          <w:color w:val="auto"/>
        </w:rPr>
      </w:pPr>
      <w:r>
        <w:rPr>
          <w:rFonts w:ascii="Arial" w:cs="Arial" w:eastAsia="Arial" w:hAnsi="Arial"/>
          <w:sz w:val="17"/>
          <w:szCs w:val="17"/>
          <w:color w:val="auto"/>
        </w:rPr>
        <w:t xml:space="preserve">Section 4.08. </w:t>
      </w:r>
      <w:r>
        <w:rPr>
          <w:rFonts w:ascii="Arial" w:cs="Arial" w:eastAsia="Arial" w:hAnsi="Arial"/>
          <w:sz w:val="17"/>
          <w:szCs w:val="17"/>
          <w:u w:val="single" w:color="auto"/>
          <w:color w:val="auto"/>
        </w:rPr>
        <w:t>No Governmental Review</w:t>
      </w:r>
      <w:r>
        <w:rPr>
          <w:rFonts w:ascii="Arial" w:cs="Arial" w:eastAsia="Arial" w:hAnsi="Arial"/>
          <w:sz w:val="17"/>
          <w:szCs w:val="17"/>
          <w:color w:val="auto"/>
        </w:rPr>
        <w:t>. Such Investor understands that no United States federal or state agency or any other government or governmental agency has passed on or made any recommendation or endorsement of the Securities or the fairness or suitability of the investment in the Securities nor have such authorities passed upon or endorsed the merits of the offering of the Securities.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44" w:name="page45"/>
    <w:bookmarkEnd w:id="44"/>
    <w:p>
      <w:pPr>
        <w:jc w:val="both"/>
        <w:ind w:right="60" w:firstLine="991"/>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4.09. </w:t>
      </w:r>
      <w:r>
        <w:rPr>
          <w:rFonts w:ascii="Arial" w:cs="Arial" w:eastAsia="Arial" w:hAnsi="Arial"/>
          <w:sz w:val="16"/>
          <w:szCs w:val="16"/>
          <w:u w:val="single" w:color="auto"/>
          <w:color w:val="auto"/>
        </w:rPr>
        <w:t>Restricted Securities</w:t>
      </w:r>
      <w:r>
        <w:rPr>
          <w:rFonts w:ascii="Arial" w:cs="Arial" w:eastAsia="Arial" w:hAnsi="Arial"/>
          <w:sz w:val="16"/>
          <w:szCs w:val="16"/>
          <w:color w:val="auto"/>
        </w:rPr>
        <w:t>. Such Investor understands that the Securities are characterized as “restricted securities” under the U.S. federal securities laws inasmuch as they are being acquired from the Company in a transaction not involving a public offering and that under such laws and applicable regulations such securities may be resold without registration under the 1933 Act only in certain limited circumstances.</w:t>
      </w:r>
    </w:p>
    <w:p>
      <w:pPr>
        <w:spacing w:after="0" w:line="149" w:lineRule="exact"/>
        <w:rPr>
          <w:sz w:val="20"/>
          <w:szCs w:val="20"/>
          <w:color w:val="auto"/>
        </w:rPr>
      </w:pPr>
    </w:p>
    <w:p>
      <w:pPr>
        <w:ind w:firstLine="991"/>
        <w:spacing w:after="0" w:line="296" w:lineRule="auto"/>
        <w:rPr>
          <w:sz w:val="20"/>
          <w:szCs w:val="20"/>
          <w:color w:val="auto"/>
        </w:rPr>
      </w:pPr>
      <w:r>
        <w:rPr>
          <w:rFonts w:ascii="Arial" w:cs="Arial" w:eastAsia="Arial" w:hAnsi="Arial"/>
          <w:sz w:val="16"/>
          <w:szCs w:val="16"/>
          <w:color w:val="auto"/>
        </w:rPr>
        <w:t xml:space="preserve">Section 4.10. </w:t>
      </w:r>
      <w:r>
        <w:rPr>
          <w:rFonts w:ascii="Arial" w:cs="Arial" w:eastAsia="Arial" w:hAnsi="Arial"/>
          <w:sz w:val="16"/>
          <w:szCs w:val="16"/>
          <w:u w:val="single" w:color="auto"/>
          <w:color w:val="auto"/>
        </w:rPr>
        <w:t>No Conflicts</w:t>
      </w:r>
      <w:r>
        <w:rPr>
          <w:rFonts w:ascii="Arial" w:cs="Arial" w:eastAsia="Arial" w:hAnsi="Arial"/>
          <w:sz w:val="16"/>
          <w:szCs w:val="16"/>
          <w:color w:val="auto"/>
        </w:rPr>
        <w:t>. The execution, delivery and performance by such Investor of the Transaction Documents to which it is a party and the consummation by such Investor of the transactions contemplated thereby will not (a) result in a violation of the organizational documents of such Investor as in effect on the date hereof, or (b) result in a violation of any law, rule, regulation, order, judgment or decree (including federal and state securities laws) applicable to such Investor, except for such conflicts, defaults, rights or violations which would not, individually or in the aggregate, reasonably be expected to have a material adverse effect on the ability of such Investor to perform its obligations hereunder.</w:t>
      </w:r>
    </w:p>
    <w:p>
      <w:pPr>
        <w:spacing w:after="0" w:line="161" w:lineRule="exact"/>
        <w:rPr>
          <w:sz w:val="20"/>
          <w:szCs w:val="20"/>
          <w:color w:val="auto"/>
        </w:rPr>
      </w:pPr>
    </w:p>
    <w:p>
      <w:pPr>
        <w:ind w:right="620" w:firstLine="991"/>
        <w:spacing w:after="0" w:line="308" w:lineRule="auto"/>
        <w:rPr>
          <w:sz w:val="20"/>
          <w:szCs w:val="20"/>
          <w:color w:val="auto"/>
        </w:rPr>
      </w:pPr>
      <w:r>
        <w:rPr>
          <w:rFonts w:ascii="Arial" w:cs="Arial" w:eastAsia="Arial" w:hAnsi="Arial"/>
          <w:sz w:val="17"/>
          <w:szCs w:val="17"/>
          <w:color w:val="auto"/>
        </w:rPr>
        <w:t xml:space="preserve">Section 4.11. </w:t>
      </w:r>
      <w:r>
        <w:rPr>
          <w:rFonts w:ascii="Arial" w:cs="Arial" w:eastAsia="Arial" w:hAnsi="Arial"/>
          <w:sz w:val="17"/>
          <w:szCs w:val="17"/>
          <w:u w:val="single" w:color="auto"/>
          <w:color w:val="auto"/>
        </w:rPr>
        <w:t>Residency</w:t>
      </w:r>
      <w:r>
        <w:rPr>
          <w:rFonts w:ascii="Arial" w:cs="Arial" w:eastAsia="Arial" w:hAnsi="Arial"/>
          <w:sz w:val="17"/>
          <w:szCs w:val="17"/>
          <w:color w:val="auto"/>
        </w:rPr>
        <w:t>. Such Investor’s residence (if an individual) or offices in which its investment decision with respect to the Securities was made (if an entity) are located at the address immediately below Investor’s name on its signature page.</w:t>
      </w:r>
    </w:p>
    <w:p>
      <w:pPr>
        <w:spacing w:after="0" w:line="146" w:lineRule="exact"/>
        <w:rPr>
          <w:sz w:val="20"/>
          <w:szCs w:val="20"/>
          <w:color w:val="auto"/>
        </w:rPr>
      </w:pPr>
    </w:p>
    <w:p>
      <w:pPr>
        <w:jc w:val="both"/>
        <w:ind w:right="40" w:firstLine="991"/>
        <w:spacing w:after="0" w:line="263" w:lineRule="auto"/>
        <w:rPr>
          <w:sz w:val="20"/>
          <w:szCs w:val="20"/>
          <w:color w:val="auto"/>
        </w:rPr>
      </w:pPr>
      <w:r>
        <w:rPr>
          <w:rFonts w:ascii="Arial" w:cs="Arial" w:eastAsia="Arial" w:hAnsi="Arial"/>
          <w:sz w:val="18"/>
          <w:szCs w:val="18"/>
          <w:color w:val="auto"/>
        </w:rPr>
        <w:t>Section 4.12. Acquiring Person. Except as set forth in such Investor’s Selling Investor Questionnaire (as defined in the Registration Rights Agreement), such Investor does not beneficially own (as determined pursuant to Rule 13d-3 under the 1934 Act), any securities of the Company, except for securities that may be beneficially owned by employee benefit plans of the Investor.</w:t>
      </w:r>
    </w:p>
    <w:p>
      <w:pPr>
        <w:spacing w:after="0" w:line="184" w:lineRule="exact"/>
        <w:rPr>
          <w:sz w:val="20"/>
          <w:szCs w:val="20"/>
          <w:color w:val="auto"/>
        </w:rPr>
      </w:pPr>
    </w:p>
    <w:p>
      <w:pPr>
        <w:ind w:right="60" w:firstLine="991"/>
        <w:spacing w:after="0" w:line="268" w:lineRule="auto"/>
        <w:rPr>
          <w:sz w:val="20"/>
          <w:szCs w:val="20"/>
          <w:color w:val="auto"/>
        </w:rPr>
      </w:pPr>
      <w:r>
        <w:rPr>
          <w:rFonts w:ascii="Arial" w:cs="Arial" w:eastAsia="Arial" w:hAnsi="Arial"/>
          <w:sz w:val="17"/>
          <w:szCs w:val="17"/>
          <w:color w:val="auto"/>
        </w:rPr>
        <w:t xml:space="preserve">Section 4.13. </w:t>
      </w:r>
      <w:r>
        <w:rPr>
          <w:rFonts w:ascii="Arial" w:cs="Arial" w:eastAsia="Arial" w:hAnsi="Arial"/>
          <w:sz w:val="17"/>
          <w:szCs w:val="17"/>
          <w:u w:val="single" w:color="auto"/>
          <w:color w:val="auto"/>
        </w:rPr>
        <w:t>Placement Agents</w:t>
      </w:r>
      <w:r>
        <w:rPr>
          <w:rFonts w:ascii="Arial" w:cs="Arial" w:eastAsia="Arial" w:hAnsi="Arial"/>
          <w:sz w:val="17"/>
          <w:szCs w:val="17"/>
          <w:color w:val="auto"/>
        </w:rPr>
        <w:t>. Such Investor hereby acknowledges and agrees that (a) Morgan Stanley &amp; Co. LLC, Guggenheim Securities, LLC, and William Blair &amp; Company, L.L.C. (collectively, the “</w:t>
      </w:r>
      <w:r>
        <w:rPr>
          <w:rFonts w:ascii="Arial" w:cs="Arial" w:eastAsia="Arial" w:hAnsi="Arial"/>
          <w:sz w:val="17"/>
          <w:szCs w:val="17"/>
          <w:b w:val="1"/>
          <w:bCs w:val="1"/>
          <w:color w:val="auto"/>
        </w:rPr>
        <w:t>Lead Placement Agents</w:t>
      </w:r>
      <w:r>
        <w:rPr>
          <w:rFonts w:ascii="Arial" w:cs="Arial" w:eastAsia="Arial" w:hAnsi="Arial"/>
          <w:sz w:val="17"/>
          <w:szCs w:val="17"/>
          <w:color w:val="auto"/>
        </w:rPr>
        <w:t>”) and JMP Securities LLC (the “</w:t>
      </w:r>
      <w:r>
        <w:rPr>
          <w:rFonts w:ascii="Arial" w:cs="Arial" w:eastAsia="Arial" w:hAnsi="Arial"/>
          <w:sz w:val="17"/>
          <w:szCs w:val="17"/>
          <w:b w:val="1"/>
          <w:bCs w:val="1"/>
          <w:color w:val="auto"/>
        </w:rPr>
        <w:t>Co-Placement</w:t>
      </w:r>
      <w:r>
        <w:rPr>
          <w:rFonts w:ascii="Arial" w:cs="Arial" w:eastAsia="Arial" w:hAnsi="Arial"/>
          <w:sz w:val="17"/>
          <w:szCs w:val="17"/>
          <w:color w:val="auto"/>
        </w:rPr>
        <w:t xml:space="preserve"> </w:t>
      </w:r>
      <w:r>
        <w:rPr>
          <w:rFonts w:ascii="Arial" w:cs="Arial" w:eastAsia="Arial" w:hAnsi="Arial"/>
          <w:sz w:val="17"/>
          <w:szCs w:val="17"/>
          <w:b w:val="1"/>
          <w:bCs w:val="1"/>
          <w:color w:val="auto"/>
        </w:rPr>
        <w:t>Agent</w:t>
      </w:r>
      <w:r>
        <w:rPr>
          <w:rFonts w:ascii="Arial" w:cs="Arial" w:eastAsia="Arial" w:hAnsi="Arial"/>
          <w:sz w:val="17"/>
          <w:szCs w:val="17"/>
          <w:color w:val="auto"/>
        </w:rPr>
        <w:t>” and, together with the Lead Placement Agents, the “</w:t>
      </w:r>
      <w:r>
        <w:rPr>
          <w:rFonts w:ascii="Arial" w:cs="Arial" w:eastAsia="Arial" w:hAnsi="Arial"/>
          <w:sz w:val="17"/>
          <w:szCs w:val="17"/>
          <w:b w:val="1"/>
          <w:bCs w:val="1"/>
          <w:color w:val="auto"/>
        </w:rPr>
        <w:t>Placement Agents</w:t>
      </w:r>
      <w:r>
        <w:rPr>
          <w:rFonts w:ascii="Arial" w:cs="Arial" w:eastAsia="Arial" w:hAnsi="Arial"/>
          <w:sz w:val="17"/>
          <w:szCs w:val="17"/>
          <w:color w:val="auto"/>
        </w:rPr>
        <w:t>”) are acting as co-placement agents in connection with the execution,</w:t>
      </w:r>
      <w:r>
        <w:rPr>
          <w:rFonts w:ascii="Arial" w:cs="Arial" w:eastAsia="Arial" w:hAnsi="Arial"/>
          <w:sz w:val="17"/>
          <w:szCs w:val="17"/>
          <w:b w:val="1"/>
          <w:bCs w:val="1"/>
          <w:color w:val="auto"/>
        </w:rPr>
        <w:t xml:space="preserve"> </w:t>
      </w:r>
      <w:r>
        <w:rPr>
          <w:rFonts w:ascii="Arial" w:cs="Arial" w:eastAsia="Arial" w:hAnsi="Arial"/>
          <w:sz w:val="17"/>
          <w:szCs w:val="17"/>
          <w:color w:val="auto"/>
        </w:rPr>
        <w:t>delivery and performance of the Transaction Documents and are not acting as an underwriter or in any other capacity and are not and shall not be construed as a fiduciary for such Investor, the Company or any other person or entity in connection with the execution, delivery and performance of the Transaction Documents, (b) the Placement Agents have not made and will not make any representation or warranty, whether express or implied, of any kind or character and have not provided any advice or recommendation in connection with the execution, delivery and performance of the Transaction Documents, (c) the Placement Agents will not have any responsibility with respect to (i) any representations, warranties or agreements made by any person or entity under or in connection with the execution, delivery and performance of the Transaction Documents, or the execution, legality, validity or enforceability (with respect to any person) thereof, or (ii) the business, affairs, financial condition, operations, properties or prospects of, or any other matter concerning the Company, and (d) the Placement Agents will not have any liability or obligation (including without limitation, for or with respect to any losses, claims, damages, obligations, penalties, judgments, awards, liabilities, costs, expenses or disbursements incurred by such Investor, the Company or any other person or entity), whether in contract, tort or otherwise, to such Investor, or to any person claiming through it, in respect of the execution, delivery and performance of the Transaction Documents.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COVENANTS</w:t>
      </w:r>
    </w:p>
    <w:p>
      <w:pPr>
        <w:spacing w:after="0" w:line="211" w:lineRule="exact"/>
        <w:rPr>
          <w:sz w:val="20"/>
          <w:szCs w:val="20"/>
          <w:color w:val="auto"/>
        </w:rPr>
      </w:pPr>
    </w:p>
    <w:p>
      <w:pPr>
        <w:ind w:right="20" w:firstLine="991"/>
        <w:spacing w:after="0" w:line="301" w:lineRule="auto"/>
        <w:rPr>
          <w:sz w:val="20"/>
          <w:szCs w:val="20"/>
          <w:color w:val="auto"/>
        </w:rPr>
      </w:pPr>
      <w:r>
        <w:rPr>
          <w:rFonts w:ascii="Arial" w:cs="Arial" w:eastAsia="Arial" w:hAnsi="Arial"/>
          <w:sz w:val="16"/>
          <w:szCs w:val="16"/>
          <w:color w:val="auto"/>
        </w:rPr>
        <w:t xml:space="preserve">Section 5.01. </w:t>
      </w:r>
      <w:r>
        <w:rPr>
          <w:rFonts w:ascii="Arial" w:cs="Arial" w:eastAsia="Arial" w:hAnsi="Arial"/>
          <w:sz w:val="16"/>
          <w:szCs w:val="16"/>
          <w:u w:val="single" w:color="auto"/>
          <w:color w:val="auto"/>
        </w:rPr>
        <w:t>Blue Sky</w:t>
      </w:r>
      <w:r>
        <w:rPr>
          <w:rFonts w:ascii="Arial" w:cs="Arial" w:eastAsia="Arial" w:hAnsi="Arial"/>
          <w:sz w:val="16"/>
          <w:szCs w:val="16"/>
          <w:color w:val="auto"/>
        </w:rPr>
        <w:t>. The Company shall, on or before the Closing Date, take such action as the Company shall reasonably determine is necessary in order to obtain an exemption for, or to qualify the Securities for, sale to the Investors at the Closing pursuant to this Agreement under applicable securities or “Blue Sky” laws of the states of the United States. The Company shall make all filings and reports relating to the offer and sale of the Securities required under applicable securities or “Blue Sky” laws of the states of the United States following the Closing Date.</w:t>
      </w:r>
    </w:p>
    <w:p>
      <w:pPr>
        <w:spacing w:after="0" w:line="157" w:lineRule="exact"/>
        <w:rPr>
          <w:sz w:val="20"/>
          <w:szCs w:val="20"/>
          <w:color w:val="auto"/>
        </w:rPr>
      </w:pPr>
    </w:p>
    <w:p>
      <w:pPr>
        <w:ind w:right="220" w:firstLine="991"/>
        <w:spacing w:after="0" w:line="263"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Use of Proceeds</w:t>
      </w:r>
      <w:r>
        <w:rPr>
          <w:rFonts w:ascii="Arial" w:cs="Arial" w:eastAsia="Arial" w:hAnsi="Arial"/>
          <w:sz w:val="18"/>
          <w:szCs w:val="18"/>
          <w:color w:val="auto"/>
        </w:rPr>
        <w:t>. The Company will use the proceeds from the sale of the Securities (a) first to pay expenses related to the sale of the Securities, and (b) thereafter for research and development of the Company’s product candidates, working capital and general corporate purposes.</w:t>
      </w:r>
    </w:p>
    <w:p>
      <w:pPr>
        <w:spacing w:after="0" w:line="184" w:lineRule="exact"/>
        <w:rPr>
          <w:sz w:val="20"/>
          <w:szCs w:val="20"/>
          <w:color w:val="auto"/>
        </w:rPr>
      </w:pPr>
    </w:p>
    <w:p>
      <w:pPr>
        <w:ind w:right="260" w:firstLine="991"/>
        <w:spacing w:after="0" w:line="279" w:lineRule="auto"/>
        <w:rPr>
          <w:sz w:val="20"/>
          <w:szCs w:val="20"/>
          <w:color w:val="auto"/>
        </w:rPr>
      </w:pPr>
      <w:r>
        <w:rPr>
          <w:rFonts w:ascii="Arial" w:cs="Arial" w:eastAsia="Arial" w:hAnsi="Arial"/>
          <w:sz w:val="17"/>
          <w:szCs w:val="17"/>
          <w:color w:val="auto"/>
        </w:rPr>
        <w:t xml:space="preserve">Section 5.03. </w:t>
      </w:r>
      <w:r>
        <w:rPr>
          <w:rFonts w:ascii="Arial" w:cs="Arial" w:eastAsia="Arial" w:hAnsi="Arial"/>
          <w:sz w:val="17"/>
          <w:szCs w:val="17"/>
          <w:u w:val="single" w:color="auto"/>
          <w:color w:val="auto"/>
        </w:rPr>
        <w:t>Expenses</w:t>
      </w:r>
      <w:r>
        <w:rPr>
          <w:rFonts w:ascii="Arial" w:cs="Arial" w:eastAsia="Arial" w:hAnsi="Arial"/>
          <w:sz w:val="17"/>
          <w:szCs w:val="17"/>
          <w:color w:val="auto"/>
        </w:rPr>
        <w:t>. At the Closing, the Company and the Investors shall each pay all of their own legal, due diligence and other expenses, including fees and expenses of attorneys, investigative and other consultants and travel costs and all other expenses, relating to negotiating and preparing the Transaction Documents and consummating the transactions contemplated hereby and thereby. The Company shall pay all Transfer Agent fees incurred in connection with the sale and issuance of the Securities to the Investors.</w:t>
      </w:r>
    </w:p>
    <w:p>
      <w:pPr>
        <w:spacing w:after="0" w:line="171" w:lineRule="exact"/>
        <w:rPr>
          <w:sz w:val="20"/>
          <w:szCs w:val="20"/>
          <w:color w:val="auto"/>
        </w:rPr>
      </w:pPr>
    </w:p>
    <w:p>
      <w:pPr>
        <w:ind w:firstLine="991"/>
        <w:spacing w:after="0" w:line="285" w:lineRule="auto"/>
        <w:rPr>
          <w:sz w:val="20"/>
          <w:szCs w:val="20"/>
          <w:color w:val="auto"/>
        </w:rPr>
      </w:pPr>
      <w:r>
        <w:rPr>
          <w:rFonts w:ascii="Arial" w:cs="Arial" w:eastAsia="Arial" w:hAnsi="Arial"/>
          <w:sz w:val="16"/>
          <w:szCs w:val="16"/>
          <w:color w:val="auto"/>
        </w:rPr>
        <w:t xml:space="preserve">Section 5.04. </w:t>
      </w:r>
      <w:r>
        <w:rPr>
          <w:rFonts w:ascii="Arial" w:cs="Arial" w:eastAsia="Arial" w:hAnsi="Arial"/>
          <w:sz w:val="16"/>
          <w:szCs w:val="16"/>
          <w:u w:val="single" w:color="auto"/>
          <w:color w:val="auto"/>
        </w:rPr>
        <w:t>Disclosure of Transactions and Other Material Information</w:t>
      </w:r>
      <w:r>
        <w:rPr>
          <w:rFonts w:ascii="Arial" w:cs="Arial" w:eastAsia="Arial" w:hAnsi="Arial"/>
          <w:sz w:val="16"/>
          <w:szCs w:val="16"/>
          <w:color w:val="auto"/>
        </w:rPr>
        <w:t>. The Company shall, by 9:00 a.m. (New York City time) on the first (1st) Trading Day immediately following the Closing Date, (i) issue a press release disclosing the material terms of the transactions contemplated hereby and (ii) file a Current Report on Form 8-K including a form of each of the Transaction Documents as exhibits thereto. The Company and each Investor shall consult with each other in issuing any other press releases with respect to the transactions contemplated hereby, and neither the Company nor any Investor shall issue any such press release nor otherwise make any such public statement without the prior consent of the Company, with respect to any press release of any Investor, or without the prior consent of each Investor, with respect to any press release of the Company, which consent shall not unreasonably be withheld or delayed (unless such consent relates to the use of such Investor’s name in such press release), except if such disclosure is required by law, in which case the disclosing party shall promptly provide the other party with prior notice of such public statement or communication, provided, however, that neither the Investors nor any of their respective Affiliates shall be obligated to provide such notice in respect of any filings made pursuant to Section 16 or Section 13 under the 1934 Act or the rules and regulations of the SEC promulgated thereunder. Notwithstanding the foregoing, the Company shall not publicly disclose the name of any Investor, or include the name of any Investor in any filing with the SEC or any regulatory agency or Trading Market, without the prior written consent of such Investor, except: (a) as required by federal securities Laws in connection with the filing of final Transaction Documents with the SEC and any registration statement contemplated by the Registration Rights Agreement, and (b) to the extent such disclosure is required by law or Trading Market regulations, in which case the Company shall provide the Investors with prior notice of such disclosure permitted under this clause (b). The Company confirms that, following the filing of the Form 8-K announcing the pricing of the offering (the “</w:t>
      </w:r>
      <w:r>
        <w:rPr>
          <w:rFonts w:ascii="Arial" w:cs="Arial" w:eastAsia="Arial" w:hAnsi="Arial"/>
          <w:sz w:val="16"/>
          <w:szCs w:val="16"/>
          <w:b w:val="1"/>
          <w:bCs w:val="1"/>
          <w:color w:val="auto"/>
        </w:rPr>
        <w:t>Announcing Form 8-K</w:t>
      </w:r>
      <w:r>
        <w:rPr>
          <w:rFonts w:ascii="Arial" w:cs="Arial" w:eastAsia="Arial" w:hAnsi="Arial"/>
          <w:sz w:val="16"/>
          <w:szCs w:val="16"/>
          <w:color w:val="auto"/>
        </w:rPr>
        <w:t>”), no</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80"/>
          </w:cols>
          <w:pgMar w:left="440" w:top="270" w:right="479" w:bottom="1440" w:gutter="0" w:footer="0" w:header="0"/>
        </w:sectPr>
      </w:pPr>
    </w:p>
    <w:bookmarkStart w:id="46" w:name="page47"/>
    <w:bookmarkEnd w:id="46"/>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Investor will be deemed to be in possession of material non-public information concerning the Company received prior to the filing of the Announcing Form 8-K. The Company shall not, and shall cause each of its Subsidiaries and its and each of their respective officers, directors, employees and agents to not, provide any Investor with any material non-public information regarding the Company or any of its Subsidiaries from and after the filing of the Announcing Form 8-K with the SEC without the express prior written consent of such Investor, unless prior thereto such Investor shall have executed a written agreement regarding the confidentiality and use of such information; provided, however, that the foregoing prohibition shall not apply to the provision of information, to any officer or director of the Company, in his or her capacity as such (“</w:t>
      </w:r>
      <w:r>
        <w:rPr>
          <w:rFonts w:ascii="Arial" w:cs="Arial" w:eastAsia="Arial" w:hAnsi="Arial"/>
          <w:sz w:val="16"/>
          <w:szCs w:val="16"/>
          <w:b w:val="1"/>
          <w:bCs w:val="1"/>
          <w:color w:val="auto"/>
        </w:rPr>
        <w:t>Board Information</w:t>
      </w:r>
      <w:r>
        <w:rPr>
          <w:rFonts w:ascii="Arial" w:cs="Arial" w:eastAsia="Arial" w:hAnsi="Arial"/>
          <w:sz w:val="16"/>
          <w:szCs w:val="16"/>
          <w:color w:val="auto"/>
        </w:rPr>
        <w:t>”), whether or not such officer or director of the Company also is a director, officer or employee of or advisor to an Investor or the investment manager of any Investor. The Company understands, acknowledges and agrees that (a) the Investors, their Affiliates and Persons acting on their behalf will rely on the provisions of this Section 5.04 in effecting transactions in the Securities and other securities of the Company and of other Persons, and (b) notwithstanding anything to the contrary contained herein or in any other Transaction Document, except with respect to Board Information, no Investor (nor any of such Investor’s Affiliates, attorneys, agents or representatives) shall have any duty of trust or confidence to the Company with respect to, or any obligation not to trade in any securities while aware of, any material non-public information (i) provided by, or on behalf of, the Company, any of its Affiliates or any of its officers, directors (or equivalent persons), employees, attorneys, agents or representatives in violation of any of the representations, covenants, provisions or agreements set forth in this Section 5.04 or (ii) otherwise possessed (or continued to be possessed) by any Investor (or any Affiliate, agent or representative thereof) as a result of any breach or violation of any representation, covenant, provision or agreement set forth in this Section 5.04, provided that each Investor shall remain subject to applicable law.</w:t>
      </w:r>
    </w:p>
    <w:p>
      <w:pPr>
        <w:spacing w:after="0" w:line="176" w:lineRule="exact"/>
        <w:rPr>
          <w:sz w:val="20"/>
          <w:szCs w:val="20"/>
          <w:color w:val="auto"/>
        </w:rPr>
      </w:pPr>
    </w:p>
    <w:p>
      <w:pPr>
        <w:ind w:right="80" w:firstLine="991"/>
        <w:spacing w:after="0" w:line="257" w:lineRule="auto"/>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u w:val="single" w:color="auto"/>
          <w:color w:val="auto"/>
        </w:rPr>
        <w:t>Patriot Act, Investor Secrecy Act and Office of Foreign Assets Control</w:t>
      </w:r>
      <w:r>
        <w:rPr>
          <w:rFonts w:ascii="Arial" w:cs="Arial" w:eastAsia="Arial" w:hAnsi="Arial"/>
          <w:sz w:val="18"/>
          <w:szCs w:val="18"/>
          <w:color w:val="auto"/>
        </w:rPr>
        <w:t>. As required by federal law and each Investor’s policies and practices, each Investor may need to obtain, verify and record certain customer identification information and documentation in connection with opening or maintaining accounts, or establishing or continuing to provide services, and, from the date of this Agreement until the end of the Effectiveness Period (as defined in the Registration Rights Agreement), the Company agrees to, and shall cause each of its Subsidiaries to, reasonably cooperate with such Investor provide such information to each Investor.</w:t>
      </w:r>
    </w:p>
    <w:p>
      <w:pPr>
        <w:spacing w:after="0" w:line="188" w:lineRule="exact"/>
        <w:rPr>
          <w:sz w:val="20"/>
          <w:szCs w:val="20"/>
          <w:color w:val="auto"/>
        </w:rPr>
      </w:pPr>
    </w:p>
    <w:p>
      <w:pPr>
        <w:ind w:right="60" w:firstLine="991"/>
        <w:spacing w:after="0" w:line="271" w:lineRule="auto"/>
        <w:rPr>
          <w:sz w:val="20"/>
          <w:szCs w:val="20"/>
          <w:color w:val="auto"/>
        </w:rPr>
      </w:pPr>
      <w:r>
        <w:rPr>
          <w:rFonts w:ascii="Arial" w:cs="Arial" w:eastAsia="Arial" w:hAnsi="Arial"/>
          <w:sz w:val="17"/>
          <w:szCs w:val="17"/>
          <w:color w:val="auto"/>
        </w:rPr>
        <w:t xml:space="preserve">Section 5.06. </w:t>
      </w:r>
      <w:r>
        <w:rPr>
          <w:rFonts w:ascii="Arial" w:cs="Arial" w:eastAsia="Arial" w:hAnsi="Arial"/>
          <w:sz w:val="17"/>
          <w:szCs w:val="17"/>
          <w:u w:val="single" w:color="auto"/>
          <w:color w:val="auto"/>
        </w:rPr>
        <w:t>Irrevocable Transfer Agent Instructions</w:t>
      </w:r>
      <w:r>
        <w:rPr>
          <w:rFonts w:ascii="Arial" w:cs="Arial" w:eastAsia="Arial" w:hAnsi="Arial"/>
          <w:sz w:val="17"/>
          <w:szCs w:val="17"/>
          <w:color w:val="auto"/>
        </w:rPr>
        <w:t>. The Company shall issue irrevocable instructions to the Transfer Agent for the Common Stock in customary form instructing the Transfer Agent (the “</w:t>
      </w:r>
      <w:r>
        <w:rPr>
          <w:rFonts w:ascii="Arial" w:cs="Arial" w:eastAsia="Arial" w:hAnsi="Arial"/>
          <w:sz w:val="17"/>
          <w:szCs w:val="17"/>
          <w:b w:val="1"/>
          <w:bCs w:val="1"/>
          <w:color w:val="auto"/>
        </w:rPr>
        <w:t>Irrevocable Transfer Agent Instructions</w:t>
      </w:r>
      <w:r>
        <w:rPr>
          <w:rFonts w:ascii="Arial" w:cs="Arial" w:eastAsia="Arial" w:hAnsi="Arial"/>
          <w:sz w:val="17"/>
          <w:szCs w:val="17"/>
          <w:color w:val="auto"/>
        </w:rPr>
        <w:t>”), and any subsequent transfer agent, to credit shares to the applicable balance accounts at the DTC, registered in the name of each holder of Pre-Funded Warrants or such holder’s nominee(s), for the Warrant Shares in such amounts as specified from time to time by each such holder to the Company upon issuance of the Warrant Shares pursuant to the exercise of the Pre-Funded Warrant. The Company covenants and agrees that no instruction other than the Irrevocable Transfer Agent Instructions referred to in this Section 5.06 and stop transfer instructions to give effect to the provisions of this Section 5.06 will be given by the Company to its transfer agent and that the Securities shall otherwise be freely transferable on the books and records of the Company as and to the extent provided in this Agreement and the Registration Rights Agreement.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47" w:name="page48"/>
    <w:bookmarkEnd w:id="47"/>
    <w:p>
      <w:pPr>
        <w:ind w:left="4" w:right="52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5.07. </w:t>
      </w:r>
      <w:r>
        <w:rPr>
          <w:rFonts w:ascii="Arial" w:cs="Arial" w:eastAsia="Arial" w:hAnsi="Arial"/>
          <w:sz w:val="18"/>
          <w:szCs w:val="18"/>
          <w:u w:val="single" w:color="auto"/>
          <w:color w:val="auto"/>
        </w:rPr>
        <w:t>Regulation M</w:t>
      </w:r>
      <w:r>
        <w:rPr>
          <w:rFonts w:ascii="Arial" w:cs="Arial" w:eastAsia="Arial" w:hAnsi="Arial"/>
          <w:sz w:val="18"/>
          <w:szCs w:val="18"/>
          <w:color w:val="auto"/>
        </w:rPr>
        <w:t>. The Company represents, warrants, covenants and agrees that neither the Company, nor any of its Subsidiaries or Affiliates, has taken or shall take any action prohibited by Regulation M under the 1934 Act, in connection with the offer, sale and delivery of the Securities contemplated hereby.</w:t>
      </w:r>
    </w:p>
    <w:p>
      <w:pPr>
        <w:spacing w:after="0" w:line="184" w:lineRule="exact"/>
        <w:rPr>
          <w:sz w:val="20"/>
          <w:szCs w:val="20"/>
          <w:color w:val="auto"/>
        </w:rPr>
      </w:pPr>
    </w:p>
    <w:p>
      <w:pPr>
        <w:ind w:left="4" w:right="100" w:firstLine="991"/>
        <w:spacing w:after="0" w:line="259" w:lineRule="auto"/>
        <w:rPr>
          <w:sz w:val="20"/>
          <w:szCs w:val="20"/>
          <w:color w:val="auto"/>
        </w:rPr>
      </w:pPr>
      <w:r>
        <w:rPr>
          <w:rFonts w:ascii="Arial" w:cs="Arial" w:eastAsia="Arial" w:hAnsi="Arial"/>
          <w:sz w:val="18"/>
          <w:szCs w:val="18"/>
          <w:color w:val="auto"/>
        </w:rPr>
        <w:t xml:space="preserve">Section 5.08. </w:t>
      </w:r>
      <w:r>
        <w:rPr>
          <w:rFonts w:ascii="Arial" w:cs="Arial" w:eastAsia="Arial" w:hAnsi="Arial"/>
          <w:sz w:val="18"/>
          <w:szCs w:val="18"/>
          <w:u w:val="single" w:color="auto"/>
          <w:color w:val="auto"/>
        </w:rPr>
        <w:t>No Integrated Offering</w:t>
      </w:r>
      <w:r>
        <w:rPr>
          <w:rFonts w:ascii="Arial" w:cs="Arial" w:eastAsia="Arial" w:hAnsi="Arial"/>
          <w:sz w:val="18"/>
          <w:szCs w:val="18"/>
          <w:color w:val="auto"/>
        </w:rPr>
        <w:t>. Neither the Company nor any its Subsidiaries or Affiliates or any Person acting on the behalf of any of the foregoing, shall, directly or indirectly, make any offers or sales of any security or solicit any offers to purchase any security, under any circumstances that would require registration of any of the Securities under the 1933 Act or require stockholder approval of the issuance of any of the Securities.</w:t>
      </w:r>
    </w:p>
    <w:p>
      <w:pPr>
        <w:spacing w:after="0" w:line="187" w:lineRule="exact"/>
        <w:rPr>
          <w:sz w:val="20"/>
          <w:szCs w:val="20"/>
          <w:color w:val="auto"/>
        </w:rPr>
      </w:pPr>
    </w:p>
    <w:p>
      <w:pPr>
        <w:ind w:left="4" w:right="20" w:firstLine="991"/>
        <w:spacing w:after="0" w:line="259" w:lineRule="auto"/>
        <w:rPr>
          <w:sz w:val="20"/>
          <w:szCs w:val="20"/>
          <w:color w:val="auto"/>
        </w:rPr>
      </w:pPr>
      <w:r>
        <w:rPr>
          <w:rFonts w:ascii="Arial" w:cs="Arial" w:eastAsia="Arial" w:hAnsi="Arial"/>
          <w:sz w:val="18"/>
          <w:szCs w:val="18"/>
          <w:color w:val="auto"/>
        </w:rPr>
        <w:t xml:space="preserve">Section 5.09. </w:t>
      </w:r>
      <w:r>
        <w:rPr>
          <w:rFonts w:ascii="Arial" w:cs="Arial" w:eastAsia="Arial" w:hAnsi="Arial"/>
          <w:sz w:val="18"/>
          <w:szCs w:val="18"/>
          <w:u w:val="single" w:color="auto"/>
          <w:color w:val="auto"/>
        </w:rPr>
        <w:t>Reservation of Common Stock</w:t>
      </w:r>
      <w:r>
        <w:rPr>
          <w:rFonts w:ascii="Arial" w:cs="Arial" w:eastAsia="Arial" w:hAnsi="Arial"/>
          <w:sz w:val="18"/>
          <w:szCs w:val="18"/>
          <w:color w:val="auto"/>
        </w:rPr>
        <w:t>. The Company shall reserve for issuance a number of shares of Common Stock at least equal to the aggregate number of shares of Common Stock necessary to effect the issuance of the Warrant Shares pursuant to the terms of the Pre-Funded Warrant for so long as such Pre-Funded Warrants remain outstanding (assuming the exercise thereof for cash, and without regard to any limitation on the exercise thereof).</w:t>
      </w:r>
    </w:p>
    <w:p>
      <w:pPr>
        <w:spacing w:after="0" w:line="187" w:lineRule="exact"/>
        <w:rPr>
          <w:sz w:val="20"/>
          <w:szCs w:val="20"/>
          <w:color w:val="auto"/>
        </w:rPr>
      </w:pPr>
    </w:p>
    <w:p>
      <w:pPr>
        <w:ind w:left="4" w:firstLine="991"/>
        <w:spacing w:after="0" w:line="257" w:lineRule="auto"/>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u w:val="single" w:color="auto"/>
          <w:color w:val="auto"/>
        </w:rPr>
        <w:t>Listing</w:t>
      </w:r>
      <w:r>
        <w:rPr>
          <w:rFonts w:ascii="Arial" w:cs="Arial" w:eastAsia="Arial" w:hAnsi="Arial"/>
          <w:sz w:val="18"/>
          <w:szCs w:val="18"/>
          <w:color w:val="auto"/>
        </w:rPr>
        <w:t>. The Company will use commercially reasonable efforts to continue the listing and trading of the Common Stock on the Nasdaq Global Market or other national securities exchange and, in accordance, therewith, will use commercially reasonable efforts to comply in all respects with the Company’s reporting, filing and other obligations under the bylaws or the rules of such market or exchange, as applicable. The Company will use commercially reasonable efforts to maintain the eligibility of the Common Stock for electronic transfer through DTC or any successor clearing corporation.</w:t>
      </w:r>
    </w:p>
    <w:p>
      <w:pPr>
        <w:spacing w:after="0" w:line="188" w:lineRule="exact"/>
        <w:rPr>
          <w:sz w:val="20"/>
          <w:szCs w:val="20"/>
          <w:color w:val="auto"/>
        </w:rPr>
      </w:pPr>
    </w:p>
    <w:p>
      <w:pPr>
        <w:ind w:left="4" w:right="80" w:firstLine="991"/>
        <w:spacing w:after="0" w:line="263" w:lineRule="auto"/>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Transfer Taxes</w:t>
      </w:r>
      <w:r>
        <w:rPr>
          <w:rFonts w:ascii="Arial" w:cs="Arial" w:eastAsia="Arial" w:hAnsi="Arial"/>
          <w:sz w:val="18"/>
          <w:szCs w:val="18"/>
          <w:color w:val="auto"/>
        </w:rPr>
        <w:t>. The Company shall be responsible for any liability with respect to any transfer, stamp or similar non-income Taxes that may be payable in connection with the execution, delivery and performance of this Agreement and the other Transaction Documents, including any such Taxes with respect to the issuance of the Securities.</w:t>
      </w:r>
    </w:p>
    <w:p>
      <w:pPr>
        <w:spacing w:after="0" w:line="184"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u w:val="single" w:color="auto"/>
          <w:color w:val="auto"/>
        </w:rPr>
        <w:t>Transfer Restrictions</w:t>
      </w:r>
      <w:r>
        <w:rPr>
          <w:rFonts w:ascii="Arial" w:cs="Arial" w:eastAsia="Arial" w:hAnsi="Arial"/>
          <w:sz w:val="18"/>
          <w:szCs w:val="18"/>
          <w:color w:val="auto"/>
        </w:rPr>
        <w:t>.</w:t>
      </w:r>
    </w:p>
    <w:p>
      <w:pPr>
        <w:spacing w:after="0" w:line="225" w:lineRule="exact"/>
        <w:rPr>
          <w:sz w:val="20"/>
          <w:szCs w:val="20"/>
          <w:color w:val="auto"/>
        </w:rPr>
      </w:pPr>
    </w:p>
    <w:p>
      <w:pPr>
        <w:ind w:left="4" w:right="20" w:firstLine="987"/>
        <w:spacing w:after="0" w:line="284" w:lineRule="auto"/>
        <w:tabs>
          <w:tab w:leader="none" w:pos="1240" w:val="left"/>
        </w:tabs>
        <w:numPr>
          <w:ilvl w:val="1"/>
          <w:numId w:val="41"/>
        </w:numPr>
        <w:rPr>
          <w:rFonts w:ascii="Arial" w:cs="Arial" w:eastAsia="Arial" w:hAnsi="Arial"/>
          <w:sz w:val="16"/>
          <w:szCs w:val="16"/>
          <w:color w:val="auto"/>
        </w:rPr>
      </w:pPr>
      <w:r>
        <w:rPr>
          <w:rFonts w:ascii="Arial" w:cs="Arial" w:eastAsia="Arial" w:hAnsi="Arial"/>
          <w:sz w:val="16"/>
          <w:szCs w:val="16"/>
          <w:u w:val="single" w:color="auto"/>
          <w:color w:val="auto"/>
        </w:rPr>
        <w:t>Compliance with Laws</w:t>
      </w:r>
      <w:r>
        <w:rPr>
          <w:rFonts w:ascii="Arial" w:cs="Arial" w:eastAsia="Arial" w:hAnsi="Arial"/>
          <w:sz w:val="16"/>
          <w:szCs w:val="16"/>
          <w:color w:val="auto"/>
        </w:rPr>
        <w:t xml:space="preserve">. Notwithstanding any other provision of this </w:t>
      </w:r>
      <w:r>
        <w:rPr>
          <w:rFonts w:ascii="Arial" w:cs="Arial" w:eastAsia="Arial" w:hAnsi="Arial"/>
          <w:sz w:val="16"/>
          <w:szCs w:val="16"/>
          <w:u w:val="single" w:color="auto"/>
          <w:color w:val="auto"/>
        </w:rPr>
        <w:t>Article V</w:t>
      </w:r>
      <w:r>
        <w:rPr>
          <w:rFonts w:ascii="Arial" w:cs="Arial" w:eastAsia="Arial" w:hAnsi="Arial"/>
          <w:sz w:val="16"/>
          <w:szCs w:val="16"/>
          <w:color w:val="auto"/>
        </w:rPr>
        <w:t>, each Investor covenants and agrees that the Securities may be disposed of only pursuant to an effective registration statement under, and in compliance with the requirements of, the 1933 Act, or pursuant to an available exemption from, or in a transaction not subject to, the registration requirements of the 1933 Act, and in compliance with any applicable U.S. state and federal securities laws. In connection with any transfer of the Securities other than (i) pursuant to an effective registration statement, (ii) to the Company, or (iii) pursuant to Rule 144 promulgated by the SEC under the 1933 Act (“</w:t>
      </w:r>
      <w:r>
        <w:rPr>
          <w:rFonts w:ascii="Arial" w:cs="Arial" w:eastAsia="Arial" w:hAnsi="Arial"/>
          <w:sz w:val="16"/>
          <w:szCs w:val="16"/>
          <w:b w:val="1"/>
          <w:bCs w:val="1"/>
          <w:color w:val="auto"/>
        </w:rPr>
        <w:t>Rule 144</w:t>
      </w:r>
      <w:r>
        <w:rPr>
          <w:rFonts w:ascii="Arial" w:cs="Arial" w:eastAsia="Arial" w:hAnsi="Arial"/>
          <w:sz w:val="16"/>
          <w:szCs w:val="16"/>
          <w:color w:val="auto"/>
        </w:rPr>
        <w:t>”) (provided that the Investor provides the Company with reasonable assurances (in the form of seller and, if applicable, broker representation letters) that the Securities may be sold pursuant to such rule) or</w:t>
      </w:r>
    </w:p>
    <w:p>
      <w:pPr>
        <w:spacing w:after="0" w:line="4" w:lineRule="exact"/>
        <w:rPr>
          <w:rFonts w:ascii="Arial" w:cs="Arial" w:eastAsia="Arial" w:hAnsi="Arial"/>
          <w:sz w:val="16"/>
          <w:szCs w:val="16"/>
          <w:color w:val="auto"/>
        </w:rPr>
      </w:pPr>
    </w:p>
    <w:p>
      <w:pPr>
        <w:ind w:left="4" w:right="20" w:hanging="4"/>
        <w:spacing w:after="0" w:line="252" w:lineRule="auto"/>
        <w:tabs>
          <w:tab w:leader="none" w:pos="309"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connection with a bona fide pledge as contemplated in Section 5.12(b), the Company may require the transferor thereof to provide to the Company an opinion of counsel selected by the transferor and reasonably acceptable to the Company, the form and substance of which opinion shall be reasonably satisfactory to the Company, to the effect that such transfer does not require registration of such transferred Securities under the 1933 Act. As a condition of any such transfer, any such transferee shall agree in writing to be bound by the terms of this Agreement and the Registration Rights Agreement and shall have the rights of an Investor under this Agreement and the Registration Rights Agreement with respect to such transferred Securities.</w:t>
      </w:r>
    </w:p>
    <w:p>
      <w:pPr>
        <w:spacing w:after="0" w:line="12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24"/>
          </w:cols>
          <w:pgMar w:left="436" w:top="274" w:right="439" w:bottom="1440" w:gutter="0" w:footer="0" w:header="0"/>
        </w:sectPr>
      </w:pPr>
    </w:p>
    <w:bookmarkStart w:id="48" w:name="page49"/>
    <w:bookmarkEnd w:id="48"/>
    <w:p>
      <w:pPr>
        <w:ind w:left="4" w:right="320" w:firstLine="987"/>
        <w:spacing w:after="0" w:line="308" w:lineRule="auto"/>
        <w:tabs>
          <w:tab w:leader="none" w:pos="1250"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Legend</w:t>
      </w:r>
      <w:r>
        <w:rPr>
          <w:rFonts w:ascii="Arial" w:cs="Arial" w:eastAsia="Arial" w:hAnsi="Arial"/>
          <w:sz w:val="17"/>
          <w:szCs w:val="17"/>
          <w:color w:val="auto"/>
        </w:rPr>
        <w:t>. The Investors understands that, unless provided otherwise in this Agreement, a Pre-Funded Warrant, any of the Shares and Warrant Shares, whether certificated or in book-entry form, will be endorsed with the following legend (and no other legend):</w:t>
      </w:r>
    </w:p>
    <w:p>
      <w:pPr>
        <w:spacing w:after="0" w:line="38" w:lineRule="exact"/>
        <w:rPr>
          <w:sz w:val="20"/>
          <w:szCs w:val="20"/>
          <w:color w:val="auto"/>
        </w:rPr>
      </w:pPr>
    </w:p>
    <w:p>
      <w:pPr>
        <w:ind w:left="444"/>
        <w:spacing w:after="0" w:line="253" w:lineRule="auto"/>
        <w:rPr>
          <w:sz w:val="20"/>
          <w:szCs w:val="20"/>
          <w:color w:val="auto"/>
        </w:rPr>
      </w:pPr>
      <w:r>
        <w:rPr>
          <w:rFonts w:ascii="Arial" w:cs="Arial" w:eastAsia="Arial" w:hAnsi="Arial"/>
          <w:sz w:val="18"/>
          <w:szCs w:val="18"/>
          <w:color w:val="auto"/>
        </w:rPr>
        <w:t>THE SECURITIES REPRESENTED BY THIS CERTIFICATE TO WHICH THIS CONFIRMATION RELATES HAVE NOT BEEN REGISTERED UNDER THE SECURITIES ACT OF 1933, AS AMENDED, OR THE SECURITIES LAWS OF ANY STATE OF THE UNITED STATES. THE SECURITIES MAY NOT BE SOLD, OFFERED FOR SALE, PLEDGED (OTHER THAN IN THE ORDINARY COURSE OF BUSINESS AS PART OF MARGIN OR PRIME BROKERAGE ARRANGEMENTS), HYPOTHECATED, TRANSFERRED OR ASSIGNED IN THE ABSENCE OF AN EFFECTIVE REGISTRATION STATEMENT FOR THE SECURITIES UNDER APPLICABLE SECURITIES LAWS, UNLESS OFFERED, SOLD, PLEDGED, HYPOTHECATED OR TRANSFERRED PURSUANT TO AN AVAILABLE EXEMPTION FROM THE REGISTRATION REQUIREMENTS OF THOSE LAWS. THE COMPANY AND THE DEPOSITARY SHALL BE ENTITLED TO REQUIRE AN OPINION OF COUNSEL SATISFACTORY TO THE COMPANY AND THE DEPOSITARY THAT SUCH REGISTRATION IS NOT REQUIRED.</w:t>
      </w:r>
    </w:p>
    <w:p>
      <w:pPr>
        <w:spacing w:after="0" w:line="196" w:lineRule="exact"/>
        <w:rPr>
          <w:sz w:val="20"/>
          <w:szCs w:val="20"/>
          <w:color w:val="auto"/>
        </w:rPr>
      </w:pPr>
    </w:p>
    <w:p>
      <w:pPr>
        <w:ind w:left="4" w:right="20" w:firstLine="991"/>
        <w:spacing w:after="0" w:line="291" w:lineRule="auto"/>
        <w:rPr>
          <w:sz w:val="20"/>
          <w:szCs w:val="20"/>
          <w:color w:val="auto"/>
        </w:rPr>
      </w:pPr>
      <w:r>
        <w:rPr>
          <w:rFonts w:ascii="Arial" w:cs="Arial" w:eastAsia="Arial" w:hAnsi="Arial"/>
          <w:sz w:val="16"/>
          <w:szCs w:val="16"/>
          <w:color w:val="auto"/>
        </w:rPr>
        <w:t>An Investor may from time to time pledge pursuant to a bona fide margin agreement with a registered broker-dealer or grant a security interest in some or all of the Securities to a financial institution that is an “accredited investor” as defined in Rule 501(a) under the 1933 Act and who agrees to be bound by the provisions of this Agreement and, if required under the terms of such arrangement, such Investor may transfer pledged or secured Securities to the pledgees or secured parties in compliance with applicable law. Such a pledge or transfer would not be subject to approval of the Company and no legal opinion of legal counsel of the pledgee, secured party or pledgor shall be required in connection therewith. Further, no notice shall be required of such pledge. At the applicable Investor’s expense, the Company will execute and deliver such reasonable documentation as a pledgee or secured party of Securities may reasonably request in connection with a pledge or transfer of the Securities.</w:t>
      </w:r>
    </w:p>
    <w:p>
      <w:pPr>
        <w:spacing w:after="0" w:line="166" w:lineRule="exact"/>
        <w:rPr>
          <w:sz w:val="20"/>
          <w:szCs w:val="20"/>
          <w:color w:val="auto"/>
        </w:rPr>
      </w:pPr>
    </w:p>
    <w:p>
      <w:pPr>
        <w:ind w:left="4" w:right="60" w:firstLine="987"/>
        <w:spacing w:after="0" w:line="285" w:lineRule="auto"/>
        <w:tabs>
          <w:tab w:leader="none" w:pos="1240" w:val="left"/>
        </w:tabs>
        <w:numPr>
          <w:ilvl w:val="1"/>
          <w:numId w:val="44"/>
        </w:numPr>
        <w:rPr>
          <w:rFonts w:ascii="Arial" w:cs="Arial" w:eastAsia="Arial" w:hAnsi="Arial"/>
          <w:sz w:val="16"/>
          <w:szCs w:val="16"/>
          <w:color w:val="auto"/>
        </w:rPr>
      </w:pPr>
      <w:r>
        <w:rPr>
          <w:rFonts w:ascii="Arial" w:cs="Arial" w:eastAsia="Arial" w:hAnsi="Arial"/>
          <w:sz w:val="16"/>
          <w:szCs w:val="16"/>
          <w:u w:val="single" w:color="auto"/>
          <w:color w:val="auto"/>
        </w:rPr>
        <w:t>Removal of Legend</w:t>
      </w:r>
      <w:r>
        <w:rPr>
          <w:rFonts w:ascii="Arial" w:cs="Arial" w:eastAsia="Arial" w:hAnsi="Arial"/>
          <w:sz w:val="16"/>
          <w:szCs w:val="16"/>
          <w:color w:val="auto"/>
        </w:rPr>
        <w:t>. Notwithstanding Section 5.12(b), upon the written request of an Investor, the legend set forth in Section 5.12(b) hereof may be removed from the Shares or Warrant Shares held by such Investor (i) while a registration statement covering the resale of such security is effective under the 1933 Act, (ii) following any sale of such Shares or Warrant Shares pursuant to Rule 144, (iii) if such Shares or Warrant Shares are eligible for sale under Rule 144 without the requirement to be in compliance with Rule 144(c)(1), or (iv) if such legend is not required under applicable requirements of the 1933 Act (including judicial interpretations and pronouncements issued by the staff of the SEC), subject in the case of clauses (ii),</w:t>
      </w:r>
    </w:p>
    <w:p>
      <w:pPr>
        <w:spacing w:after="0" w:line="1" w:lineRule="exact"/>
        <w:rPr>
          <w:rFonts w:ascii="Arial" w:cs="Arial" w:eastAsia="Arial" w:hAnsi="Arial"/>
          <w:sz w:val="16"/>
          <w:szCs w:val="16"/>
          <w:color w:val="auto"/>
        </w:rPr>
      </w:pPr>
    </w:p>
    <w:p>
      <w:pPr>
        <w:ind w:left="4" w:right="220" w:hanging="4"/>
        <w:spacing w:after="0" w:line="323" w:lineRule="auto"/>
        <w:tabs>
          <w:tab w:leader="none" w:pos="319" w:val="left"/>
        </w:tabs>
        <w:numPr>
          <w:ilvl w:val="0"/>
          <w:numId w:val="45"/>
        </w:numPr>
        <w:rPr>
          <w:rFonts w:ascii="Arial" w:cs="Arial" w:eastAsia="Arial" w:hAnsi="Arial"/>
          <w:sz w:val="16"/>
          <w:szCs w:val="16"/>
          <w:color w:val="auto"/>
        </w:rPr>
      </w:pPr>
      <w:r>
        <w:rPr>
          <w:rFonts w:ascii="Arial" w:cs="Arial" w:eastAsia="Arial" w:hAnsi="Arial"/>
          <w:sz w:val="16"/>
          <w:szCs w:val="16"/>
          <w:color w:val="auto"/>
        </w:rPr>
        <w:t>and (iv) to receipt from the Investor by the Company and the Transfer Agent of customary representations reasonably acceptable to the Company and the Transfer Agent in connection with such request. Upon such request, the Company shall (A) deliver to the Transfer Agent irrevocable</w:t>
      </w:r>
    </w:p>
    <w:p>
      <w:pPr>
        <w:spacing w:after="0" w:line="7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4"/>
          </w:cols>
          <w:pgMar w:left="436" w:top="274" w:right="459" w:bottom="1440" w:gutter="0" w:footer="0" w:header="0"/>
        </w:sectPr>
      </w:pPr>
    </w:p>
    <w:bookmarkStart w:id="49" w:name="page50"/>
    <w:bookmarkEnd w:id="49"/>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instructions to the Transfer Agent to remove the legend, and (B) cause its counsel to deliver to the Transfer Agent one or more legal opinions to the effect that the removal of such legend in such circumstances may be effected under the 1933 Act if required by the Transfer Agent to effect the removal of the legend in accordance with the provisions of this Agreement. If all or any portion of a Pre-Funded Warrant is exercised and (i) a registration statement covering the resale of such security is then effective under the 1933 Act, (ii) the Warrant Shares issuable upon such exercise are then eligible for sale under Rule 144 and without the requirement to be in compliance with Rule 144(c)(1), or (iii) if a legend is not required under applicable requirements of the 1933 Act (including judicial interpretations and pronouncements issued by the staff of the SEC), then such Warrant Shares shall be issued free of all legends, subject in the case of clauses (ii) and (iii) to receipt from the Investor by the Company and the Transfer Agent of customary representations reasonably acceptable to the Company and the Transfer Agent in connection therewith. The Company agrees that following such time as such legend is no longer required under this Section 5.12(c), it will, no later than two (2) Trading Days following the delivery by an Investor to the Company or the Transfer Agent of a certificate representing the Shares or Warrant Shares, as applicable, issued with a restrictive legend (such second Trading Day, the “</w:t>
      </w:r>
      <w:r>
        <w:rPr>
          <w:rFonts w:ascii="Arial" w:cs="Arial" w:eastAsia="Arial" w:hAnsi="Arial"/>
          <w:sz w:val="17"/>
          <w:szCs w:val="17"/>
          <w:b w:val="1"/>
          <w:bCs w:val="1"/>
          <w:color w:val="auto"/>
        </w:rPr>
        <w:t>Legend Removal Date</w:t>
      </w:r>
      <w:r>
        <w:rPr>
          <w:rFonts w:ascii="Arial" w:cs="Arial" w:eastAsia="Arial" w:hAnsi="Arial"/>
          <w:sz w:val="17"/>
          <w:szCs w:val="17"/>
          <w:color w:val="auto"/>
        </w:rPr>
        <w:t>”), deliver or cause to be delivered to such Investor a certificate representing such shares that is free from all restrictive and other legends.</w:t>
      </w:r>
    </w:p>
    <w:p>
      <w:pPr>
        <w:spacing w:after="0" w:line="179" w:lineRule="exact"/>
        <w:rPr>
          <w:sz w:val="20"/>
          <w:szCs w:val="20"/>
          <w:color w:val="auto"/>
        </w:rPr>
      </w:pPr>
    </w:p>
    <w:p>
      <w:pPr>
        <w:ind w:right="120" w:firstLine="987"/>
        <w:spacing w:after="0" w:line="277" w:lineRule="auto"/>
        <w:tabs>
          <w:tab w:leader="none" w:pos="1246"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Conflicts with Pre</w:t>
      </w:r>
      <w:r>
        <w:rPr>
          <w:rFonts w:ascii="Arial" w:cs="Arial" w:eastAsia="Arial" w:hAnsi="Arial"/>
          <w:sz w:val="18"/>
          <w:szCs w:val="18"/>
          <w:color w:val="auto"/>
        </w:rPr>
        <w:t>-Funded Warrants. In the event of any conflict between the provisions of this Section 5.12 and the provisions of the Pre-Funded Warrants, the terms of the Pre-Funded Warrants shall prevail.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2467610</wp:posOffset>
            </wp:positionH>
            <wp:positionV relativeFrom="paragraph">
              <wp:posOffset>-182245</wp:posOffset>
            </wp:positionV>
            <wp:extent cx="2857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50" w:lineRule="exact"/>
        <w:rPr>
          <w:sz w:val="20"/>
          <w:szCs w:val="20"/>
          <w:color w:val="auto"/>
        </w:rPr>
      </w:pPr>
    </w:p>
    <w:p>
      <w:pPr>
        <w:ind w:right="80" w:firstLine="991"/>
        <w:spacing w:after="0" w:line="286" w:lineRule="auto"/>
        <w:rPr>
          <w:sz w:val="20"/>
          <w:szCs w:val="20"/>
          <w:color w:val="auto"/>
        </w:rPr>
      </w:pPr>
      <w:r>
        <w:rPr>
          <w:rFonts w:ascii="Arial" w:cs="Arial" w:eastAsia="Arial" w:hAnsi="Arial"/>
          <w:sz w:val="17"/>
          <w:szCs w:val="17"/>
          <w:color w:val="auto"/>
        </w:rPr>
        <w:t xml:space="preserve">Section 5.13. </w:t>
      </w:r>
      <w:r>
        <w:rPr>
          <w:rFonts w:ascii="Arial" w:cs="Arial" w:eastAsia="Arial" w:hAnsi="Arial"/>
          <w:sz w:val="17"/>
          <w:szCs w:val="17"/>
          <w:u w:val="single" w:color="auto"/>
          <w:color w:val="auto"/>
        </w:rPr>
        <w:t>Further Instruments and Acts</w:t>
      </w:r>
      <w:r>
        <w:rPr>
          <w:rFonts w:ascii="Arial" w:cs="Arial" w:eastAsia="Arial" w:hAnsi="Arial"/>
          <w:sz w:val="17"/>
          <w:szCs w:val="17"/>
          <w:color w:val="auto"/>
        </w:rPr>
        <w:t>. From the date hereof, the Company and each of the Investors will execute and deliver such further instruments and do such further acts as may be reasonably necessary or proper to carry out more effectively the purposes of this Agreement and the other Transaction Documents and the communication of the transactions contemplated hereby and thereby.</w:t>
      </w:r>
    </w:p>
    <w:p>
      <w:pPr>
        <w:spacing w:after="0" w:line="165" w:lineRule="exact"/>
        <w:rPr>
          <w:sz w:val="20"/>
          <w:szCs w:val="20"/>
          <w:color w:val="auto"/>
        </w:rPr>
      </w:pPr>
    </w:p>
    <w:p>
      <w:pPr>
        <w:ind w:right="20" w:firstLine="991"/>
        <w:spacing w:after="0" w:line="272" w:lineRule="auto"/>
        <w:rPr>
          <w:sz w:val="20"/>
          <w:szCs w:val="20"/>
          <w:color w:val="auto"/>
        </w:rPr>
      </w:pPr>
      <w:r>
        <w:rPr>
          <w:rFonts w:ascii="Arial" w:cs="Arial" w:eastAsia="Arial" w:hAnsi="Arial"/>
          <w:sz w:val="17"/>
          <w:szCs w:val="17"/>
          <w:color w:val="auto"/>
        </w:rPr>
        <w:t xml:space="preserve">Section 5.14. </w:t>
      </w:r>
      <w:r>
        <w:rPr>
          <w:rFonts w:ascii="Arial" w:cs="Arial" w:eastAsia="Arial" w:hAnsi="Arial"/>
          <w:sz w:val="17"/>
          <w:szCs w:val="17"/>
          <w:u w:val="single" w:color="auto"/>
          <w:color w:val="auto"/>
        </w:rPr>
        <w:t>Public Information</w:t>
      </w:r>
      <w:r>
        <w:rPr>
          <w:rFonts w:ascii="Arial" w:cs="Arial" w:eastAsia="Arial" w:hAnsi="Arial"/>
          <w:sz w:val="17"/>
          <w:szCs w:val="17"/>
          <w:color w:val="auto"/>
        </w:rPr>
        <w:t>. At any time during the period commencing on the Closing Date and ending at such time that all of the Shares and Warrant Shares of an Investor, if a registration statement is not available for the resale of all of the Shares and Warrant Shares of an Investor, may be sold without restriction or limitation pursuant to Rule 144 and without the requirement to be in compliance with Rule 144(c)(1), the Company covenants to timely file on the applicable deadline all reports required to be filed with the SEC pursuant to Sections 13 or 15(d) of the 1934 Act, and will take all reasonable action under its Control to ensure that adequate public information with respect to the Company, as required in accordance with Rule 144 of the 1933 Act, is publicly available, and will not terminate its status as an issuer required to file reports under the 1934 Act, even if the 1934 Act or the rules and regulations thereunder would permit such termination.</w:t>
      </w:r>
    </w:p>
    <w:p>
      <w:pPr>
        <w:spacing w:after="0" w:line="177" w:lineRule="exact"/>
        <w:rPr>
          <w:sz w:val="20"/>
          <w:szCs w:val="20"/>
          <w:color w:val="auto"/>
        </w:rPr>
      </w:pPr>
    </w:p>
    <w:p>
      <w:pPr>
        <w:ind w:right="100" w:firstLine="991"/>
        <w:spacing w:after="0" w:line="296" w:lineRule="auto"/>
        <w:rPr>
          <w:sz w:val="20"/>
          <w:szCs w:val="20"/>
          <w:color w:val="auto"/>
        </w:rPr>
      </w:pPr>
      <w:r>
        <w:rPr>
          <w:rFonts w:ascii="Arial" w:cs="Arial" w:eastAsia="Arial" w:hAnsi="Arial"/>
          <w:sz w:val="16"/>
          <w:szCs w:val="16"/>
          <w:color w:val="auto"/>
        </w:rPr>
        <w:t xml:space="preserve">Section 5.15. </w:t>
      </w:r>
      <w:r>
        <w:rPr>
          <w:rFonts w:ascii="Arial" w:cs="Arial" w:eastAsia="Arial" w:hAnsi="Arial"/>
          <w:sz w:val="16"/>
          <w:szCs w:val="16"/>
          <w:u w:val="single" w:color="auto"/>
          <w:color w:val="auto"/>
        </w:rPr>
        <w:t>Equal Treatment of Investors</w:t>
      </w:r>
      <w:r>
        <w:rPr>
          <w:rFonts w:ascii="Arial" w:cs="Arial" w:eastAsia="Arial" w:hAnsi="Arial"/>
          <w:sz w:val="16"/>
          <w:szCs w:val="16"/>
          <w:color w:val="auto"/>
        </w:rPr>
        <w:t>. No consideration (including any modification of any Transaction Document) shall be offered or paid to any Person to amend or consent to a waiver or modification of any provision of the Transaction Documents unless the same consideration is also offered to all of the parties to the Transaction Documents. For clarification purposes, this provision constitutes a separate right granted to each Investor by the Company and negotiated separately by each Investor, and is intended for the Company to treat the Investors as a class and shall not in any way be construed as the Investors acting in concert or as a group with respect to the purchase, disposition or voting of Securities or otherwise.</w:t>
      </w: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60"/>
          </w:cols>
          <w:pgMar w:left="440" w:top="274" w:right="499" w:bottom="1440" w:gutter="0" w:footer="0" w:header="0"/>
        </w:sectPr>
      </w:pPr>
    </w:p>
    <w:bookmarkStart w:id="50" w:name="page51"/>
    <w:bookmarkEnd w:id="50"/>
    <w:p>
      <w:pPr>
        <w:ind w:left="4" w:firstLine="991"/>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5.16. </w:t>
      </w:r>
      <w:r>
        <w:rPr>
          <w:rFonts w:ascii="Arial" w:cs="Arial" w:eastAsia="Arial" w:hAnsi="Arial"/>
          <w:sz w:val="16"/>
          <w:szCs w:val="16"/>
          <w:u w:val="single" w:color="auto"/>
          <w:color w:val="auto"/>
        </w:rPr>
        <w:t>Indemnification of Purchasers</w:t>
      </w:r>
      <w:r>
        <w:rPr>
          <w:rFonts w:ascii="Arial" w:cs="Arial" w:eastAsia="Arial" w:hAnsi="Arial"/>
          <w:sz w:val="16"/>
          <w:szCs w:val="16"/>
          <w:color w:val="auto"/>
        </w:rPr>
        <w:t>. Subject to the provisions of this Section 5.16, the Company will indemnify, defend and hold each Investor and its directors, officers, shareholders, members, partners, employees and agents (and any other Persons with a functionally equivalent role of a Person holding such titles notwithstanding a lack of such title or any other title), each Person who controls such Investor (within the meaning of Section 15 of the 1933 Act and Section 20 of the 1934 Act), and the directors, officers, shareholders, agents, members, partners or employees (and any other Persons with a functionally equivalent role of a Person holding such titles notwithstanding a lack of such title or any other title) of such controlling persons (each, a “</w:t>
      </w:r>
      <w:r>
        <w:rPr>
          <w:rFonts w:ascii="Arial" w:cs="Arial" w:eastAsia="Arial" w:hAnsi="Arial"/>
          <w:sz w:val="16"/>
          <w:szCs w:val="16"/>
          <w:b w:val="1"/>
          <w:bCs w:val="1"/>
          <w:color w:val="auto"/>
        </w:rPr>
        <w:t>Investor Party</w:t>
      </w:r>
      <w:r>
        <w:rPr>
          <w:rFonts w:ascii="Arial" w:cs="Arial" w:eastAsia="Arial" w:hAnsi="Arial"/>
          <w:sz w:val="16"/>
          <w:szCs w:val="16"/>
          <w:color w:val="auto"/>
        </w:rPr>
        <w:t>”) harmless from, and shall reimburse each Investor Party for, any and all losses, liabilities, obligations, claims, contingencies, damages, costs and expenses, including all judgments, amounts paid in settlements, court costs and reasonable attorneys’ fees, costs of investigation, costs of participation (including as a deponent or witness) that any such Investor Party may suffer or incur as a result of or relating to</w:t>
      </w:r>
    </w:p>
    <w:p>
      <w:pPr>
        <w:spacing w:after="0" w:line="1" w:lineRule="exact"/>
        <w:rPr>
          <w:sz w:val="20"/>
          <w:szCs w:val="20"/>
          <w:color w:val="auto"/>
        </w:rPr>
      </w:pPr>
    </w:p>
    <w:p>
      <w:pPr>
        <w:ind w:left="4" w:hanging="4"/>
        <w:spacing w:after="0" w:line="266" w:lineRule="auto"/>
        <w:tabs>
          <w:tab w:leader="none" w:pos="249" w:val="left"/>
        </w:tabs>
        <w:numPr>
          <w:ilvl w:val="0"/>
          <w:numId w:val="47"/>
        </w:numPr>
        <w:rPr>
          <w:rFonts w:ascii="Arial" w:cs="Arial" w:eastAsia="Arial" w:hAnsi="Arial"/>
          <w:sz w:val="17"/>
          <w:szCs w:val="17"/>
          <w:color w:val="auto"/>
        </w:rPr>
      </w:pPr>
      <w:r>
        <w:rPr>
          <w:rFonts w:ascii="Arial" w:cs="Arial" w:eastAsia="Arial" w:hAnsi="Arial"/>
          <w:sz w:val="17"/>
          <w:szCs w:val="17"/>
          <w:color w:val="auto"/>
        </w:rPr>
        <w:t>any breach of any of the representations, warranties, covenants or agreements made by the Company in this Agreement or in the other Transaction Documents or (b) any action instituted against the Investor Parties in any capacity, or any of them or their respective Affiliates, by any stockholder of the Company who is not an Affiliate of such Investor Party, with respect to any of the transactions contemplated by the Transaction Documents (unless such action is based upon a breach of such Investor Party’s representations, warranties or covenants under the Transaction Documents or any agreements or understandings such Investor Party may have with any such stockholder or any violations by such Investor Party of securities laws or any conduct by such Investor Party which constitutes fraud, gross negligence, willful misconduct or malfeasance, in each case, as finally determined by a non-appealable judgment of a court of competent jurisdiction). If any action shall be brought against any Investor Party in respect of which indemnity may be sought pursuant to this Agreement, such Investor Party shall promptly notify the Company in writing (provided that the failure to give prompt notice shall not impair any Investor Party’s right to indemnification hereunder to the extent such failure has not materially prejudiced the indemnifying party in defending such claim), and the Company shall have the right to assume the defense thereof with counsel of its own choosing reasonably acceptable to the Investor Party. Notwithstanding anything to the contrary contained herein, the Company shall not, without the prior written consent of each Investor Party entitled to indemnification, consent to entry of any judgment or enter into any settlement or other compromise with respect to any claim in respect of which indemnification or contribution may be or has been sought hereunder which does not include as an unconditional term thereof the giving by the claimant or plaintiff to each Investor Party entitled to indemnification of a full release from all liability with respect to such claim or which includes any admission as to fault or culpability or failure to act on the part of any indemnified Investor Party. Any Investor Party shall have the right to employ separate counsel in any such action and participate in the defense thereof, but the fees and expenses of such counsel shall be at the expense of such Investor Party except to the extent that (i) the employment thereof at the Company’s expense has been specifically authorized by the Company in writing, (ii) the Company has failed after a reasonable period of time to assume such defense and to employ counsel or (iii) in such action there is, in the reasonable opinion of such Investor Party’s counsel, a material conflict on any material issue between the position of the Company and the position of such Investor Party, in which case the Company shall be responsible for the reasonable fees and expenses of no more than one such separate counsel, together with</w:t>
      </w:r>
    </w:p>
    <w:p>
      <w:pPr>
        <w:spacing w:after="0" w:line="12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4"/>
          </w:cols>
          <w:pgMar w:left="436" w:top="274" w:right="459" w:bottom="1440" w:gutter="0" w:footer="0" w:header="0"/>
        </w:sectPr>
      </w:pPr>
    </w:p>
    <w:bookmarkStart w:id="51" w:name="page52"/>
    <w:bookmarkEnd w:id="51"/>
    <w:p>
      <w:pPr>
        <w:ind w:right="2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local counsel, for all Investor Parties. The Company will not be liable to any Investor Party under this Agreement for any settlement by an Investor Party effected without the Company’s prior written consent, which shall not be unreasonably withheld, conditioned or delayed; or to the extent, but only to the extent that a loss, claim, damage or liability is attributable to (A) any Investor Party’s breach of any of the representations, warranties, covenants or agreements made by such Investor Party in this Agreement or in the other Transaction Documents or (B) any conduct by such Investor Party which constitutes gross negligence, willful misconduct or malfeasance. The indemnity agreements contained herein shall be in addition to any cause of action or similar right of any Investor Party against the Company or others and any liabilities the Company may be subject to pursuant to law.</w:t>
      </w:r>
    </w:p>
    <w:p>
      <w:pPr>
        <w:spacing w:after="0" w:line="164" w:lineRule="exact"/>
        <w:rPr>
          <w:sz w:val="20"/>
          <w:szCs w:val="20"/>
          <w:color w:val="auto"/>
        </w:rPr>
      </w:pPr>
    </w:p>
    <w:p>
      <w:pPr>
        <w:ind w:firstLine="991"/>
        <w:spacing w:after="0" w:line="270" w:lineRule="auto"/>
        <w:rPr>
          <w:sz w:val="20"/>
          <w:szCs w:val="20"/>
          <w:color w:val="auto"/>
        </w:rPr>
      </w:pPr>
      <w:r>
        <w:rPr>
          <w:rFonts w:ascii="Arial" w:cs="Arial" w:eastAsia="Arial" w:hAnsi="Arial"/>
          <w:sz w:val="17"/>
          <w:szCs w:val="17"/>
          <w:color w:val="auto"/>
        </w:rPr>
        <w:t xml:space="preserve">Section 5.17. </w:t>
      </w:r>
      <w:r>
        <w:rPr>
          <w:rFonts w:ascii="Arial" w:cs="Arial" w:eastAsia="Arial" w:hAnsi="Arial"/>
          <w:sz w:val="17"/>
          <w:szCs w:val="17"/>
          <w:u w:val="single" w:color="auto"/>
          <w:color w:val="auto"/>
        </w:rPr>
        <w:t>Section 16 Matters</w:t>
      </w:r>
      <w:r>
        <w:rPr>
          <w:rFonts w:ascii="Arial" w:cs="Arial" w:eastAsia="Arial" w:hAnsi="Arial"/>
          <w:sz w:val="17"/>
          <w:szCs w:val="17"/>
          <w:color w:val="auto"/>
        </w:rPr>
        <w:t>. Prior to the Closing Date, the Company shall take such steps as may be permitted to cause the transactions contemplated hereby, including any related acquisition (or deemed acquisition) from the Company, or disposition (or deemed disposition) to the Company, of Pre-Funded Warrants or Securities (or, in each case, derivative securities relating thereto) by each of the Deerfield Funds and their respective Affiliates, and by each other individual who is or will be subject to the reporting requirements of Section 16(a) of the 1934 Act with respect to either Deerfield Fund’s participation in the transactions contemplated by this Agreement, to be exempt from Section 16(b) of the 1934 Act pursuant to Rule 16b-3 thereunder (if and to the extent any such transaction, acquisition (or deemed acquisition) or disposition (or deemed disposition) would otherwise be subject to Section 16(b) of the 1934 Act), in a manner reasonably acceptable to each of the Deerfield Funds, and prior to the Closing shall provide to each of the Deerfield Funds copies of resolutions of the Company Board (in a form reasonably acceptable to such Investor) approving such transactions for purposes thereof, certified by the Secretary of the Company.</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GOVERNING LAW; MISCELLANEOUS</w:t>
      </w:r>
    </w:p>
    <w:p>
      <w:pPr>
        <w:spacing w:after="0" w:line="211" w:lineRule="exact"/>
        <w:rPr>
          <w:sz w:val="20"/>
          <w:szCs w:val="20"/>
          <w:color w:val="auto"/>
        </w:rPr>
      </w:pPr>
    </w:p>
    <w:p>
      <w:pPr>
        <w:ind w:right="20" w:firstLine="991"/>
        <w:spacing w:after="0" w:line="268" w:lineRule="auto"/>
        <w:rPr>
          <w:sz w:val="20"/>
          <w:szCs w:val="20"/>
          <w:color w:val="auto"/>
        </w:rPr>
      </w:pPr>
      <w:r>
        <w:rPr>
          <w:rFonts w:ascii="Arial" w:cs="Arial" w:eastAsia="Arial" w:hAnsi="Arial"/>
          <w:sz w:val="17"/>
          <w:szCs w:val="17"/>
          <w:color w:val="auto"/>
        </w:rPr>
        <w:t xml:space="preserve">Section 6.01. </w:t>
      </w:r>
      <w:r>
        <w:rPr>
          <w:rFonts w:ascii="Arial" w:cs="Arial" w:eastAsia="Arial" w:hAnsi="Arial"/>
          <w:sz w:val="17"/>
          <w:szCs w:val="17"/>
          <w:u w:val="single" w:color="auto"/>
          <w:color w:val="auto"/>
        </w:rPr>
        <w:t>Governing Law; Jurisdiction; Jury Trial</w:t>
      </w:r>
      <w:r>
        <w:rPr>
          <w:rFonts w:ascii="Arial" w:cs="Arial" w:eastAsia="Arial" w:hAnsi="Arial"/>
          <w:sz w:val="17"/>
          <w:szCs w:val="17"/>
          <w:color w:val="auto"/>
        </w:rPr>
        <w:t>. All questions concerning the construction, validity, enforcement and interpretation of this Agreement shall be governed by the internal laws of the State of Delaware, without giving effect to any choice of law or conflict of law provision or rule (whether of the State of Delaware or any other jurisdiction) that would cause the application of the laws of any jurisdiction other than the State of Delaware. Each party hereby irrevocably submits to the exclusive jurisdiction of the courts of the State of Delaware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for such notices to it under this Agreement and agrees that such service shall constitute good and sufficient service of process and notice thereof. Nothing contained herein shall be deemed to limit in any way any right to serve process in any manner permitted by law. EACH PARTY HEREBY IRREVOCABLY WAIVES ANY RIGHT IT MAY HAVE, AND AGREES NOT TO REQUEST, A JURY TRIAL FOR THE ADJUDICATION OF ANY DISPUTE HEREUNDER OR IN CONNECTION HEREWITH OR ARISING OUT OF THIS AGREEMENT OR ANY TRANSACTION CONTEMPLATED HEREBY.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20"/>
          </w:cols>
          <w:pgMar w:left="440" w:top="274" w:right="439" w:bottom="1440" w:gutter="0" w:footer="0" w:header="0"/>
        </w:sectPr>
      </w:pPr>
    </w:p>
    <w:bookmarkStart w:id="52" w:name="page53"/>
    <w:bookmarkEnd w:id="52"/>
    <w:p>
      <w:pPr>
        <w:ind w:right="80" w:firstLine="991"/>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6.02. </w:t>
      </w:r>
      <w:r>
        <w:rPr>
          <w:rFonts w:ascii="Arial" w:cs="Arial" w:eastAsia="Arial" w:hAnsi="Arial"/>
          <w:sz w:val="17"/>
          <w:szCs w:val="17"/>
          <w:u w:val="single" w:color="auto"/>
          <w:color w:val="auto"/>
        </w:rPr>
        <w:t>Termination</w:t>
      </w:r>
      <w:r>
        <w:rPr>
          <w:rFonts w:ascii="Arial" w:cs="Arial" w:eastAsia="Arial" w:hAnsi="Arial"/>
          <w:sz w:val="17"/>
          <w:szCs w:val="17"/>
          <w:color w:val="auto"/>
        </w:rPr>
        <w:t>. Each Investor’s obligation to purchase Securities hereunder shall terminate and be void and of no further force and effect, and all rights and obligations of the parties hereunder shall terminate without any further liability on the part of any party in respect thereof upon (i) the fifth trading day following the date of this Agreement to the extent the Closing has not yet occurred unless otherwise waived by an Investor with respect to their obligations hereunder, or (ii) the mutual written agreement of the Company and all of the Investors to terminate this Agreement; provided, that nothing herein will relieve any party from liability for any willful breach hereof prior to the time of termination, and each party will be entitled to any remedies at law or in equity to recover losses, liabilities or damages arising from such breach.</w:t>
      </w:r>
    </w:p>
    <w:p>
      <w:pPr>
        <w:spacing w:after="0" w:line="178" w:lineRule="exact"/>
        <w:rPr>
          <w:sz w:val="20"/>
          <w:szCs w:val="20"/>
          <w:color w:val="auto"/>
        </w:rPr>
      </w:pPr>
    </w:p>
    <w:p>
      <w:pPr>
        <w:ind w:right="740" w:firstLine="991"/>
        <w:spacing w:after="0" w:line="277" w:lineRule="auto"/>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this Agreement are for convenience of reference and shall not form part of, or affect the interpretation of, this Agreement.</w:t>
      </w:r>
    </w:p>
    <w:p>
      <w:pPr>
        <w:spacing w:after="0" w:line="170" w:lineRule="exact"/>
        <w:rPr>
          <w:sz w:val="20"/>
          <w:szCs w:val="20"/>
          <w:color w:val="auto"/>
        </w:rPr>
      </w:pPr>
    </w:p>
    <w:p>
      <w:pPr>
        <w:ind w:right="180" w:firstLine="991"/>
        <w:spacing w:after="0" w:line="257" w:lineRule="auto"/>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shall be invalid or unenforceable in any jurisdiction, such invalidity or unenforceability shall not affect the validity or enforceability of the remainder of this Agreement in that jurisdiction or the validity or enforceability of any provision of this Agreement in any other jurisdiction.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188" w:lineRule="exact"/>
        <w:rPr>
          <w:sz w:val="20"/>
          <w:szCs w:val="20"/>
          <w:color w:val="auto"/>
        </w:rPr>
      </w:pPr>
    </w:p>
    <w:p>
      <w:pPr>
        <w:ind w:firstLine="991"/>
        <w:spacing w:after="0" w:line="268" w:lineRule="auto"/>
        <w:rPr>
          <w:sz w:val="20"/>
          <w:szCs w:val="20"/>
          <w:color w:val="auto"/>
        </w:rPr>
      </w:pPr>
      <w:r>
        <w:rPr>
          <w:rFonts w:ascii="Arial" w:cs="Arial" w:eastAsia="Arial" w:hAnsi="Arial"/>
          <w:sz w:val="17"/>
          <w:szCs w:val="17"/>
          <w:color w:val="auto"/>
        </w:rPr>
        <w:t xml:space="preserve">Section 6.05. </w:t>
      </w:r>
      <w:r>
        <w:rPr>
          <w:rFonts w:ascii="Arial" w:cs="Arial" w:eastAsia="Arial" w:hAnsi="Arial"/>
          <w:sz w:val="17"/>
          <w:szCs w:val="17"/>
          <w:u w:val="single" w:color="auto"/>
          <w:color w:val="auto"/>
        </w:rPr>
        <w:t>Entire Agreement; Amendments; Waivers</w:t>
      </w:r>
      <w:r>
        <w:rPr>
          <w:rFonts w:ascii="Arial" w:cs="Arial" w:eastAsia="Arial" w:hAnsi="Arial"/>
          <w:sz w:val="17"/>
          <w:szCs w:val="17"/>
          <w:color w:val="auto"/>
        </w:rPr>
        <w:t xml:space="preserve">. This Agreement, together with the other Transaction Documents, supersedes all other </w:t>
      </w:r>
      <w:r>
        <w:rPr>
          <w:rFonts w:ascii="Arial" w:cs="Arial" w:eastAsia="Arial" w:hAnsi="Arial"/>
          <w:sz w:val="17"/>
          <w:szCs w:val="17"/>
          <w:u w:val="single" w:color="auto"/>
          <w:color w:val="auto"/>
        </w:rPr>
        <w:t>prior</w:t>
      </w:r>
      <w:r>
        <w:rPr>
          <w:rFonts w:ascii="Arial" w:cs="Arial" w:eastAsia="Arial" w:hAnsi="Arial"/>
          <w:sz w:val="17"/>
          <w:szCs w:val="17"/>
          <w:color w:val="auto"/>
        </w:rPr>
        <w:t xml:space="preserve"> oral or written agreements among each Investor, the Company and its Subsidiaries, their Affiliates and Persons acting on their behalf with respect to the matters discussed herein, and this Agreement and the instruments referenced herein contain the entire understanding of the parties hereto with respect to the matters covered herein and therein. No provision of this Agreement may be waived, modified, supplemented or amended other than by an instrument in writing signed by (i) the Company and (ii) the Investor to which such amendment relates, provided, that the Company shall not enter into any amendment, modification or waiver that provides an Investor with more favorable terms without first offering to enter into the same amendment, modification or waiver with each other Investor. No failure or delay on the part of a party in either exercising or enforcing any right under this Agreement shall operate as a waiver of, or impair, any such right. No single or partial exercise or enforcement of any such right shall preclude any other or further exercise or enforcement thereof or the exercise or enforcement of any other right. No waiver of any such right shall be deemed a waiver of any other right. </w:t>
      </w:r>
      <w:r>
        <w:rPr>
          <w:rFonts w:ascii="Arial" w:cs="Arial" w:eastAsia="Arial" w:hAnsi="Arial"/>
          <w:sz w:val="17"/>
          <w:szCs w:val="17"/>
          <w:u w:val="single" w:color="auto"/>
          <w:color w:val="auto"/>
        </w:rPr>
        <w:t>Notices</w:t>
      </w:r>
      <w:r>
        <w:rPr>
          <w:rFonts w:ascii="Arial" w:cs="Arial" w:eastAsia="Arial" w:hAnsi="Arial"/>
          <w:sz w:val="17"/>
          <w:szCs w:val="17"/>
          <w:color w:val="auto"/>
        </w:rPr>
        <w:t>. Any notices, consents, waivers or other communications required or permitted to be given under the terms of this Agreement must be in writing and will be deemed to have been delivered upon receipt, when delivered personally or by a nationally recognized overnight delivery service or by electronic transmission (including e-mail, provided that notice shall not be considered given if the sender receives an automatic system-generated response that such e-mail was undeliverable), in each case properly addressed to the party to receive the same. The addresses for such communications shall be:</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274" w:right="459" w:bottom="1440" w:gutter="0" w:footer="0" w:header="0"/>
        </w:sectPr>
      </w:pPr>
    </w:p>
    <w:bookmarkStart w:id="53" w:name="page54"/>
    <w:bookmarkEnd w:id="53"/>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to the Company:</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Larimar Therapeutics, Inc.</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Three Bala Plaza East, Suite 506,</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Bala Cynwyd, PA 19004</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Michael Celano.</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Mcelano@larimartx.com</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With copy (which shall not constitute notice) to:</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Troutman Pepper Hamilton Sanders LLP</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3000 Two Logan Square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Philadelphia, PA 19103-2799</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Rachael M. Bushey and Jennifer Porter</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Rachael.Bushey@troutman.com; Jennifer.porter@troutman.com</w:t>
      </w:r>
    </w:p>
    <w:p>
      <w:pPr>
        <w:spacing w:after="0" w:line="21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If to an Investor, to it at the address set forth under such Investor’s name (with copies to the persons and at the address set forth under such Investor’s name) on its signature page hereto, or, in the case of an Investor or any other party named above, at such other address or to the attention of such other Person as the recipient party has specified by written notice given to each other party five (5) days prior to the effectiveness of such change. Written confirmation of receipt (A) given by the recipient of such notice, consent, waiver or other communication; (B) provided by affidavit of personal delivery by a delivery service selected by the Company; or (C) provided by a nationally recognized overnight delivery service shall be rebuttable evidence of personal service, deposit with a nationally recognized overnight delivery service or electronic transmission.</w:t>
      </w:r>
    </w:p>
    <w:p>
      <w:pPr>
        <w:spacing w:after="0" w:line="164" w:lineRule="exact"/>
        <w:rPr>
          <w:sz w:val="20"/>
          <w:szCs w:val="20"/>
          <w:color w:val="auto"/>
        </w:rPr>
      </w:pPr>
    </w:p>
    <w:p>
      <w:pPr>
        <w:ind w:right="60" w:firstLine="991"/>
        <w:spacing w:after="0" w:line="259" w:lineRule="auto"/>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xml:space="preserve">. This Agreement shall be binding upon and inure to the benefit of the parties hereto and their respective successors and assigns, including any purchasers of the Securities. The Company shall not assign this Agreement or any rights or obligations hereunder without the prior written consent of the Required Investors. The </w:t>
      </w:r>
      <w:r>
        <w:rPr>
          <w:rFonts w:ascii="Arial" w:cs="Arial" w:eastAsia="Arial" w:hAnsi="Arial"/>
          <w:sz w:val="18"/>
          <w:szCs w:val="18"/>
          <w:u w:val="single" w:color="auto"/>
          <w:color w:val="auto"/>
        </w:rPr>
        <w:t>Schedule of Investors</w:t>
      </w:r>
      <w:r>
        <w:rPr>
          <w:rFonts w:ascii="Arial" w:cs="Arial" w:eastAsia="Arial" w:hAnsi="Arial"/>
          <w:sz w:val="18"/>
          <w:szCs w:val="18"/>
          <w:color w:val="auto"/>
        </w:rPr>
        <w:t xml:space="preserve"> attached hereto shall be updated to reflect the information with respect to such transferee, designee or assignee.</w:t>
      </w:r>
    </w:p>
    <w:p>
      <w:pPr>
        <w:spacing w:after="0" w:line="187" w:lineRule="exact"/>
        <w:rPr>
          <w:sz w:val="20"/>
          <w:szCs w:val="20"/>
          <w:color w:val="auto"/>
        </w:rPr>
      </w:pPr>
    </w:p>
    <w:p>
      <w:pPr>
        <w:jc w:val="both"/>
        <w:ind w:right="80" w:firstLine="991"/>
        <w:spacing w:after="0" w:line="263" w:lineRule="auto"/>
        <w:rPr>
          <w:sz w:val="20"/>
          <w:szCs w:val="20"/>
          <w:color w:val="auto"/>
        </w:rPr>
      </w:pPr>
      <w:r>
        <w:rPr>
          <w:rFonts w:ascii="Arial" w:cs="Arial" w:eastAsia="Arial" w:hAnsi="Arial"/>
          <w:sz w:val="18"/>
          <w:szCs w:val="18"/>
          <w:color w:val="auto"/>
        </w:rPr>
        <w:t xml:space="preserve">Section 6.07. </w:t>
      </w:r>
      <w:r>
        <w:rPr>
          <w:rFonts w:ascii="Arial" w:cs="Arial" w:eastAsia="Arial" w:hAnsi="Arial"/>
          <w:sz w:val="18"/>
          <w:szCs w:val="18"/>
          <w:u w:val="single" w:color="auto"/>
          <w:color w:val="auto"/>
        </w:rPr>
        <w:t>No Third-Party Beneficiaries</w:t>
      </w:r>
      <w:r>
        <w:rPr>
          <w:rFonts w:ascii="Arial" w:cs="Arial" w:eastAsia="Arial" w:hAnsi="Arial"/>
          <w:sz w:val="18"/>
          <w:szCs w:val="18"/>
          <w:color w:val="auto"/>
        </w:rPr>
        <w:t>. This Agreement is intended for the benefit of the parties hereto and their respective permitted successors and assigns and is not for the benefit of, nor may any provision hereof be enforced by, any other Person, except as provided in Section 5.16 with respect to Investor Parties.</w:t>
      </w:r>
    </w:p>
    <w:p>
      <w:pPr>
        <w:spacing w:after="0" w:line="184" w:lineRule="exact"/>
        <w:rPr>
          <w:sz w:val="20"/>
          <w:szCs w:val="20"/>
          <w:color w:val="auto"/>
        </w:rPr>
      </w:pPr>
    </w:p>
    <w:p>
      <w:pPr>
        <w:ind w:right="380" w:firstLine="991"/>
        <w:spacing w:after="0" w:line="263" w:lineRule="auto"/>
        <w:rPr>
          <w:sz w:val="20"/>
          <w:szCs w:val="20"/>
          <w:color w:val="auto"/>
        </w:rPr>
      </w:pPr>
      <w:r>
        <w:rPr>
          <w:rFonts w:ascii="Arial" w:cs="Arial" w:eastAsia="Arial" w:hAnsi="Arial"/>
          <w:sz w:val="18"/>
          <w:szCs w:val="18"/>
          <w:color w:val="auto"/>
        </w:rPr>
        <w:t xml:space="preserve">Section 6.08. </w:t>
      </w: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The representations and warranties of the Company and the Investors contained in </w:t>
      </w:r>
      <w:r>
        <w:rPr>
          <w:rFonts w:ascii="Arial" w:cs="Arial" w:eastAsia="Arial" w:hAnsi="Arial"/>
          <w:sz w:val="18"/>
          <w:szCs w:val="18"/>
          <w:u w:val="single" w:color="auto"/>
          <w:color w:val="auto"/>
        </w:rPr>
        <w:t>Articles III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IV</w:t>
      </w:r>
      <w:r>
        <w:rPr>
          <w:rFonts w:ascii="Arial" w:cs="Arial" w:eastAsia="Arial" w:hAnsi="Arial"/>
          <w:sz w:val="18"/>
          <w:szCs w:val="18"/>
          <w:color w:val="auto"/>
        </w:rPr>
        <w:t xml:space="preserve">, and the agreements and covenants set forth in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and this </w:t>
      </w:r>
      <w:r>
        <w:rPr>
          <w:rFonts w:ascii="Arial" w:cs="Arial" w:eastAsia="Arial" w:hAnsi="Arial"/>
          <w:sz w:val="18"/>
          <w:szCs w:val="18"/>
          <w:u w:val="single" w:color="auto"/>
          <w:color w:val="auto"/>
        </w:rPr>
        <w:t>Article VI</w:t>
      </w:r>
      <w:r>
        <w:rPr>
          <w:rFonts w:ascii="Arial" w:cs="Arial" w:eastAsia="Arial" w:hAnsi="Arial"/>
          <w:sz w:val="18"/>
          <w:szCs w:val="18"/>
          <w:color w:val="auto"/>
        </w:rPr>
        <w:t>, shall survive the Closing. Each Investor shall be responsible only for its own representations, warranties, agreements and covenants hereunder.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80"/>
          </w:cols>
          <w:pgMar w:left="440" w:top="274" w:right="479" w:bottom="1440" w:gutter="0" w:footer="0" w:header="0"/>
        </w:sectPr>
      </w:pPr>
    </w:p>
    <w:bookmarkStart w:id="54" w:name="page55"/>
    <w:bookmarkEnd w:id="54"/>
    <w:p>
      <w:pPr>
        <w:ind w:firstLine="991"/>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6.09. </w:t>
      </w:r>
      <w:r>
        <w:rPr>
          <w:rFonts w:ascii="Arial" w:cs="Arial" w:eastAsia="Arial" w:hAnsi="Arial"/>
          <w:sz w:val="16"/>
          <w:szCs w:val="16"/>
          <w:u w:val="single" w:color="auto"/>
          <w:color w:val="auto"/>
        </w:rPr>
        <w:t>Further Assurances</w:t>
      </w:r>
      <w:r>
        <w:rPr>
          <w:rFonts w:ascii="Arial" w:cs="Arial" w:eastAsia="Arial" w:hAnsi="Arial"/>
          <w:sz w:val="16"/>
          <w:szCs w:val="16"/>
          <w:color w:val="auto"/>
        </w:rPr>
        <w:t>.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spacing w:after="0" w:line="149"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u w:val="single" w:color="auto"/>
          <w:color w:val="auto"/>
        </w:rPr>
        <w:t>No Strict Construction</w:t>
      </w:r>
      <w:r>
        <w:rPr>
          <w:rFonts w:ascii="Arial" w:cs="Arial" w:eastAsia="Arial" w:hAnsi="Arial"/>
          <w:sz w:val="18"/>
          <w:szCs w:val="18"/>
          <w:color w:val="auto"/>
        </w:rPr>
        <w:t>. The language used in this Agreement will be deemed to be the language chosen by the parties thereto express their mutual intent, and no rules of strict construction will be applied against any party.</w:t>
      </w:r>
    </w:p>
    <w:p>
      <w:pPr>
        <w:spacing w:after="0" w:line="170" w:lineRule="exact"/>
        <w:rPr>
          <w:sz w:val="20"/>
          <w:szCs w:val="20"/>
          <w:color w:val="auto"/>
        </w:rPr>
      </w:pPr>
    </w:p>
    <w:p>
      <w:pPr>
        <w:ind w:right="60" w:firstLine="991"/>
        <w:spacing w:after="0" w:line="272" w:lineRule="auto"/>
        <w:rPr>
          <w:sz w:val="20"/>
          <w:szCs w:val="20"/>
          <w:color w:val="auto"/>
        </w:rPr>
      </w:pPr>
      <w:r>
        <w:rPr>
          <w:rFonts w:ascii="Arial" w:cs="Arial" w:eastAsia="Arial" w:hAnsi="Arial"/>
          <w:sz w:val="17"/>
          <w:szCs w:val="17"/>
          <w:color w:val="auto"/>
        </w:rPr>
        <w:t xml:space="preserve">Section 6.11. </w:t>
      </w:r>
      <w:r>
        <w:rPr>
          <w:rFonts w:ascii="Arial" w:cs="Arial" w:eastAsia="Arial" w:hAnsi="Arial"/>
          <w:sz w:val="17"/>
          <w:szCs w:val="17"/>
          <w:u w:val="single" w:color="auto"/>
          <w:color w:val="auto"/>
        </w:rPr>
        <w:t>Remedies</w:t>
      </w:r>
      <w:r>
        <w:rPr>
          <w:rFonts w:ascii="Arial" w:cs="Arial" w:eastAsia="Arial" w:hAnsi="Arial"/>
          <w:sz w:val="17"/>
          <w:szCs w:val="17"/>
          <w:color w:val="auto"/>
        </w:rPr>
        <w:t>. The parties hereto agree that (i) irreparable harm would occur in the event that any of the provisions of this Agreement were not performed in accordance with their specific terms or were otherwise breached, and (ii) money damages or other legal remedies would not be an adequate remedy for any such harm. Each Investor and each holder of the Securities shall have all rights and remedies set forth in the Transaction Documents and all rights and remedies that such Investors and holders have been granted at any time under any other agreement or contract and all of the rights that such Investors and holders have under any law. Any Person having any rights under any provision of this Agreement shall be entitled to enforce such rights specifically (without posting a bond or other security or proving actual damages), to recover damages by reason of any breach of any provision of this Agreement and to exercise all other rights granted by law.</w:t>
      </w:r>
    </w:p>
    <w:p>
      <w:pPr>
        <w:spacing w:after="0" w:line="177" w:lineRule="exact"/>
        <w:rPr>
          <w:sz w:val="20"/>
          <w:szCs w:val="20"/>
          <w:color w:val="auto"/>
        </w:rPr>
      </w:pPr>
    </w:p>
    <w:p>
      <w:pPr>
        <w:ind w:firstLine="991"/>
        <w:spacing w:after="0" w:line="272" w:lineRule="auto"/>
        <w:rPr>
          <w:sz w:val="20"/>
          <w:szCs w:val="20"/>
          <w:color w:val="auto"/>
        </w:rPr>
      </w:pPr>
      <w:r>
        <w:rPr>
          <w:rFonts w:ascii="Arial" w:cs="Arial" w:eastAsia="Arial" w:hAnsi="Arial"/>
          <w:sz w:val="17"/>
          <w:szCs w:val="17"/>
          <w:color w:val="auto"/>
        </w:rPr>
        <w:t xml:space="preserve">Section 6.12. </w:t>
      </w:r>
      <w:r>
        <w:rPr>
          <w:rFonts w:ascii="Arial" w:cs="Arial" w:eastAsia="Arial" w:hAnsi="Arial"/>
          <w:sz w:val="17"/>
          <w:szCs w:val="17"/>
          <w:u w:val="single" w:color="auto"/>
          <w:color w:val="auto"/>
        </w:rPr>
        <w:t>Payment Set Aside</w:t>
      </w:r>
      <w:r>
        <w:rPr>
          <w:rFonts w:ascii="Arial" w:cs="Arial" w:eastAsia="Arial" w:hAnsi="Arial"/>
          <w:sz w:val="17"/>
          <w:szCs w:val="17"/>
          <w:color w:val="auto"/>
        </w:rPr>
        <w:t>. To the extent that the Company or any of its Subsidiaries makes a payment or payments to any Investor hereunder or under any of the other Transaction Documents or any Investor enforces or exercises its rights hereunder or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or such Subsidiary, by a trustee, receiver or any other Person under any law (including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spacing w:after="0" w:line="177" w:lineRule="exact"/>
        <w:rPr>
          <w:sz w:val="20"/>
          <w:szCs w:val="20"/>
          <w:color w:val="auto"/>
        </w:rPr>
      </w:pPr>
    </w:p>
    <w:p>
      <w:pPr>
        <w:ind w:right="20" w:firstLine="991"/>
        <w:spacing w:after="0" w:line="270" w:lineRule="auto"/>
        <w:rPr>
          <w:sz w:val="20"/>
          <w:szCs w:val="20"/>
          <w:color w:val="auto"/>
        </w:rPr>
      </w:pPr>
      <w:r>
        <w:rPr>
          <w:rFonts w:ascii="Arial" w:cs="Arial" w:eastAsia="Arial" w:hAnsi="Arial"/>
          <w:sz w:val="17"/>
          <w:szCs w:val="17"/>
          <w:color w:val="auto"/>
        </w:rPr>
        <w:t xml:space="preserve">Section 6.13. </w:t>
      </w:r>
      <w:r>
        <w:rPr>
          <w:rFonts w:ascii="Arial" w:cs="Arial" w:eastAsia="Arial" w:hAnsi="Arial"/>
          <w:sz w:val="17"/>
          <w:szCs w:val="17"/>
          <w:u w:val="single" w:color="auto"/>
          <w:color w:val="auto"/>
        </w:rPr>
        <w:t>Independent Nature of Investors</w:t>
      </w:r>
      <w:r>
        <w:rPr>
          <w:rFonts w:ascii="Arial" w:cs="Arial" w:eastAsia="Arial" w:hAnsi="Arial"/>
          <w:sz w:val="17"/>
          <w:szCs w:val="17"/>
          <w:color w:val="auto"/>
        </w:rPr>
        <w:t>. The obligations of each Investor hereunder are several and not joint with the obligations of any other Investor, and no Investor shall be responsible in any way for the performance of the obligations of any other Investor hereunder. Each Investor shall be responsible only for its own representations, warranties, agreements and covenants hereunder. The decision of each Investor to purchase the Securities pursuant to this Agreement has been made by such Investor independently of any other Investor and independently of any information, materials, statements or opinions as to the business, affairs, operations, assets, properties, liabilities, results of operations, condition (financial or otherwise) or prospects of the Company or any of its Subsidiaries which may have been made or given by any other Investor or by any agent or employee of any other Investor, and no Investor or any of its agents or employees shall have any liability to any other Investor (or any other Person or entity) relating to or arising from any such information, materials, statements or opinions. Nothing contained herein, and no action taken by any Investor pursuant hereto or thereto (including an Investor’s purchase of</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440" w:top="274" w:right="459" w:bottom="1440" w:gutter="0" w:footer="0" w:header="0"/>
        </w:sectPr>
      </w:pPr>
    </w:p>
    <w:bookmarkStart w:id="55" w:name="page56"/>
    <w:bookmarkEnd w:id="55"/>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Securities at the Closing at the same time as any other Investor or Investors), shall be deemed to constitute the Investors as a partnership, an association, a joint venture or any other kind of entity, or create a presumption that the Investors are in any way acting in concert or as a group with respect to such obligations or the transactions contemplated hereby. Each Investor shall be entitled to independently protect and enforce its rights, including the rights arising out of this Agreement and the other Transaction Documents, and it shall not be necessary for any other Investor to be joined as an additional party in any proceeding for such purpose. Each Investor has been represented by its own separate legal counsel in its review and negotiation of the Transaction Documents.</w:t>
      </w:r>
    </w:p>
    <w:p>
      <w:pPr>
        <w:spacing w:after="0" w:line="192" w:lineRule="exact"/>
        <w:rPr>
          <w:sz w:val="20"/>
          <w:szCs w:val="20"/>
          <w:color w:val="auto"/>
        </w:rPr>
      </w:pPr>
    </w:p>
    <w:p>
      <w:pPr>
        <w:ind w:firstLine="991"/>
        <w:spacing w:after="0" w:line="271" w:lineRule="auto"/>
        <w:rPr>
          <w:sz w:val="20"/>
          <w:szCs w:val="20"/>
          <w:color w:val="auto"/>
        </w:rPr>
      </w:pPr>
      <w:r>
        <w:rPr>
          <w:rFonts w:ascii="Arial" w:cs="Arial" w:eastAsia="Arial" w:hAnsi="Arial"/>
          <w:sz w:val="17"/>
          <w:szCs w:val="17"/>
          <w:color w:val="auto"/>
        </w:rPr>
        <w:t xml:space="preserve">Section 6.14. </w:t>
      </w:r>
      <w:r>
        <w:rPr>
          <w:rFonts w:ascii="Arial" w:cs="Arial" w:eastAsia="Arial" w:hAnsi="Arial"/>
          <w:sz w:val="17"/>
          <w:szCs w:val="17"/>
          <w:u w:val="single" w:color="auto"/>
          <w:color w:val="auto"/>
        </w:rPr>
        <w:t>Interpretative Matters</w:t>
      </w:r>
      <w:r>
        <w:rPr>
          <w:rFonts w:ascii="Arial" w:cs="Arial" w:eastAsia="Arial" w:hAnsi="Arial"/>
          <w:sz w:val="17"/>
          <w:szCs w:val="17"/>
          <w:color w:val="auto"/>
        </w:rPr>
        <w:t xml:space="preserve">. Unless the context otherwise requires, (a) all references to Sections, Schedules or Exhibits are to Sections, Schedules or Exhibits contained in or attached to this Agreement, (b) each accounting term not otherwise defined in this Agreement has the meaning assigned to it in accordance with GAAP, (c) words in the singular or plural include the singular and plural and pronouns stated in either the masculine, the feminine or neuter gender shall include the masculine, feminine and neuter, (d) the use of the word “including” in this Agreement shall be by way of example rather than limitation, and (e) the word “or” shall not be exclusive. All statements as to factual matters contained in any certificate or other instrument delivered by or on behalf of the Company pursuant to this Agreement or any of the other Transaction Documents in connection with the transactions contemplated hereby or thereby shall be deemed to be representations and warranties by the Company, as if made by the Company pursuant to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hereof, as of the date of such certificate or instrument.</w:t>
      </w:r>
    </w:p>
    <w:p>
      <w:pPr>
        <w:spacing w:after="0" w:line="178" w:lineRule="exact"/>
        <w:rPr>
          <w:sz w:val="20"/>
          <w:szCs w:val="20"/>
          <w:color w:val="auto"/>
        </w:rPr>
      </w:pPr>
    </w:p>
    <w:p>
      <w:pPr>
        <w:ind w:right="40" w:firstLine="991"/>
        <w:spacing w:after="0" w:line="272" w:lineRule="auto"/>
        <w:rPr>
          <w:sz w:val="20"/>
          <w:szCs w:val="20"/>
          <w:color w:val="auto"/>
        </w:rPr>
      </w:pPr>
      <w:r>
        <w:rPr>
          <w:rFonts w:ascii="Arial" w:cs="Arial" w:eastAsia="Arial" w:hAnsi="Arial"/>
          <w:sz w:val="17"/>
          <w:szCs w:val="17"/>
          <w:color w:val="auto"/>
        </w:rPr>
        <w:t xml:space="preserve">Section 6.15. </w:t>
      </w:r>
      <w:r>
        <w:rPr>
          <w:rFonts w:ascii="Arial" w:cs="Arial" w:eastAsia="Arial" w:hAnsi="Arial"/>
          <w:sz w:val="17"/>
          <w:szCs w:val="17"/>
          <w:u w:val="single" w:color="auto"/>
          <w:color w:val="auto"/>
        </w:rPr>
        <w:t>Counterparts; Execution</w:t>
      </w:r>
      <w:r>
        <w:rPr>
          <w:rFonts w:ascii="Arial" w:cs="Arial" w:eastAsia="Arial" w:hAnsi="Arial"/>
          <w:sz w:val="17"/>
          <w:szCs w:val="17"/>
          <w:color w:val="auto"/>
        </w:rPr>
        <w:t>. This Agreement may be executed in two or more identical counterparts, all of which shall be considered one and the same agreement and shall become effective when counterparts have been signed by each party and delivered to each other party. A PDF or other reproduction of this Agreement may be executed by one or more parties hereto, and an executed copy of this Agreement may be delivered by one or more parties hereto by e-mail or other electronic transmission device pursuant to which the signature of or on behalf of such party can be seen, and such execution and delivery shall be considered legal, valid, binding and effective for all purposes. The parties hereto hereby agree that no party shall raise the execution of a PDF or other reproduction of this Agreement, or the fact that any signature or document was transmitted or communicated by e-mail or other electronic transmission device, as a defense to the formation of this Agreement.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Pages Follow]</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274" w:right="459" w:bottom="1440" w:gutter="0" w:footer="0" w:header="0"/>
        </w:sectPr>
      </w:pPr>
    </w:p>
    <w:bookmarkStart w:id="56" w:name="page57"/>
    <w:bookmarkEnd w:id="56"/>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WITNESS WHEREOF, </w:t>
      </w:r>
      <w:r>
        <w:rPr>
          <w:rFonts w:ascii="Arial" w:cs="Arial" w:eastAsia="Arial" w:hAnsi="Arial"/>
          <w:sz w:val="18"/>
          <w:szCs w:val="18"/>
          <w:color w:val="auto"/>
        </w:rPr>
        <w:t>the Investors and the Company have caused this Securities Purchase Agreement to be executed as of the date first</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above.</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COMPANY: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LARIMAR THERAPEUTICS,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Carole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Carole Ben-Maimon, M.D.</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President and Chief Executive Officer</w:t>
      </w:r>
    </w:p>
    <w:p>
      <w:pPr>
        <w:spacing w:after="0" w:line="21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[Signature Page to Securities Purchase Agreement]</w:t>
      </w:r>
    </w:p>
    <w:p>
      <w:pPr>
        <w:sectPr>
          <w:pgSz w:w="11900" w:h="16838" w:orient="portrait"/>
          <w:cols w:equalWidth="0" w:num="1">
            <w:col w:w="10740"/>
          </w:cols>
          <w:pgMar w:left="440" w:top="270" w:right="719" w:bottom="1440" w:gutter="0" w:footer="0" w:header="0"/>
        </w:sectPr>
      </w:pPr>
    </w:p>
    <w:bookmarkStart w:id="57" w:name="page58"/>
    <w:bookmarkEnd w:id="57"/>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OF INVESTORS</w:t>
      </w:r>
    </w:p>
    <w:p>
      <w:pPr>
        <w:sectPr>
          <w:pgSz w:w="11900" w:h="16838" w:orient="portrait"/>
          <w:cols w:equalWidth="0" w:num="1">
            <w:col w:w="9019"/>
          </w:cols>
          <w:pgMar w:left="1440" w:top="270" w:right="1440"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Form of Investor Registration Rights Agreement</w:t>
      </w:r>
    </w:p>
    <w:p>
      <w:pPr>
        <w:sectPr>
          <w:pgSz w:w="11900" w:h="16838" w:orient="portrait"/>
          <w:cols w:equalWidth="0" w:num="1">
            <w:col w:w="9019"/>
          </w:cols>
          <w:pgMar w:left="1440" w:top="270" w:right="1440" w:bottom="1440" w:gutter="0" w:footer="0" w:header="0"/>
        </w:sectPr>
      </w:pPr>
    </w:p>
    <w:bookmarkStart w:id="59" w:name="page60"/>
    <w:bookmarkEnd w:id="5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A-2</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Form of Deerfield Registration Rights Agreement</w:t>
      </w:r>
    </w:p>
    <w:p>
      <w:pPr>
        <w:sectPr>
          <w:pgSz w:w="11900" w:h="16838" w:orient="portrait"/>
          <w:cols w:equalWidth="0" w:num="1">
            <w:col w:w="9019"/>
          </w:cols>
          <w:pgMar w:left="1440" w:top="270" w:right="1440" w:bottom="1440" w:gutter="0" w:footer="0" w:header="0"/>
        </w:sectPr>
      </w:pPr>
    </w:p>
    <w:bookmarkStart w:id="60" w:name="page61"/>
    <w:bookmarkEnd w:id="6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Form of Pre-Funded Warrant</w:t>
      </w:r>
    </w:p>
    <w:p>
      <w:pPr>
        <w:sectPr>
          <w:pgSz w:w="11900" w:h="16838" w:orient="portrait"/>
          <w:cols w:equalWidth="0" w:num="1">
            <w:col w:w="9019"/>
          </w:cols>
          <w:pgMar w:left="1440" w:top="270" w:right="1440" w:bottom="1440" w:gutter="0" w:footer="0" w:header="0"/>
        </w:sectPr>
      </w:pPr>
    </w:p>
    <w:bookmarkStart w:id="61" w:name="page62"/>
    <w:bookmarkEnd w:id="6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C</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Investor Representation Letter</w:t>
      </w:r>
    </w:p>
    <w:p>
      <w:pPr>
        <w:sectPr>
          <w:pgSz w:w="11900" w:h="16838" w:orient="portrait"/>
          <w:cols w:equalWidth="0" w:num="1">
            <w:col w:w="9019"/>
          </w:cols>
          <w:pgMar w:left="1440" w:top="270" w:right="1440"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RIGHTS AGREEMENT</w:t>
      </w:r>
    </w:p>
    <w:p>
      <w:pPr>
        <w:spacing w:after="0" w:line="225" w:lineRule="exact"/>
        <w:rPr>
          <w:sz w:val="20"/>
          <w:szCs w:val="20"/>
          <w:color w:val="auto"/>
        </w:rPr>
      </w:pPr>
    </w:p>
    <w:p>
      <w:pPr>
        <w:ind w:right="120" w:firstLine="440"/>
        <w:spacing w:after="0" w:line="303" w:lineRule="auto"/>
        <w:rPr>
          <w:sz w:val="20"/>
          <w:szCs w:val="20"/>
          <w:color w:val="auto"/>
        </w:rPr>
      </w:pPr>
      <w:r>
        <w:rPr>
          <w:rFonts w:ascii="Arial" w:cs="Arial" w:eastAsia="Arial" w:hAnsi="Arial"/>
          <w:sz w:val="16"/>
          <w:szCs w:val="16"/>
          <w:b w:val="1"/>
          <w:bCs w:val="1"/>
          <w:color w:val="auto"/>
        </w:rPr>
        <w:t xml:space="preserve">THIS REGISTRATION RIGHTS AGREEMENT </w:t>
      </w:r>
      <w:r>
        <w:rPr>
          <w:rFonts w:ascii="Arial" w:cs="Arial" w:eastAsia="Arial" w:hAnsi="Arial"/>
          <w:sz w:val="16"/>
          <w:szCs w:val="16"/>
          <w:color w:val="auto"/>
        </w:rPr>
        <w:t>(this “</w:t>
      </w:r>
      <w:r>
        <w:rPr>
          <w:rFonts w:ascii="Arial" w:cs="Arial" w:eastAsia="Arial" w:hAnsi="Arial"/>
          <w:sz w:val="16"/>
          <w:szCs w:val="16"/>
          <w:b w:val="1"/>
          <w:bCs w:val="1"/>
          <w:color w:val="auto"/>
        </w:rPr>
        <w:t>Agreement</w:t>
      </w:r>
      <w:r>
        <w:rPr>
          <w:rFonts w:ascii="Arial" w:cs="Arial" w:eastAsia="Arial" w:hAnsi="Arial"/>
          <w:sz w:val="16"/>
          <w:szCs w:val="16"/>
          <w:color w:val="auto"/>
        </w:rPr>
        <w:t>”), dated as of May 25, 2021 (the “</w:t>
      </w:r>
      <w:r>
        <w:rPr>
          <w:rFonts w:ascii="Arial" w:cs="Arial" w:eastAsia="Arial" w:hAnsi="Arial"/>
          <w:sz w:val="16"/>
          <w:szCs w:val="16"/>
          <w:b w:val="1"/>
          <w:bCs w:val="1"/>
          <w:color w:val="auto"/>
        </w:rPr>
        <w:t>Effective Date</w:t>
      </w:r>
      <w:r>
        <w:rPr>
          <w:rFonts w:ascii="Arial" w:cs="Arial" w:eastAsia="Arial" w:hAnsi="Arial"/>
          <w:sz w:val="16"/>
          <w:szCs w:val="16"/>
          <w:color w:val="auto"/>
        </w:rPr>
        <w:t>”), is made and entered</w:t>
      </w:r>
      <w:r>
        <w:rPr>
          <w:rFonts w:ascii="Arial" w:cs="Arial" w:eastAsia="Arial" w:hAnsi="Arial"/>
          <w:sz w:val="16"/>
          <w:szCs w:val="16"/>
          <w:b w:val="1"/>
          <w:bCs w:val="1"/>
          <w:color w:val="auto"/>
        </w:rPr>
        <w:t xml:space="preserve"> </w:t>
      </w:r>
      <w:r>
        <w:rPr>
          <w:rFonts w:ascii="Arial" w:cs="Arial" w:eastAsia="Arial" w:hAnsi="Arial"/>
          <w:sz w:val="16"/>
          <w:szCs w:val="16"/>
          <w:color w:val="auto"/>
        </w:rPr>
        <w:t>into by and among Larimar Therapeutics,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the “Investors” named in that certain Securities Purchase Agreement, dated as of May 20, 2021, by and among the Company and the Investors (the “</w:t>
      </w:r>
      <w:r>
        <w:rPr>
          <w:rFonts w:ascii="Arial" w:cs="Arial" w:eastAsia="Arial" w:hAnsi="Arial"/>
          <w:sz w:val="16"/>
          <w:szCs w:val="16"/>
          <w:b w:val="1"/>
          <w:bCs w:val="1"/>
          <w:color w:val="auto"/>
        </w:rPr>
        <w:t>Securities Purchase Agreement</w:t>
      </w:r>
      <w:r>
        <w:rPr>
          <w:rFonts w:ascii="Arial" w:cs="Arial" w:eastAsia="Arial" w:hAnsi="Arial"/>
          <w:sz w:val="16"/>
          <w:szCs w:val="16"/>
          <w:color w:val="auto"/>
        </w:rPr>
        <w:t>”). Capitalized terms used herein have the respective meanings ascribed thereto in the Securities Purchase Agreement unless otherwise defined herein.</w:t>
      </w:r>
    </w:p>
    <w:p>
      <w:pPr>
        <w:spacing w:after="0" w:line="151" w:lineRule="exact"/>
        <w:rPr>
          <w:sz w:val="20"/>
          <w:szCs w:val="20"/>
          <w:color w:val="auto"/>
        </w:rPr>
      </w:pPr>
    </w:p>
    <w:p>
      <w:pPr>
        <w:ind w:right="52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this Agreement is made pursuant to the Securities Purchase Agreement to provide for certain arrangements with respect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registration of the Registrable Securities (as defined below) by the Company under the 1933 Act.</w:t>
      </w:r>
    </w:p>
    <w:p>
      <w:pPr>
        <w:spacing w:after="0" w:line="162" w:lineRule="exact"/>
        <w:rPr>
          <w:sz w:val="20"/>
          <w:szCs w:val="20"/>
          <w:color w:val="auto"/>
        </w:rPr>
      </w:pPr>
    </w:p>
    <w:p>
      <w:pPr>
        <w:jc w:val="center"/>
        <w:ind w:right="140"/>
        <w:spacing w:after="0" w:line="347" w:lineRule="auto"/>
        <w:rPr>
          <w:sz w:val="20"/>
          <w:szCs w:val="20"/>
          <w:color w:val="auto"/>
        </w:rPr>
      </w:pPr>
      <w:r>
        <w:rPr>
          <w:rFonts w:ascii="Arial" w:cs="Arial" w:eastAsia="Arial" w:hAnsi="Arial"/>
          <w:sz w:val="16"/>
          <w:szCs w:val="16"/>
          <w:b w:val="1"/>
          <w:bCs w:val="1"/>
          <w:color w:val="auto"/>
        </w:rPr>
        <w:t xml:space="preserve">NOW, THEREFORE, IN CONSIDERATION </w:t>
      </w:r>
      <w:r>
        <w:rPr>
          <w:rFonts w:ascii="Arial" w:cs="Arial" w:eastAsia="Arial" w:hAnsi="Arial"/>
          <w:sz w:val="16"/>
          <w:szCs w:val="16"/>
          <w:color w:val="auto"/>
        </w:rPr>
        <w:t>of the mutual covenants and agreements set forth herein, and for other good and valuable</w:t>
      </w:r>
      <w:r>
        <w:rPr>
          <w:rFonts w:ascii="Arial" w:cs="Arial" w:eastAsia="Arial" w:hAnsi="Arial"/>
          <w:sz w:val="16"/>
          <w:szCs w:val="16"/>
          <w:b w:val="1"/>
          <w:bCs w:val="1"/>
          <w:color w:val="auto"/>
        </w:rPr>
        <w:t xml:space="preserve"> </w:t>
      </w:r>
      <w:r>
        <w:rPr>
          <w:rFonts w:ascii="Arial" w:cs="Arial" w:eastAsia="Arial" w:hAnsi="Arial"/>
          <w:sz w:val="16"/>
          <w:szCs w:val="16"/>
          <w:color w:val="auto"/>
        </w:rPr>
        <w:t>consideration, the receipt and sufficiency of which are hereby acknowledged, the parties hereto, intending to be legally bound, hereby agree as follows: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CERTAIN DEFINITIONS</w:t>
      </w:r>
      <w:r>
        <w:rPr>
          <w:rFonts w:ascii="Arial" w:cs="Arial" w:eastAsia="Arial" w:hAnsi="Arial"/>
          <w:sz w:val="18"/>
          <w:szCs w:val="18"/>
          <w:color w:val="auto"/>
        </w:rPr>
        <w:t>. As used in this Agreement, the following capitalized terms used herein shall have the following meanings:</w:t>
      </w:r>
    </w:p>
    <w:p>
      <w:pPr>
        <w:spacing w:after="0" w:line="113" w:lineRule="exact"/>
        <w:rPr>
          <w:sz w:val="20"/>
          <w:szCs w:val="20"/>
          <w:color w:val="auto"/>
        </w:rPr>
      </w:pPr>
    </w:p>
    <w:p>
      <w:pPr>
        <w:ind w:right="2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Saturday, Sunday or other day on which commercial banks in the City of New York are authorized or required by law to remain closed.</w:t>
      </w:r>
    </w:p>
    <w:p>
      <w:pPr>
        <w:spacing w:after="0" w:line="162" w:lineRule="exact"/>
        <w:rPr>
          <w:sz w:val="20"/>
          <w:szCs w:val="20"/>
          <w:color w:val="auto"/>
        </w:rPr>
      </w:pPr>
    </w:p>
    <w:p>
      <w:pPr>
        <w:ind w:right="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Investors</w:t>
      </w:r>
      <w:r>
        <w:rPr>
          <w:rFonts w:ascii="Arial" w:cs="Arial" w:eastAsia="Arial" w:hAnsi="Arial"/>
          <w:sz w:val="18"/>
          <w:szCs w:val="18"/>
          <w:color w:val="auto"/>
        </w:rPr>
        <w:t>” means the Investors identified in the Securities Purchase Agreement and any Affiliate or permitted transferee of any Investor who is a subsequent holder of Registrable Securities.</w:t>
      </w:r>
    </w:p>
    <w:p>
      <w:pPr>
        <w:spacing w:after="0" w:line="162" w:lineRule="exact"/>
        <w:rPr>
          <w:sz w:val="20"/>
          <w:szCs w:val="20"/>
          <w:color w:val="auto"/>
        </w:rPr>
      </w:pPr>
    </w:p>
    <w:p>
      <w:pPr>
        <w:ind w:right="6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Prospectus</w:t>
      </w:r>
      <w:r>
        <w:rPr>
          <w:rFonts w:ascii="Arial" w:cs="Arial" w:eastAsia="Arial" w:hAnsi="Arial"/>
          <w:sz w:val="18"/>
          <w:szCs w:val="18"/>
          <w:color w:val="auto"/>
        </w:rPr>
        <w:t>” means (i) the prospectus included in any Registration Statement, as amended or supplemented by any prospectus supplement, with respect to the terms of the offering of any portion of the Registrable Securities covered by such Registration Statement and by all other amendments and supplements to the prospectus, including post-effective amendments, and all material incorporated by reference in such prospectus, and (ii) any “free writing prospectus” as defined in Rule 405 under the 1933 Act.</w:t>
      </w:r>
    </w:p>
    <w:p>
      <w:pPr>
        <w:spacing w:after="0" w:line="180" w:lineRule="exact"/>
        <w:rPr>
          <w:sz w:val="20"/>
          <w:szCs w:val="20"/>
          <w:color w:val="auto"/>
        </w:rPr>
      </w:pPr>
    </w:p>
    <w:p>
      <w:pPr>
        <w:ind w:right="180" w:firstLine="4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Register</w:t>
      </w:r>
      <w:r>
        <w:rPr>
          <w:rFonts w:ascii="Arial" w:cs="Arial" w:eastAsia="Arial" w:hAnsi="Arial"/>
          <w:sz w:val="16"/>
          <w:szCs w:val="16"/>
          <w:color w:val="auto"/>
        </w:rPr>
        <w:t>,” “</w:t>
      </w:r>
      <w:r>
        <w:rPr>
          <w:rFonts w:ascii="Arial" w:cs="Arial" w:eastAsia="Arial" w:hAnsi="Arial"/>
          <w:sz w:val="16"/>
          <w:szCs w:val="16"/>
          <w:b w:val="1"/>
          <w:bCs w:val="1"/>
          <w:color w:val="auto"/>
        </w:rPr>
        <w:t>registered</w:t>
      </w:r>
      <w:r>
        <w:rPr>
          <w:rFonts w:ascii="Arial" w:cs="Arial" w:eastAsia="Arial" w:hAnsi="Arial"/>
          <w:sz w:val="16"/>
          <w:szCs w:val="16"/>
          <w:color w:val="auto"/>
        </w:rPr>
        <w:t>” and “</w:t>
      </w:r>
      <w:r>
        <w:rPr>
          <w:rFonts w:ascii="Arial" w:cs="Arial" w:eastAsia="Arial" w:hAnsi="Arial"/>
          <w:sz w:val="16"/>
          <w:szCs w:val="16"/>
          <w:b w:val="1"/>
          <w:bCs w:val="1"/>
          <w:color w:val="auto"/>
        </w:rPr>
        <w:t>registration</w:t>
      </w:r>
      <w:r>
        <w:rPr>
          <w:rFonts w:ascii="Arial" w:cs="Arial" w:eastAsia="Arial" w:hAnsi="Arial"/>
          <w:sz w:val="16"/>
          <w:szCs w:val="16"/>
          <w:color w:val="auto"/>
        </w:rPr>
        <w:t>” refer to a registration made by preparing and filing a Registration Statement or similar document in compliance with the 1933 Act (as defined below), and the declaration or ordering of effectiveness of such Registration Statement or document.</w:t>
      </w:r>
    </w:p>
    <w:p>
      <w:pPr>
        <w:spacing w:after="0" w:line="116" w:lineRule="exact"/>
        <w:rPr>
          <w:sz w:val="20"/>
          <w:szCs w:val="20"/>
          <w:color w:val="auto"/>
        </w:rPr>
      </w:pPr>
    </w:p>
    <w:p>
      <w:pPr>
        <w:ind w:right="260" w:firstLine="44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Registrable Securities</w:t>
      </w:r>
      <w:r>
        <w:rPr>
          <w:rFonts w:ascii="Arial" w:cs="Arial" w:eastAsia="Arial" w:hAnsi="Arial"/>
          <w:sz w:val="17"/>
          <w:szCs w:val="17"/>
          <w:color w:val="auto"/>
        </w:rPr>
        <w:t>” means (i) the Shares, (ii) the Warrant Shares, and (iii) any other securities issued or issuable with respect to or in exchange for Shares or Warrant Shares; provided, that, a security shall cease to be a Registrable Security upon (A) sale pursuant to a Registration Statement or Rule 144 under the 1933 Act (“</w:t>
      </w:r>
      <w:r>
        <w:rPr>
          <w:rFonts w:ascii="Arial" w:cs="Arial" w:eastAsia="Arial" w:hAnsi="Arial"/>
          <w:sz w:val="17"/>
          <w:szCs w:val="17"/>
          <w:b w:val="1"/>
          <w:bCs w:val="1"/>
          <w:color w:val="auto"/>
        </w:rPr>
        <w:t>Rule 144</w:t>
      </w:r>
      <w:r>
        <w:rPr>
          <w:rFonts w:ascii="Arial" w:cs="Arial" w:eastAsia="Arial" w:hAnsi="Arial"/>
          <w:sz w:val="17"/>
          <w:szCs w:val="17"/>
          <w:color w:val="auto"/>
        </w:rPr>
        <w:t>”), or (B) such security becoming eligible for sale without restriction or limitation by such Investor (and any of its Affiliates whose shares must be aggregated with those of such Investor under Rule 144) pursuant to Rule 144 and without the requirement to be in compliance with Rule 144(c)(1) (or any successor thereto) promulgated under the 1933 Act.</w:t>
      </w:r>
    </w:p>
    <w:p>
      <w:pPr>
        <w:sectPr>
          <w:pgSz w:w="11900" w:h="16838" w:orient="portrait"/>
          <w:cols w:equalWidth="0" w:num="1">
            <w:col w:w="11020"/>
          </w:cols>
          <w:pgMar w:left="440" w:top="121" w:right="439" w:bottom="1440" w:gutter="0" w:footer="0" w:header="0"/>
        </w:sectPr>
      </w:pPr>
    </w:p>
    <w:bookmarkStart w:id="63" w:name="page64"/>
    <w:bookmarkEnd w:id="63"/>
    <w:p>
      <w:pPr>
        <w:ind w:left="4" w:right="40" w:firstLine="44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Registration Statement</w:t>
      </w:r>
      <w:r>
        <w:rPr>
          <w:rFonts w:ascii="Arial" w:cs="Arial" w:eastAsia="Arial" w:hAnsi="Arial"/>
          <w:sz w:val="18"/>
          <w:szCs w:val="18"/>
          <w:color w:val="auto"/>
        </w:rPr>
        <w:t>” means any registration statement filed by the Company under the 1933 Act and the rules and regulations promulgated thereunder that covers the resale of any of the Registrable Securities pursuant to the provisions of this Agreement, amendments and supplements to such Registration Statement, including post-effective amendments, and all exhibits to, and all material incorporated by reference in, such Registration Statement.</w:t>
      </w:r>
    </w:p>
    <w:p>
      <w:pPr>
        <w:spacing w:after="0" w:line="18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Investors</w:t>
      </w:r>
      <w:r>
        <w:rPr>
          <w:rFonts w:ascii="Arial" w:cs="Arial" w:eastAsia="Arial" w:hAnsi="Arial"/>
          <w:sz w:val="18"/>
          <w:szCs w:val="18"/>
          <w:color w:val="auto"/>
        </w:rPr>
        <w:t>” means the Investors holding a majority of the Registrable Securities outstanding from time to time.</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means the U.S. Securities and Exchange Commission.</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Selling Investor</w:t>
      </w:r>
      <w:r>
        <w:rPr>
          <w:rFonts w:ascii="Arial" w:cs="Arial" w:eastAsia="Arial" w:hAnsi="Arial"/>
          <w:sz w:val="18"/>
          <w:szCs w:val="18"/>
          <w:color w:val="auto"/>
        </w:rPr>
        <w:t>” means any Investor electing to sell any of its Registrable Securities in a Registration.</w:t>
      </w:r>
    </w:p>
    <w:p>
      <w:pPr>
        <w:spacing w:after="0" w:line="225" w:lineRule="exact"/>
        <w:rPr>
          <w:sz w:val="20"/>
          <w:szCs w:val="20"/>
          <w:color w:val="auto"/>
        </w:rPr>
      </w:pPr>
    </w:p>
    <w:p>
      <w:pPr>
        <w:ind w:left="4" w:right="3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Selling Investor Questionnaire</w:t>
      </w:r>
      <w:r>
        <w:rPr>
          <w:rFonts w:ascii="Arial" w:cs="Arial" w:eastAsia="Arial" w:hAnsi="Arial"/>
          <w:sz w:val="18"/>
          <w:szCs w:val="18"/>
          <w:color w:val="auto"/>
        </w:rPr>
        <w:t xml:space="preserve">” means a questionnaire in the form attached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or such other form of questionnaire as may reasonably be adopted by the Company from time to time.</w:t>
      </w:r>
    </w:p>
    <w:p>
      <w:pPr>
        <w:spacing w:after="0" w:line="162" w:lineRule="exact"/>
        <w:rPr>
          <w:sz w:val="20"/>
          <w:szCs w:val="20"/>
          <w:color w:val="auto"/>
        </w:rPr>
      </w:pPr>
    </w:p>
    <w:p>
      <w:pPr>
        <w:ind w:left="4" w:right="1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Trading Day</w:t>
      </w:r>
      <w:r>
        <w:rPr>
          <w:rFonts w:ascii="Arial" w:cs="Arial" w:eastAsia="Arial" w:hAnsi="Arial"/>
          <w:sz w:val="18"/>
          <w:szCs w:val="18"/>
          <w:color w:val="auto"/>
        </w:rPr>
        <w:t>” means a day on which the principal Trading Market is open for trading; provided, that in the event that the Common Stock is not listed or quoted for trading on a Trading Market on the date in question, then Trading Day shall mean a Business Day.</w:t>
      </w:r>
    </w:p>
    <w:p>
      <w:pPr>
        <w:spacing w:after="0" w:line="58" w:lineRule="exact"/>
        <w:rPr>
          <w:sz w:val="20"/>
          <w:szCs w:val="20"/>
          <w:color w:val="auto"/>
        </w:rPr>
      </w:pPr>
    </w:p>
    <w:p>
      <w:pPr>
        <w:ind w:left="184" w:hanging="184"/>
        <w:spacing w:after="0"/>
        <w:tabs>
          <w:tab w:leader="none" w:pos="184"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684" w:hanging="244"/>
        <w:spacing w:after="0"/>
        <w:tabs>
          <w:tab w:leader="none" w:pos="684"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Registration Statements</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left="4" w:firstLine="987"/>
        <w:spacing w:after="0" w:line="269" w:lineRule="auto"/>
        <w:tabs>
          <w:tab w:leader="none" w:pos="1210" w:val="left"/>
        </w:tabs>
        <w:numPr>
          <w:ilvl w:val="2"/>
          <w:numId w:val="48"/>
        </w:numPr>
        <w:rPr>
          <w:rFonts w:ascii="Arial" w:cs="Arial" w:eastAsia="Arial" w:hAnsi="Arial"/>
          <w:sz w:val="17"/>
          <w:szCs w:val="17"/>
          <w:color w:val="auto"/>
        </w:rPr>
      </w:pPr>
      <w:r>
        <w:rPr>
          <w:rFonts w:ascii="Arial" w:cs="Arial" w:eastAsia="Arial" w:hAnsi="Arial"/>
          <w:sz w:val="17"/>
          <w:szCs w:val="17"/>
          <w:color w:val="auto"/>
        </w:rPr>
        <w:t>Promptly following the Effective Date but no later than thirty (30) calendar days after the Effective Date (the “</w:t>
      </w:r>
      <w:r>
        <w:rPr>
          <w:rFonts w:ascii="Arial" w:cs="Arial" w:eastAsia="Arial" w:hAnsi="Arial"/>
          <w:sz w:val="17"/>
          <w:szCs w:val="17"/>
          <w:b w:val="1"/>
          <w:bCs w:val="1"/>
          <w:color w:val="auto"/>
        </w:rPr>
        <w:t>Filing Deadline</w:t>
      </w:r>
      <w:r>
        <w:rPr>
          <w:rFonts w:ascii="Arial" w:cs="Arial" w:eastAsia="Arial" w:hAnsi="Arial"/>
          <w:sz w:val="17"/>
          <w:szCs w:val="17"/>
          <w:color w:val="auto"/>
        </w:rPr>
        <w:t>”), the Company shall prepare and file with the SEC a Registration Statement covering the resale of all of the Registrable Securities for an offering to be made on a continuous basis pursuant to Rule 415 under the 1933 Act (</w:t>
      </w:r>
      <w:r>
        <w:rPr>
          <w:rFonts w:ascii="Arial" w:cs="Arial" w:eastAsia="Arial" w:hAnsi="Arial"/>
          <w:sz w:val="17"/>
          <w:szCs w:val="17"/>
          <w:b w:val="1"/>
          <w:bCs w:val="1"/>
          <w:color w:val="auto"/>
        </w:rPr>
        <w:t>“Rule 415</w:t>
      </w:r>
      <w:r>
        <w:rPr>
          <w:rFonts w:ascii="Arial" w:cs="Arial" w:eastAsia="Arial" w:hAnsi="Arial"/>
          <w:sz w:val="17"/>
          <w:szCs w:val="17"/>
          <w:color w:val="auto"/>
        </w:rPr>
        <w:t>”) or, if Rule 415 is not available for offers and sales of the Registrable Securities, by such other means of distribution of Registrable Securities as the Investors may reasonably specify (the “</w:t>
      </w:r>
      <w:r>
        <w:rPr>
          <w:rFonts w:ascii="Arial" w:cs="Arial" w:eastAsia="Arial" w:hAnsi="Arial"/>
          <w:sz w:val="17"/>
          <w:szCs w:val="17"/>
          <w:b w:val="1"/>
          <w:bCs w:val="1"/>
          <w:color w:val="auto"/>
        </w:rPr>
        <w:t>Initial Registration Statement</w:t>
      </w:r>
      <w:r>
        <w:rPr>
          <w:rFonts w:ascii="Arial" w:cs="Arial" w:eastAsia="Arial" w:hAnsi="Arial"/>
          <w:sz w:val="17"/>
          <w:szCs w:val="17"/>
          <w:color w:val="auto"/>
        </w:rPr>
        <w:t xml:space="preserve">”). The Initial Registration Statement shall be on Form S-3 (except if the Company is then ineligible to register for resale the Registrable Securities on Form S-3, in which case such registration shall be on such other form available to register for resale the Registrable Securities as a secondary offering) subject to the provisions of </w:t>
      </w:r>
      <w:r>
        <w:rPr>
          <w:rFonts w:ascii="Arial" w:cs="Arial" w:eastAsia="Arial" w:hAnsi="Arial"/>
          <w:sz w:val="17"/>
          <w:szCs w:val="17"/>
          <w:u w:val="single" w:color="auto"/>
          <w:color w:val="auto"/>
        </w:rPr>
        <w:t>Section 2(a)(ii)</w:t>
      </w:r>
      <w:r>
        <w:rPr>
          <w:rFonts w:ascii="Arial" w:cs="Arial" w:eastAsia="Arial" w:hAnsi="Arial"/>
          <w:sz w:val="17"/>
          <w:szCs w:val="17"/>
          <w:color w:val="auto"/>
        </w:rPr>
        <w:t xml:space="preserve"> and shall contain (except if otherwise required pursuant to written comments received from the SEC upon review of such Registration Statement) a “Plan of Distribution” substantially in the form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(which may be modified to respond to comments, if any, provided by the SEC);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Investor shall be named as an “underwriter” in such Registration Statement without the Investor’s prior written consent. In the event that the Company is not eligible to register the Registrable Securities on Form S-3 and instead registers the Registrable Securities on another form of registration statement pursuant to the 1933 Act, the Company shall convert or replace such registration statement with a registration statement on Form S-3 promptly following confirmation that the Company becomes eligible to use Form S-3 to register the Registrable Securities.</w:t>
      </w:r>
    </w:p>
    <w:p>
      <w:pPr>
        <w:spacing w:after="0" w:line="11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0" w:right="459" w:bottom="1440" w:gutter="0" w:footer="0" w:header="0"/>
        </w:sectPr>
      </w:pPr>
    </w:p>
    <w:bookmarkStart w:id="64" w:name="page65"/>
    <w:bookmarkEnd w:id="64"/>
    <w:p>
      <w:pPr>
        <w:ind w:left="4" w:right="20" w:firstLine="987"/>
        <w:spacing w:after="0" w:line="301" w:lineRule="auto"/>
        <w:tabs>
          <w:tab w:leader="none" w:pos="1260" w:val="left"/>
        </w:tabs>
        <w:numPr>
          <w:ilvl w:val="1"/>
          <w:numId w:val="4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Such Registration Statement also shall cover, to the extent allowable under the 1933 Act and the rules promulgated thereunder (including Rule 416), such indeterminate number of additional shares of Common Stock resulting from stock splits, stock combinations, stock dividends or similar transactions with respect to the Registrable Securities. Such Registration Statement (and each amendment or supplement thereto, and each request for acceleration of effectiveness thereof) shall be provided in accordance with </w:t>
      </w:r>
      <w:r>
        <w:rPr>
          <w:rFonts w:ascii="Arial" w:cs="Arial" w:eastAsia="Arial" w:hAnsi="Arial"/>
          <w:sz w:val="16"/>
          <w:szCs w:val="16"/>
          <w:u w:val="single" w:color="auto"/>
          <w:color w:val="auto"/>
        </w:rPr>
        <w:t>Section 3(c)</w:t>
      </w:r>
      <w:r>
        <w:rPr>
          <w:rFonts w:ascii="Arial" w:cs="Arial" w:eastAsia="Arial" w:hAnsi="Arial"/>
          <w:sz w:val="16"/>
          <w:szCs w:val="16"/>
          <w:color w:val="auto"/>
        </w:rPr>
        <w:t xml:space="preserve"> to the Investors prior to its filing or other submission.</w:t>
      </w:r>
    </w:p>
    <w:p>
      <w:pPr>
        <w:spacing w:after="0" w:line="49" w:lineRule="exact"/>
        <w:rPr>
          <w:rFonts w:ascii="Arial" w:cs="Arial" w:eastAsia="Arial" w:hAnsi="Arial"/>
          <w:sz w:val="16"/>
          <w:szCs w:val="16"/>
          <w:color w:val="auto"/>
        </w:rPr>
      </w:pPr>
    </w:p>
    <w:p>
      <w:pPr>
        <w:ind w:left="4" w:right="120" w:firstLine="436"/>
        <w:spacing w:after="0" w:line="259" w:lineRule="auto"/>
        <w:tabs>
          <w:tab w:leader="none" w:pos="699"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The Company will pay all expenses associated with each Registration Statement, including filing and printing fees, the Company’s counsel and accounting fees and expenses, costs associated with clearing the Registrable Securities for sale under applicable state securities laws and listing fees, but excluding discounts, commissions, fees of underwriters, selling brokers, dealer managers or similar securities industry professionals with respect to the Registrable Securities being sold.</w:t>
      </w:r>
    </w:p>
    <w:p>
      <w:pPr>
        <w:spacing w:after="0" w:line="78" w:lineRule="exact"/>
        <w:rPr>
          <w:rFonts w:ascii="Arial" w:cs="Arial" w:eastAsia="Arial" w:hAnsi="Arial"/>
          <w:sz w:val="18"/>
          <w:szCs w:val="18"/>
          <w:color w:val="auto"/>
        </w:rPr>
      </w:pPr>
    </w:p>
    <w:p>
      <w:pPr>
        <w:ind w:left="684" w:hanging="244"/>
        <w:spacing w:after="0"/>
        <w:tabs>
          <w:tab w:leader="none" w:pos="684"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Effectiveness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60" w:firstLine="987"/>
        <w:spacing w:after="0" w:line="291" w:lineRule="auto"/>
        <w:tabs>
          <w:tab w:leader="none" w:pos="1207" w:val="left"/>
        </w:tabs>
        <w:numPr>
          <w:ilvl w:val="1"/>
          <w:numId w:val="50"/>
        </w:numPr>
        <w:rPr>
          <w:rFonts w:ascii="Arial" w:cs="Arial" w:eastAsia="Arial" w:hAnsi="Arial"/>
          <w:sz w:val="16"/>
          <w:szCs w:val="16"/>
          <w:color w:val="auto"/>
        </w:rPr>
      </w:pPr>
      <w:r>
        <w:rPr>
          <w:rFonts w:ascii="Arial" w:cs="Arial" w:eastAsia="Arial" w:hAnsi="Arial"/>
          <w:sz w:val="16"/>
          <w:szCs w:val="16"/>
          <w:color w:val="auto"/>
        </w:rPr>
        <w:t>The Company shall use commercially reasonable efforts to have each Registration Statement declared effective as soon as practicable after the filing thereof, but in any event no later than the earlier of (i) sixty (60) calendar days after the filing thereof (or, in the event the SEC reviews and has written comments to the Registration Statement, ninety (90) calendar days after the filing thereof) and (ii) the tenth (10th) Business Day after the Company is notified (orally or in writing, whichever is earlier) by the SEC that the Registration Statement will not be “reviewed” or will not be subject to further review ((i) and (ii) collectively, the “Effectiveness Deadline”). The Company shall notify the Investors as promptly as practicable, and in any event, within twenty-four (24) hours, after the Registration Statement is declared effective and shall simultaneously provide the Investors with copies of any related Prospectus to be used in connection with the sale or other disposition of the securities covered thereby.</w:t>
      </w:r>
    </w:p>
    <w:p>
      <w:pPr>
        <w:spacing w:after="0" w:line="58" w:lineRule="exact"/>
        <w:rPr>
          <w:sz w:val="20"/>
          <w:szCs w:val="20"/>
          <w:color w:val="auto"/>
        </w:rPr>
      </w:pPr>
    </w:p>
    <w:p>
      <w:pPr>
        <w:ind w:left="4" w:firstLine="987"/>
        <w:spacing w:after="0" w:line="283" w:lineRule="auto"/>
        <w:tabs>
          <w:tab w:leader="none" w:pos="1260" w:val="left"/>
        </w:tabs>
        <w:numPr>
          <w:ilvl w:val="1"/>
          <w:numId w:val="51"/>
        </w:numPr>
        <w:rPr>
          <w:rFonts w:ascii="Arial" w:cs="Arial" w:eastAsia="Arial" w:hAnsi="Arial"/>
          <w:sz w:val="16"/>
          <w:szCs w:val="16"/>
          <w:color w:val="auto"/>
        </w:rPr>
      </w:pPr>
      <w:r>
        <w:rPr>
          <w:rFonts w:ascii="Arial" w:cs="Arial" w:eastAsia="Arial" w:hAnsi="Arial"/>
          <w:sz w:val="16"/>
          <w:szCs w:val="16"/>
          <w:color w:val="auto"/>
        </w:rPr>
        <w:t xml:space="preserve">For not more than ten (10) consecutive days or for a total of not more than twenty (20) days and on not more than two (2) occasions in any twelve (12) month period, the Company may suspend the use of any Prospectus included in any Registration Statement contemplated by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in the event that the Company determines in good faith that such suspension is necessary to (A) delay the disclosure of material non-public information concerning the Company, the disclosure of which at the time is not, in the good faith opinion of the Company, in the best interests of the Company or (B) amend or supplement the affected Registration Statement or the related Prospectus so that such Registration Statement or Prospectus shall not include any Misstatement (as defined below) (an “</w:t>
      </w:r>
      <w:r>
        <w:rPr>
          <w:rFonts w:ascii="Arial" w:cs="Arial" w:eastAsia="Arial" w:hAnsi="Arial"/>
          <w:sz w:val="16"/>
          <w:szCs w:val="16"/>
          <w:b w:val="1"/>
          <w:bCs w:val="1"/>
          <w:color w:val="auto"/>
        </w:rPr>
        <w:t>Allowed Delay</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that the Company shall promptly (1) notify each Investor in writing of the commencement of an Allowed Delay, but shall not (without the prior written consent of an Investor) disclose to such Investor any material non-public information giving rise to an Allowed Delay, (2) advise the Investors in writing to cease all sales under such Registration Statement until the end of the Allowed Delay (but not, for the avoidance of doubt, any sale pursuant to Rule 144 or other applicable exemption under the 1933 Act) and</w:t>
      </w:r>
    </w:p>
    <w:p>
      <w:pPr>
        <w:spacing w:after="0" w:line="5" w:lineRule="exact"/>
        <w:rPr>
          <w:rFonts w:ascii="Arial" w:cs="Arial" w:eastAsia="Arial" w:hAnsi="Arial"/>
          <w:sz w:val="16"/>
          <w:szCs w:val="16"/>
          <w:color w:val="auto"/>
        </w:rPr>
      </w:pPr>
    </w:p>
    <w:p>
      <w:pPr>
        <w:ind w:left="264" w:hanging="264"/>
        <w:spacing w:after="0"/>
        <w:tabs>
          <w:tab w:leader="none" w:pos="264" w:val="left"/>
        </w:tabs>
        <w:numPr>
          <w:ilvl w:val="0"/>
          <w:numId w:val="52"/>
        </w:numPr>
        <w:rPr>
          <w:rFonts w:ascii="Arial" w:cs="Arial" w:eastAsia="Arial" w:hAnsi="Arial"/>
          <w:sz w:val="18"/>
          <w:szCs w:val="18"/>
          <w:color w:val="auto"/>
        </w:rPr>
      </w:pPr>
      <w:r>
        <w:rPr>
          <w:rFonts w:ascii="Arial" w:cs="Arial" w:eastAsia="Arial" w:hAnsi="Arial"/>
          <w:sz w:val="18"/>
          <w:szCs w:val="18"/>
          <w:color w:val="auto"/>
        </w:rPr>
        <w:t>use commercially reasonable efforts to terminate an Allowed Delay as promptly as practicable.</w:t>
      </w:r>
    </w:p>
    <w:p>
      <w:pPr>
        <w:spacing w:after="0" w:line="14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4" w:right="459" w:bottom="1440" w:gutter="0" w:footer="0" w:header="0"/>
        </w:sectPr>
      </w:pPr>
    </w:p>
    <w:bookmarkStart w:id="65" w:name="page66"/>
    <w:bookmarkEnd w:id="65"/>
    <w:p>
      <w:pPr>
        <w:ind w:left="4" w:firstLine="436"/>
        <w:spacing w:after="0" w:line="291" w:lineRule="auto"/>
        <w:tabs>
          <w:tab w:leader="none" w:pos="699" w:val="left"/>
        </w:tabs>
        <w:numPr>
          <w:ilvl w:val="1"/>
          <w:numId w:val="5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Liquidated Damages</w:t>
      </w:r>
      <w:r>
        <w:rPr>
          <w:rFonts w:ascii="Arial" w:cs="Arial" w:eastAsia="Arial" w:hAnsi="Arial"/>
          <w:sz w:val="16"/>
          <w:szCs w:val="16"/>
          <w:color w:val="auto"/>
        </w:rPr>
        <w:t>. If: (i) the Registration Statement is not filed on or prior to the Filing Deadline, (ii) the Company fails to file with the SEC a request for acceleration of a Registration Statement in accordance with Rule 461 promulgated by the SEC pursuant to the 1933 Act, within five</w:t>
      </w:r>
    </w:p>
    <w:p>
      <w:pPr>
        <w:ind w:left="4" w:right="20" w:hanging="4"/>
        <w:spacing w:after="0" w:line="265" w:lineRule="auto"/>
        <w:tabs>
          <w:tab w:leader="none" w:pos="256" w:val="left"/>
        </w:tabs>
        <w:numPr>
          <w:ilvl w:val="0"/>
          <w:numId w:val="54"/>
        </w:numPr>
        <w:rPr>
          <w:rFonts w:ascii="Arial" w:cs="Arial" w:eastAsia="Arial" w:hAnsi="Arial"/>
          <w:sz w:val="17"/>
          <w:szCs w:val="17"/>
          <w:color w:val="auto"/>
        </w:rPr>
      </w:pPr>
      <w:r>
        <w:rPr>
          <w:rFonts w:ascii="Arial" w:cs="Arial" w:eastAsia="Arial" w:hAnsi="Arial"/>
          <w:sz w:val="17"/>
          <w:szCs w:val="17"/>
          <w:color w:val="auto"/>
        </w:rPr>
        <w:t>Trading Days of the date that the Company is notified (orally or in writing, whichever is earlier) by the SEC that such Registration Statement will not be “reviewed” or will not be subject to further review, (iii) prior to the effective date of a Registration Statement, the Company fails to file a pre-effective amendment and otherwise respond in writing to comments made by the SEC in respect of such Registration Statement within ten</w:t>
      </w:r>
    </w:p>
    <w:p>
      <w:pPr>
        <w:ind w:left="4" w:right="20" w:hanging="4"/>
        <w:spacing w:after="0" w:line="283" w:lineRule="auto"/>
        <w:tabs>
          <w:tab w:leader="none" w:pos="349" w:val="left"/>
        </w:tabs>
        <w:numPr>
          <w:ilvl w:val="0"/>
          <w:numId w:val="55"/>
        </w:numPr>
        <w:rPr>
          <w:rFonts w:ascii="Arial" w:cs="Arial" w:eastAsia="Arial" w:hAnsi="Arial"/>
          <w:sz w:val="16"/>
          <w:szCs w:val="16"/>
          <w:color w:val="auto"/>
        </w:rPr>
      </w:pPr>
      <w:r>
        <w:rPr>
          <w:rFonts w:ascii="Arial" w:cs="Arial" w:eastAsia="Arial" w:hAnsi="Arial"/>
          <w:sz w:val="16"/>
          <w:szCs w:val="16"/>
          <w:color w:val="auto"/>
        </w:rPr>
        <w:t>calendar days after the receipt of comments by or notice from the SEC that such amendment is required in order for such Registration Statement to be declared effective, or (iv) the Company fails to maintain the effectiveness of the Registration Statement during the Effectiveness Period other than in connection with an Allowed Delay, or the Allowed Delay is exceeded (any such failure or breach being referred to as an “</w:t>
      </w:r>
      <w:r>
        <w:rPr>
          <w:rFonts w:ascii="Arial" w:cs="Arial" w:eastAsia="Arial" w:hAnsi="Arial"/>
          <w:sz w:val="16"/>
          <w:szCs w:val="16"/>
          <w:b w:val="1"/>
          <w:bCs w:val="1"/>
          <w:color w:val="auto"/>
        </w:rPr>
        <w:t>Event</w:t>
      </w:r>
      <w:r>
        <w:rPr>
          <w:rFonts w:ascii="Arial" w:cs="Arial" w:eastAsia="Arial" w:hAnsi="Arial"/>
          <w:sz w:val="16"/>
          <w:szCs w:val="16"/>
          <w:color w:val="auto"/>
        </w:rPr>
        <w:t>”, and for purpose of clause (i), the date on which such Event occurs, and for purpose of clause (ii) the date on which such five (5) Trading Day period is exceeded, and for purpose of clause (iii) the date which such ten (10) calendar day period is exceeded, and for purpose of clause (iv) the date on which the Allowed Delay, is exceeded being referred to as the “</w:t>
      </w:r>
      <w:r>
        <w:rPr>
          <w:rFonts w:ascii="Arial" w:cs="Arial" w:eastAsia="Arial" w:hAnsi="Arial"/>
          <w:sz w:val="16"/>
          <w:szCs w:val="16"/>
          <w:b w:val="1"/>
          <w:bCs w:val="1"/>
          <w:color w:val="auto"/>
        </w:rPr>
        <w:t>Event Date</w:t>
      </w:r>
      <w:r>
        <w:rPr>
          <w:rFonts w:ascii="Arial" w:cs="Arial" w:eastAsia="Arial" w:hAnsi="Arial"/>
          <w:sz w:val="16"/>
          <w:szCs w:val="16"/>
          <w:color w:val="auto"/>
        </w:rPr>
        <w:t>”), then, in addition to any other rights the Investors may have hereunder or under applicable law, on each such Event Date and on each monthly anniversary of each such Event Date (if the applicable Event shall not have been cured by such date) until the applicable Event is cured, the Company shall pay to each Investor an amount in cash, as partial liquidated damages and not as a penalty, equal to the product of 1.0% multiplied by the aggregate Purchase Price paid by such Investor pursuant to the Securities Purchase Agreement. The amounts payable pursuant to the foregoing sentence are referred to collectively as “</w:t>
      </w:r>
      <w:r>
        <w:rPr>
          <w:rFonts w:ascii="Arial" w:cs="Arial" w:eastAsia="Arial" w:hAnsi="Arial"/>
          <w:sz w:val="16"/>
          <w:szCs w:val="16"/>
          <w:b w:val="1"/>
          <w:bCs w:val="1"/>
          <w:color w:val="auto"/>
        </w:rPr>
        <w:t>Liquidated Damages</w:t>
      </w:r>
      <w:r>
        <w:rPr>
          <w:rFonts w:ascii="Arial" w:cs="Arial" w:eastAsia="Arial" w:hAnsi="Arial"/>
          <w:sz w:val="16"/>
          <w:szCs w:val="16"/>
          <w:color w:val="auto"/>
        </w:rPr>
        <w:t>”. The parties agree that (1) notwithstanding anything to the contrary herein or in the Securities Purchase Agreement, no Liquidated Damages shall be payable with respect to any period after the expiration of the Effectiveness Period and in no event shall the aggregate amount of Liquidated Damages payable to an Investor pursuant to this Section 2(d) exceed, in the aggregate, five percent (5%) of the aggregate purchase price paid by such Investor pursuant to the Securities Purchase Agreement and (2) in no event shall the Company be liable in any thirty (30)-day period for Liquidated Damages under this Agreement in excess of one percent (1.0)% of the aggregate purchase price paid by the Investors pursuant to the Securities Purchase Agreement. If the Company fails to pay any Liquidated Damages pursuant to this Section 2(d) in full within seven (7) calendar days after the date payable, the Company will pay interest thereon at a rate of one percent (1.0%) per annum (or such lesser maximum amount that is permitted to be paid by applicable law) to the Investor, accruing daily from the date such Liquidated Damages are due until such amounts, plus all such interest thereon, are paid in full. The Liquidated Damages pursuant to the terms hereof shall apply on a daily pro rata basis for any portion of a month prior to the cure of an Event. The Effectiveness Deadline for a Registration Statement shall be extended without default and without the payment of Liquidated Damages to the Delinquent Investor (as defined herein) hereunder in the event that the Company’s failure to obtain the effectiveness of the Registration Statement on a timely basis results from the failure of an Investor to timely provide the Company with information requested by the Company and necessary to complete the Registration Statement in accordance with the requirements of the 1933 Act (such investor, a “</w:t>
      </w:r>
      <w:r>
        <w:rPr>
          <w:rFonts w:ascii="Arial" w:cs="Arial" w:eastAsia="Arial" w:hAnsi="Arial"/>
          <w:sz w:val="16"/>
          <w:szCs w:val="16"/>
          <w:b w:val="1"/>
          <w:bCs w:val="1"/>
          <w:color w:val="auto"/>
        </w:rPr>
        <w:t>Delinquent Investor</w:t>
      </w:r>
      <w:r>
        <w:rPr>
          <w:rFonts w:ascii="Arial" w:cs="Arial" w:eastAsia="Arial" w:hAnsi="Arial"/>
          <w:sz w:val="16"/>
          <w:szCs w:val="16"/>
          <w:color w:val="auto"/>
        </w:rPr>
        <w:t>”).</w:t>
      </w:r>
    </w:p>
    <w:p>
      <w:pPr>
        <w:spacing w:after="0" w:line="32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4"/>
          </w:cols>
          <w:pgMar w:left="436" w:top="274" w:right="439" w:bottom="1440" w:gutter="0" w:footer="0" w:header="0"/>
        </w:sectPr>
      </w:pPr>
    </w:p>
    <w:bookmarkStart w:id="66" w:name="page67"/>
    <w:bookmarkEnd w:id="66"/>
    <w:p>
      <w:pPr>
        <w:ind w:firstLine="436"/>
        <w:spacing w:after="0" w:line="284" w:lineRule="auto"/>
        <w:tabs>
          <w:tab w:leader="none" w:pos="685"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Rule 415; Cutback</w:t>
      </w:r>
      <w:r>
        <w:rPr>
          <w:rFonts w:ascii="Arial" w:cs="Arial" w:eastAsia="Arial" w:hAnsi="Arial"/>
          <w:sz w:val="16"/>
          <w:szCs w:val="16"/>
          <w:color w:val="auto"/>
        </w:rPr>
        <w:t xml:space="preserve">. If at any time the SEC takes the position that the offering of some or all of the Registrable Securities in a Registration Statement is not eligible to be made on a delayed or continuous basis under the provisions of Rule 415 under the 1933 Act or requires any Investor to be named as an “underwriter,” the Company shall use commercially reasonable efforts to persuade the SEC that the offering contemplated by such Registration Statement is a valid secondary offering and not an offering “by or on behalf of the issuer” as defined in Rule 415 and that none of the Investors is an “underwriter.” The Investors shall have the right to select legal counsel to review and oversee any registration or matters pursuant to this </w:t>
      </w:r>
      <w:r>
        <w:rPr>
          <w:rFonts w:ascii="Arial" w:cs="Arial" w:eastAsia="Arial" w:hAnsi="Arial"/>
          <w:sz w:val="16"/>
          <w:szCs w:val="16"/>
          <w:u w:val="single" w:color="auto"/>
          <w:color w:val="auto"/>
        </w:rPr>
        <w:t>Section 2(e)</w:t>
      </w:r>
      <w:r>
        <w:rPr>
          <w:rFonts w:ascii="Arial" w:cs="Arial" w:eastAsia="Arial" w:hAnsi="Arial"/>
          <w:sz w:val="16"/>
          <w:szCs w:val="16"/>
          <w:color w:val="auto"/>
        </w:rPr>
        <w:t xml:space="preserve">, including participation in any meetings or discussions with the SEC regarding the SEC’s position and to comment on any written submission made to the SEC with respect thereto, which counsel shall be designated by the holders of a majority of the Registrable Securities. No such written submission with respect to this matter shall be made to the SEC to which the Investors’ counsel reasonably objects. In the event that, despite the Company’s commercially reasonable efforts and compliance with the terms of this </w:t>
      </w:r>
      <w:r>
        <w:rPr>
          <w:rFonts w:ascii="Arial" w:cs="Arial" w:eastAsia="Arial" w:hAnsi="Arial"/>
          <w:sz w:val="16"/>
          <w:szCs w:val="16"/>
          <w:u w:val="single" w:color="auto"/>
          <w:color w:val="auto"/>
        </w:rPr>
        <w:t>Section 2(e)</w:t>
      </w:r>
      <w:r>
        <w:rPr>
          <w:rFonts w:ascii="Arial" w:cs="Arial" w:eastAsia="Arial" w:hAnsi="Arial"/>
          <w:sz w:val="16"/>
          <w:szCs w:val="16"/>
          <w:color w:val="auto"/>
        </w:rPr>
        <w:t>, the SEC refuses to alter its position before the Effectiveness Deadline, the Company shall (i) remove from such Registration Statement such portion of the Registrable Securities (the “</w:t>
      </w:r>
      <w:r>
        <w:rPr>
          <w:rFonts w:ascii="Arial" w:cs="Arial" w:eastAsia="Arial" w:hAnsi="Arial"/>
          <w:sz w:val="16"/>
          <w:szCs w:val="16"/>
          <w:b w:val="1"/>
          <w:bCs w:val="1"/>
          <w:color w:val="auto"/>
        </w:rPr>
        <w:t>Cut Back</w:t>
      </w:r>
      <w:r>
        <w:rPr>
          <w:rFonts w:ascii="Arial" w:cs="Arial" w:eastAsia="Arial" w:hAnsi="Arial"/>
          <w:sz w:val="16"/>
          <w:szCs w:val="16"/>
          <w:color w:val="auto"/>
        </w:rPr>
        <w:t xml:space="preserve"> </w:t>
      </w:r>
      <w:r>
        <w:rPr>
          <w:rFonts w:ascii="Arial" w:cs="Arial" w:eastAsia="Arial" w:hAnsi="Arial"/>
          <w:sz w:val="16"/>
          <w:szCs w:val="16"/>
          <w:b w:val="1"/>
          <w:bCs w:val="1"/>
          <w:color w:val="auto"/>
        </w:rPr>
        <w:t>Shares</w:t>
      </w:r>
      <w:r>
        <w:rPr>
          <w:rFonts w:ascii="Arial" w:cs="Arial" w:eastAsia="Arial" w:hAnsi="Arial"/>
          <w:sz w:val="16"/>
          <w:szCs w:val="16"/>
          <w:color w:val="auto"/>
        </w:rPr>
        <w:t>”) and/or (ii) agree to such restrictions and limitations on the registration and resale of the Registrable Securities as the SEC may require to assure</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Company’s compliance with the requirements of Rule 415 (collectively, the “</w:t>
      </w:r>
      <w:r>
        <w:rPr>
          <w:rFonts w:ascii="Arial" w:cs="Arial" w:eastAsia="Arial" w:hAnsi="Arial"/>
          <w:sz w:val="16"/>
          <w:szCs w:val="16"/>
          <w:b w:val="1"/>
          <w:bCs w:val="1"/>
          <w:color w:val="auto"/>
        </w:rPr>
        <w:t>SEC Restrictions</w:t>
      </w:r>
      <w:r>
        <w:rPr>
          <w:rFonts w:ascii="Arial" w:cs="Arial" w:eastAsia="Arial" w:hAnsi="Arial"/>
          <w:sz w:val="16"/>
          <w:szCs w:val="16"/>
          <w:color w:val="auto"/>
        </w:rPr>
        <w:t xml:space="preserve">”); provided, however, that the Company shall not agree to name any Investor as an “underwriter” in such Registration Statement without the prior written consent of such Investor. Any cut-back imposed on the Investors pursuant to this </w:t>
      </w:r>
      <w:r>
        <w:rPr>
          <w:rFonts w:ascii="Arial" w:cs="Arial" w:eastAsia="Arial" w:hAnsi="Arial"/>
          <w:sz w:val="16"/>
          <w:szCs w:val="16"/>
          <w:u w:val="single" w:color="auto"/>
          <w:color w:val="auto"/>
        </w:rPr>
        <w:t>Section 2(e)</w:t>
      </w:r>
      <w:r>
        <w:rPr>
          <w:rFonts w:ascii="Arial" w:cs="Arial" w:eastAsia="Arial" w:hAnsi="Arial"/>
          <w:sz w:val="16"/>
          <w:szCs w:val="16"/>
          <w:color w:val="auto"/>
        </w:rPr>
        <w:t xml:space="preserve"> shall be allocated among the Investors on a pro rata basis and shall be applied first to any of the Registrable Securities of such Investor as such Investor shall designate, unless the SEC Restrictions otherwise require or provide or the Investors otherwise agree. From and after the date on which the Company is able to effect the registration of such Cut Back Shares (such date, the “</w:t>
      </w:r>
      <w:r>
        <w:rPr>
          <w:rFonts w:ascii="Arial" w:cs="Arial" w:eastAsia="Arial" w:hAnsi="Arial"/>
          <w:sz w:val="16"/>
          <w:szCs w:val="16"/>
          <w:b w:val="1"/>
          <w:bCs w:val="1"/>
          <w:color w:val="auto"/>
        </w:rPr>
        <w:t>Restriction Termination</w:t>
      </w:r>
      <w:r>
        <w:rPr>
          <w:rFonts w:ascii="Arial" w:cs="Arial" w:eastAsia="Arial" w:hAnsi="Arial"/>
          <w:sz w:val="16"/>
          <w:szCs w:val="16"/>
          <w:color w:val="auto"/>
        </w:rPr>
        <w:t xml:space="preserve"> </w:t>
      </w:r>
      <w:r>
        <w:rPr>
          <w:rFonts w:ascii="Arial" w:cs="Arial" w:eastAsia="Arial" w:hAnsi="Arial"/>
          <w:sz w:val="16"/>
          <w:szCs w:val="16"/>
          <w:b w:val="1"/>
          <w:bCs w:val="1"/>
          <w:color w:val="auto"/>
        </w:rPr>
        <w:t>Date</w:t>
      </w:r>
      <w:r>
        <w:rPr>
          <w:rFonts w:ascii="Arial" w:cs="Arial" w:eastAsia="Arial" w:hAnsi="Arial"/>
          <w:sz w:val="16"/>
          <w:szCs w:val="16"/>
          <w:color w:val="auto"/>
        </w:rPr>
        <w:t>”), all of the provisions of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the Company’s obligations with respect to the filing of a Registration Statement and its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obligations to use commercially reasonable efforts to have such Registration Statement declared effective within the time periods set forth herein) shall again be applicable to such Cut Back Shares;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the Filing Deadline for such Registration Statement including such Cut Back Shares shall be ten (10) Business Days after the Restriction Termination Date, and (ii) the Company shall use commercially reasonable efforts to have such Registration Statement including such Cut Back shares declared effective as soon as practicable after the filing thereof, but in any event no later than the earlier of (i) sixty (60) calendar days after the Restriction Termination Date (or, in the event the SEC reviews and has written comments to such Registration Statement, ninety (90) calendar days after the Restriction Termination Date) and (ii) the tenth (10</w:t>
      </w:r>
      <w:r>
        <w:rPr>
          <w:rFonts w:ascii="Arial" w:cs="Arial" w:eastAsia="Arial" w:hAnsi="Arial"/>
          <w:sz w:val="13"/>
          <w:szCs w:val="13"/>
          <w:color w:val="auto"/>
        </w:rPr>
        <w:t>th</w:t>
      </w:r>
      <w:r>
        <w:rPr>
          <w:rFonts w:ascii="Arial" w:cs="Arial" w:eastAsia="Arial" w:hAnsi="Arial"/>
          <w:sz w:val="16"/>
          <w:szCs w:val="16"/>
          <w:color w:val="auto"/>
        </w:rPr>
        <w:t>) Business Day after the Company is notified (orally or in writing, whichever is earlier) by the SEC that such Registration Statement will not be “reviewed” or will not be subject to further review by the SEC. Notwithstanding anything to the contrary in this Section 2, the Company shall not be liable for Liquidated Damages under this Agreement as to any Registrable Securities which are not permitted by the SEC to be included in a Registration Statement due solely to the SEC Restrictions. In such case, the Liquidated Damages shall be calculated to only apply to the percentage of Registrable Securities which are permitted in accordance with the SEC Restrictions to be included in such Registration Statement.</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67" w:name="page68"/>
    <w:bookmarkEnd w:id="67"/>
    <w:p>
      <w:pPr>
        <w:ind w:left="4" w:right="600" w:hanging="4"/>
        <w:spacing w:after="0" w:line="277" w:lineRule="auto"/>
        <w:tabs>
          <w:tab w:leader="none" w:pos="184"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COMPANY OBLIGATIONS</w:t>
      </w:r>
      <w:r>
        <w:rPr>
          <w:rFonts w:ascii="Arial" w:cs="Arial" w:eastAsia="Arial" w:hAnsi="Arial"/>
          <w:sz w:val="18"/>
          <w:szCs w:val="18"/>
          <w:color w:val="auto"/>
        </w:rPr>
        <w:t>. The Company will use commercially reasonable efforts to effect the registration of the Registrable Securities in accordance with the terms hereof, and pursuant thereto the Company will, as expeditiously as possible:</w:t>
      </w:r>
    </w:p>
    <w:p>
      <w:pPr>
        <w:spacing w:after="0" w:line="62" w:lineRule="exact"/>
        <w:rPr>
          <w:rFonts w:ascii="Arial" w:cs="Arial" w:eastAsia="Arial" w:hAnsi="Arial"/>
          <w:sz w:val="18"/>
          <w:szCs w:val="18"/>
          <w:color w:val="auto"/>
        </w:rPr>
      </w:pPr>
    </w:p>
    <w:p>
      <w:pPr>
        <w:ind w:left="4" w:firstLine="436"/>
        <w:spacing w:after="0" w:line="275" w:lineRule="auto"/>
        <w:tabs>
          <w:tab w:leader="none" w:pos="689" w:val="left"/>
        </w:tabs>
        <w:numPr>
          <w:ilvl w:val="1"/>
          <w:numId w:val="57"/>
        </w:numPr>
        <w:rPr>
          <w:rFonts w:ascii="Arial" w:cs="Arial" w:eastAsia="Arial" w:hAnsi="Arial"/>
          <w:sz w:val="17"/>
          <w:szCs w:val="17"/>
          <w:color w:val="auto"/>
        </w:rPr>
      </w:pPr>
      <w:r>
        <w:rPr>
          <w:rFonts w:ascii="Arial" w:cs="Arial" w:eastAsia="Arial" w:hAnsi="Arial"/>
          <w:sz w:val="17"/>
          <w:szCs w:val="17"/>
          <w:color w:val="auto"/>
        </w:rPr>
        <w:t>use commercially reasonable efforts to cause such Registration Statement to become effective and to remain continuously effective for a period that will terminate upon the earlier of (i) the date on which all Registrable Securities covered by such Registration Statement have been disposed of pursuant to and in accordance with such Registration Statement, and (ii) the date on which all Registrable Securities covered by such Registration Statement may be sold without restriction or limitation pursuant to Rule 144 and without the requirement to be in compliance with Rule 144(c)(1) (or any successor thereto) promulgated under the 1933 Act during any ninety (90) day period (the “</w:t>
      </w:r>
      <w:r>
        <w:rPr>
          <w:rFonts w:ascii="Arial" w:cs="Arial" w:eastAsia="Arial" w:hAnsi="Arial"/>
          <w:sz w:val="17"/>
          <w:szCs w:val="17"/>
          <w:b w:val="1"/>
          <w:bCs w:val="1"/>
          <w:color w:val="auto"/>
        </w:rPr>
        <w:t>Effectiveness Period</w:t>
      </w:r>
      <w:r>
        <w:rPr>
          <w:rFonts w:ascii="Arial" w:cs="Arial" w:eastAsia="Arial" w:hAnsi="Arial"/>
          <w:sz w:val="17"/>
          <w:szCs w:val="17"/>
          <w:color w:val="auto"/>
        </w:rPr>
        <w:t>”);</w:t>
      </w:r>
    </w:p>
    <w:p>
      <w:pPr>
        <w:spacing w:after="0" w:line="68" w:lineRule="exact"/>
        <w:rPr>
          <w:rFonts w:ascii="Arial" w:cs="Arial" w:eastAsia="Arial" w:hAnsi="Arial"/>
          <w:sz w:val="17"/>
          <w:szCs w:val="17"/>
          <w:color w:val="auto"/>
        </w:rPr>
      </w:pPr>
    </w:p>
    <w:p>
      <w:pPr>
        <w:jc w:val="both"/>
        <w:ind w:left="4" w:right="140" w:firstLine="436"/>
        <w:spacing w:after="0" w:line="263" w:lineRule="auto"/>
        <w:tabs>
          <w:tab w:leader="none" w:pos="699" w:val="left"/>
        </w:tabs>
        <w:numPr>
          <w:ilvl w:val="1"/>
          <w:numId w:val="57"/>
        </w:numPr>
        <w:rPr>
          <w:rFonts w:ascii="Arial" w:cs="Arial" w:eastAsia="Arial" w:hAnsi="Arial"/>
          <w:sz w:val="18"/>
          <w:szCs w:val="18"/>
          <w:color w:val="auto"/>
        </w:rPr>
      </w:pPr>
      <w:r>
        <w:rPr>
          <w:rFonts w:ascii="Arial" w:cs="Arial" w:eastAsia="Arial" w:hAnsi="Arial"/>
          <w:sz w:val="18"/>
          <w:szCs w:val="18"/>
          <w:color w:val="auto"/>
        </w:rPr>
        <w:t>prepare and file with the SEC such amendments and post-effective amendments to such Registration Statement and the related Prospectus as may be necessary to keep such Registration Statement effective for the Effectiveness Period and to comply with the provisions of the 1933 Act and the 1934 Act with respect to the distribution of all of the Registrable Securities covered thereby;</w:t>
      </w:r>
    </w:p>
    <w:p>
      <w:pPr>
        <w:spacing w:after="0" w:line="75" w:lineRule="exact"/>
        <w:rPr>
          <w:rFonts w:ascii="Arial" w:cs="Arial" w:eastAsia="Arial" w:hAnsi="Arial"/>
          <w:sz w:val="18"/>
          <w:szCs w:val="18"/>
          <w:color w:val="auto"/>
        </w:rPr>
      </w:pPr>
    </w:p>
    <w:p>
      <w:pPr>
        <w:ind w:left="4" w:right="100" w:firstLine="436"/>
        <w:spacing w:after="0" w:line="285" w:lineRule="auto"/>
        <w:tabs>
          <w:tab w:leader="none" w:pos="689" w:val="left"/>
        </w:tabs>
        <w:numPr>
          <w:ilvl w:val="1"/>
          <w:numId w:val="57"/>
        </w:numPr>
        <w:rPr>
          <w:rFonts w:ascii="Arial" w:cs="Arial" w:eastAsia="Arial" w:hAnsi="Arial"/>
          <w:sz w:val="16"/>
          <w:szCs w:val="16"/>
          <w:color w:val="auto"/>
        </w:rPr>
      </w:pPr>
      <w:r>
        <w:rPr>
          <w:rFonts w:ascii="Arial" w:cs="Arial" w:eastAsia="Arial" w:hAnsi="Arial"/>
          <w:sz w:val="16"/>
          <w:szCs w:val="16"/>
          <w:color w:val="auto"/>
        </w:rPr>
        <w:t>provide copies to and permit the Investors to review each Registration Statement and all amendments and supplements thereto not less than five (5) Trading Days prior to the filing of each Registration Statement and not less than three (3) Trading Days prior to the filing of any related Prospectus or any amendment or supplement thereto (except for Annual Reports on Form 10-K, Quarterly Reports on Form 10-Q and Current Reports on Form 8-K and any similar or successor reports) and not file any document to which such Investor reasonably objects in good faith (it being acknowledged and agreed that if an Investor does not object to or comment on the aforementioned documents within such five (5) Trading Day or three</w:t>
      </w:r>
    </w:p>
    <w:p>
      <w:pPr>
        <w:spacing w:after="0" w:line="1" w:lineRule="exact"/>
        <w:rPr>
          <w:rFonts w:ascii="Arial" w:cs="Arial" w:eastAsia="Arial" w:hAnsi="Arial"/>
          <w:sz w:val="16"/>
          <w:szCs w:val="16"/>
          <w:color w:val="auto"/>
        </w:rPr>
      </w:pPr>
    </w:p>
    <w:p>
      <w:pPr>
        <w:jc w:val="both"/>
        <w:ind w:left="4" w:right="80"/>
        <w:spacing w:after="0" w:line="255" w:lineRule="auto"/>
        <w:rPr>
          <w:rFonts w:ascii="Arial" w:cs="Arial" w:eastAsia="Arial" w:hAnsi="Arial"/>
          <w:sz w:val="16"/>
          <w:szCs w:val="16"/>
          <w:color w:val="auto"/>
        </w:rPr>
      </w:pPr>
      <w:r>
        <w:rPr>
          <w:rFonts w:ascii="Arial" w:cs="Arial" w:eastAsia="Arial" w:hAnsi="Arial"/>
          <w:sz w:val="18"/>
          <w:szCs w:val="18"/>
          <w:color w:val="auto"/>
        </w:rPr>
        <w:t xml:space="preserve">(3) Trading Day period, as the case may be, then the Investor shall be deemed to have consented to and approved the use of such documents), provided that, the Company is notified of such objection in writing within the five (5) Trading Day or three (3) Trading Day period described in this </w:t>
      </w:r>
      <w:r>
        <w:rPr>
          <w:rFonts w:ascii="Arial" w:cs="Arial" w:eastAsia="Arial" w:hAnsi="Arial"/>
          <w:sz w:val="18"/>
          <w:szCs w:val="18"/>
          <w:u w:val="single" w:color="auto"/>
          <w:color w:val="auto"/>
        </w:rPr>
        <w:t>Section 3(c)</w:t>
      </w:r>
      <w:r>
        <w:rPr>
          <w:rFonts w:ascii="Arial" w:cs="Arial" w:eastAsia="Arial" w:hAnsi="Arial"/>
          <w:sz w:val="18"/>
          <w:szCs w:val="18"/>
          <w:color w:val="auto"/>
        </w:rPr>
        <w:t>, as applicable;</w:t>
      </w:r>
    </w:p>
    <w:p>
      <w:pPr>
        <w:spacing w:after="0" w:line="81" w:lineRule="exact"/>
        <w:rPr>
          <w:rFonts w:ascii="Arial" w:cs="Arial" w:eastAsia="Arial" w:hAnsi="Arial"/>
          <w:sz w:val="16"/>
          <w:szCs w:val="16"/>
          <w:color w:val="auto"/>
        </w:rPr>
      </w:pPr>
    </w:p>
    <w:p>
      <w:pPr>
        <w:ind w:left="4" w:right="20" w:firstLine="436"/>
        <w:spacing w:after="0" w:line="290" w:lineRule="auto"/>
        <w:tabs>
          <w:tab w:leader="none" w:pos="699" w:val="left"/>
        </w:tabs>
        <w:numPr>
          <w:ilvl w:val="1"/>
          <w:numId w:val="57"/>
        </w:numPr>
        <w:rPr>
          <w:rFonts w:ascii="Arial" w:cs="Arial" w:eastAsia="Arial" w:hAnsi="Arial"/>
          <w:sz w:val="16"/>
          <w:szCs w:val="16"/>
          <w:color w:val="auto"/>
        </w:rPr>
      </w:pPr>
      <w:r>
        <w:rPr>
          <w:rFonts w:ascii="Arial" w:cs="Arial" w:eastAsia="Arial" w:hAnsi="Arial"/>
          <w:sz w:val="16"/>
          <w:szCs w:val="16"/>
          <w:color w:val="auto"/>
        </w:rPr>
        <w:t>furnish to each Investor whose Registrable Securities are included in any Registration Statement (i) promptly after the same is prepared and filed with the SEC, if requested by the Investor, one (1) copy of any Registration Statement and any amendment thereto (</w:t>
      </w:r>
      <w:r>
        <w:rPr>
          <w:rFonts w:ascii="Arial" w:cs="Arial" w:eastAsia="Arial" w:hAnsi="Arial"/>
          <w:sz w:val="16"/>
          <w:szCs w:val="16"/>
          <w:u w:val="single" w:color="auto"/>
          <w:color w:val="auto"/>
        </w:rPr>
        <w:t>provided</w:t>
      </w:r>
      <w:r>
        <w:rPr>
          <w:rFonts w:ascii="Arial" w:cs="Arial" w:eastAsia="Arial" w:hAnsi="Arial"/>
          <w:sz w:val="16"/>
          <w:szCs w:val="16"/>
          <w:color w:val="auto"/>
        </w:rPr>
        <w:t>, that the Company shall have no obligation to provide any document pursuant to this clause that is available on the SEC’s EDGAR system), each preliminary prospectus and Prospectus and each amendment or supplement thereto, and each letter written by or on behalf of the Company to the SEC or the staff of the SEC, and each item of correspondence from the SEC or the staff of the SEC, in each case relating to such Registration Statement (other than any portion thereof which contains information for which the Company has sought confidential treatment), and (ii) such number of copies of a Prospectus, including a preliminary prospectus, and all amendments and supplements thereto and such other documents as each Investor may reasonably request in order to facilitate the disposition of the Registrable Securities owned by such Investor that are covered by such Registration Statement;</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74" w:right="459" w:bottom="1440" w:gutter="0" w:footer="0" w:header="0"/>
        </w:sectPr>
      </w:pPr>
    </w:p>
    <w:bookmarkStart w:id="68" w:name="page69"/>
    <w:bookmarkEnd w:id="68"/>
    <w:p>
      <w:pPr>
        <w:ind w:left="-20" w:right="200" w:firstLine="436"/>
        <w:spacing w:after="0" w:line="277" w:lineRule="auto"/>
        <w:tabs>
          <w:tab w:leader="none" w:pos="665" w:val="left"/>
        </w:tabs>
        <w:numPr>
          <w:ilvl w:val="0"/>
          <w:numId w:val="5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use commercially reasonable efforts to (i) prevent the issuance of any stop order or other suspension of effectiveness and, (ii) if such order is issued, obtain the withdrawal of any such order at the earliest practical moment;</w:t>
      </w:r>
    </w:p>
    <w:p>
      <w:pPr>
        <w:spacing w:after="0" w:line="62" w:lineRule="exact"/>
        <w:rPr>
          <w:rFonts w:ascii="Arial" w:cs="Arial" w:eastAsia="Arial" w:hAnsi="Arial"/>
          <w:sz w:val="18"/>
          <w:szCs w:val="18"/>
          <w:color w:val="auto"/>
        </w:rPr>
      </w:pPr>
    </w:p>
    <w:p>
      <w:pPr>
        <w:ind w:left="-20" w:right="80" w:firstLine="436"/>
        <w:spacing w:after="0" w:line="272" w:lineRule="auto"/>
        <w:tabs>
          <w:tab w:leader="none" w:pos="645" w:val="left"/>
        </w:tabs>
        <w:numPr>
          <w:ilvl w:val="0"/>
          <w:numId w:val="58"/>
        </w:numPr>
        <w:rPr>
          <w:rFonts w:ascii="Arial" w:cs="Arial" w:eastAsia="Arial" w:hAnsi="Arial"/>
          <w:sz w:val="17"/>
          <w:szCs w:val="17"/>
          <w:color w:val="auto"/>
        </w:rPr>
      </w:pPr>
      <w:r>
        <w:rPr>
          <w:rFonts w:ascii="Arial" w:cs="Arial" w:eastAsia="Arial" w:hAnsi="Arial"/>
          <w:sz w:val="17"/>
          <w:szCs w:val="17"/>
          <w:color w:val="auto"/>
        </w:rPr>
        <w:t xml:space="preserve">prior to any public offering of Registrable Securities, use commercially reasonable efforts to register or qualify or cooperate with the Investors and their counsel in connection with the registration or qualification of such Registrable Securities for the offer and sale under the securities or blue sky laws of such jurisdictions requested by the Investors and do any and all other commercially reasonable acts or things necessary or advisable to enable the distribution in such jurisdictions of the Registrable Securities covered by the Registration Statement; provided, however, that the Company shall not be required in connection therewith or as a condition thereto to (i) qualify to do business in any jurisdiction where it would not otherwise be required to qualify but for this </w:t>
      </w:r>
      <w:r>
        <w:rPr>
          <w:rFonts w:ascii="Arial" w:cs="Arial" w:eastAsia="Arial" w:hAnsi="Arial"/>
          <w:sz w:val="17"/>
          <w:szCs w:val="17"/>
          <w:u w:val="single" w:color="auto"/>
          <w:color w:val="auto"/>
        </w:rPr>
        <w:t>Section 3(f)</w:t>
      </w:r>
      <w:r>
        <w:rPr>
          <w:rFonts w:ascii="Arial" w:cs="Arial" w:eastAsia="Arial" w:hAnsi="Arial"/>
          <w:sz w:val="17"/>
          <w:szCs w:val="17"/>
          <w:color w:val="auto"/>
        </w:rPr>
        <w:t xml:space="preserve">, (ii) subject itself to general taxation in any jurisdiction where it would not otherwise be so subject but for this </w:t>
      </w:r>
      <w:r>
        <w:rPr>
          <w:rFonts w:ascii="Arial" w:cs="Arial" w:eastAsia="Arial" w:hAnsi="Arial"/>
          <w:sz w:val="17"/>
          <w:szCs w:val="17"/>
          <w:u w:val="single" w:color="auto"/>
          <w:color w:val="auto"/>
        </w:rPr>
        <w:t>Section 3(f)</w:t>
      </w:r>
      <w:r>
        <w:rPr>
          <w:rFonts w:ascii="Arial" w:cs="Arial" w:eastAsia="Arial" w:hAnsi="Arial"/>
          <w:sz w:val="17"/>
          <w:szCs w:val="17"/>
          <w:color w:val="auto"/>
        </w:rPr>
        <w:t>, or (iii) file a general consent to service of process in any such jurisdiction;</w:t>
      </w:r>
    </w:p>
    <w:p>
      <w:pPr>
        <w:spacing w:after="0" w:line="69" w:lineRule="exact"/>
        <w:rPr>
          <w:rFonts w:ascii="Arial" w:cs="Arial" w:eastAsia="Arial" w:hAnsi="Arial"/>
          <w:sz w:val="17"/>
          <w:szCs w:val="17"/>
          <w:color w:val="auto"/>
        </w:rPr>
      </w:pPr>
    </w:p>
    <w:p>
      <w:pPr>
        <w:ind w:left="-20" w:right="420" w:firstLine="436"/>
        <w:spacing w:after="0" w:line="263" w:lineRule="auto"/>
        <w:tabs>
          <w:tab w:leader="none" w:pos="675" w:val="left"/>
        </w:tabs>
        <w:numPr>
          <w:ilvl w:val="0"/>
          <w:numId w:val="58"/>
        </w:numPr>
        <w:rPr>
          <w:rFonts w:ascii="Arial" w:cs="Arial" w:eastAsia="Arial" w:hAnsi="Arial"/>
          <w:sz w:val="18"/>
          <w:szCs w:val="18"/>
          <w:color w:val="auto"/>
        </w:rPr>
      </w:pPr>
      <w:r>
        <w:rPr>
          <w:rFonts w:ascii="Arial" w:cs="Arial" w:eastAsia="Arial" w:hAnsi="Arial"/>
          <w:sz w:val="18"/>
          <w:szCs w:val="18"/>
          <w:color w:val="auto"/>
        </w:rPr>
        <w:t>use commercially reasonable efforts to cause all Registrable Securities covered by a Registration Statement to be listed on each securities exchange, interdealer quotation system or other market on which similar securities issued by the Company are then listed at the direction of the Company;</w:t>
      </w:r>
    </w:p>
    <w:p>
      <w:pPr>
        <w:spacing w:after="0" w:line="75" w:lineRule="exact"/>
        <w:rPr>
          <w:rFonts w:ascii="Arial" w:cs="Arial" w:eastAsia="Arial" w:hAnsi="Arial"/>
          <w:sz w:val="18"/>
          <w:szCs w:val="18"/>
          <w:color w:val="auto"/>
        </w:rPr>
      </w:pPr>
    </w:p>
    <w:p>
      <w:pPr>
        <w:ind w:left="-20" w:right="40" w:firstLine="436"/>
        <w:spacing w:after="0" w:line="257" w:lineRule="auto"/>
        <w:tabs>
          <w:tab w:leader="none" w:pos="675"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promptly notify the Investors, at any time prior to the end of the Effectiveness Period, upon discovery that, or upon the happening of any event as a result of which, the Prospectus includes an untrue statement of a material fact or omits to state any material fact required to be stated therein or necessary to make the statements therein not misleading in light of the circumstances then existing (a “</w:t>
      </w:r>
      <w:r>
        <w:rPr>
          <w:rFonts w:ascii="Arial" w:cs="Arial" w:eastAsia="Arial" w:hAnsi="Arial"/>
          <w:sz w:val="18"/>
          <w:szCs w:val="18"/>
          <w:b w:val="1"/>
          <w:bCs w:val="1"/>
          <w:color w:val="auto"/>
        </w:rPr>
        <w:t>Misstatement</w:t>
      </w:r>
      <w:r>
        <w:rPr>
          <w:rFonts w:ascii="Arial" w:cs="Arial" w:eastAsia="Arial" w:hAnsi="Arial"/>
          <w:sz w:val="18"/>
          <w:szCs w:val="18"/>
          <w:color w:val="auto"/>
        </w:rPr>
        <w:t>”), and promptly prepare, file with the SEC and furnish to such holder a supplement to or an amendment of such Prospectus as may be necessary so that such Prospectus shall not include such Misstatement;</w:t>
      </w:r>
    </w:p>
    <w:p>
      <w:pPr>
        <w:spacing w:after="0" w:line="79" w:lineRule="exact"/>
        <w:rPr>
          <w:rFonts w:ascii="Arial" w:cs="Arial" w:eastAsia="Arial" w:hAnsi="Arial"/>
          <w:sz w:val="18"/>
          <w:szCs w:val="18"/>
          <w:color w:val="auto"/>
        </w:rPr>
      </w:pPr>
    </w:p>
    <w:p>
      <w:pPr>
        <w:ind w:left="-20" w:firstLine="436"/>
        <w:spacing w:after="0" w:line="269" w:lineRule="auto"/>
        <w:tabs>
          <w:tab w:leader="none" w:pos="635" w:val="left"/>
        </w:tabs>
        <w:numPr>
          <w:ilvl w:val="0"/>
          <w:numId w:val="58"/>
        </w:numPr>
        <w:rPr>
          <w:rFonts w:ascii="Arial" w:cs="Arial" w:eastAsia="Arial" w:hAnsi="Arial"/>
          <w:sz w:val="17"/>
          <w:szCs w:val="17"/>
          <w:color w:val="auto"/>
        </w:rPr>
      </w:pPr>
      <w:r>
        <w:rPr>
          <w:rFonts w:ascii="Arial" w:cs="Arial" w:eastAsia="Arial" w:hAnsi="Arial"/>
          <w:sz w:val="17"/>
          <w:szCs w:val="17"/>
          <w:color w:val="auto"/>
        </w:rPr>
        <w:t xml:space="preserve">otherwise use commercially reasonable efforts to comply with all applicable rules and regulations of the SEC under the 1933 Act and the 1934 Act, including, without limitation, Rule 172 under the 1933 Act, file any final Prospectus, including any supplement or amendment thereof, with the SEC pursuant to Rule 424 under the 1933 Act, promptly inform the Investors in writing if, at any time during the Effectiveness Period, the Company does not satisfy the conditions specified in Rule 172 and, as a result thereof, the Investors are required to deliver a Prospectus in connection with any disposition of Registrable Securities and take such other actions as may be reasonably necessary to facilitate the registration of the Registrable Securities hereunder; and make available to its security holders, as soon as reasonably practicable, but not later than the Availability Date (as defined below), an earnings statement covering a period of at least twelve (12) months, beginning after the effective date of each Registration Statement, which earnings statement shall satisfy the provisions of Section 11(a) of the 1933 Act, including Rule 158 promulgated thereunder (for the purpose of this </w:t>
      </w:r>
      <w:r>
        <w:rPr>
          <w:rFonts w:ascii="Arial" w:cs="Arial" w:eastAsia="Arial" w:hAnsi="Arial"/>
          <w:sz w:val="17"/>
          <w:szCs w:val="17"/>
          <w:u w:val="single" w:color="auto"/>
          <w:color w:val="auto"/>
        </w:rPr>
        <w:t>Section 3(i)</w:t>
      </w:r>
      <w:r>
        <w:rPr>
          <w:rFonts w:ascii="Arial" w:cs="Arial" w:eastAsia="Arial" w:hAnsi="Arial"/>
          <w:sz w:val="17"/>
          <w:szCs w:val="17"/>
          <w:color w:val="auto"/>
        </w:rPr>
        <w:t>, “</w:t>
      </w:r>
      <w:r>
        <w:rPr>
          <w:rFonts w:ascii="Arial" w:cs="Arial" w:eastAsia="Arial" w:hAnsi="Arial"/>
          <w:sz w:val="17"/>
          <w:szCs w:val="17"/>
          <w:b w:val="1"/>
          <w:bCs w:val="1"/>
          <w:color w:val="auto"/>
        </w:rPr>
        <w:t>Availability Date</w:t>
      </w:r>
      <w:r>
        <w:rPr>
          <w:rFonts w:ascii="Arial" w:cs="Arial" w:eastAsia="Arial" w:hAnsi="Arial"/>
          <w:sz w:val="17"/>
          <w:szCs w:val="17"/>
          <w:color w:val="auto"/>
        </w:rPr>
        <w:t>” means the 45th day following the end of the fourth fiscal quarter that includes the effective date of such Registration Statement, except that, if such fourth fiscal quarter is the last quarter of the Company’s fiscal year, “</w:t>
      </w:r>
      <w:r>
        <w:rPr>
          <w:rFonts w:ascii="Arial" w:cs="Arial" w:eastAsia="Arial" w:hAnsi="Arial"/>
          <w:sz w:val="17"/>
          <w:szCs w:val="17"/>
          <w:b w:val="1"/>
          <w:bCs w:val="1"/>
          <w:color w:val="auto"/>
        </w:rPr>
        <w:t>Availability Date</w:t>
      </w:r>
      <w:r>
        <w:rPr>
          <w:rFonts w:ascii="Arial" w:cs="Arial" w:eastAsia="Arial" w:hAnsi="Arial"/>
          <w:sz w:val="17"/>
          <w:szCs w:val="17"/>
          <w:color w:val="auto"/>
        </w:rPr>
        <w:t>” means the 90th day after the end of such fourth fiscal quarter); and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60" w:top="274" w:right="459" w:bottom="1440" w:gutter="0" w:footer="0" w:header="0"/>
        </w:sectPr>
      </w:pPr>
    </w:p>
    <w:bookmarkStart w:id="69" w:name="page70"/>
    <w:bookmarkEnd w:id="69"/>
    <w:p>
      <w:pPr>
        <w:jc w:val="both"/>
        <w:ind w:left="4" w:right="20" w:firstLine="436"/>
        <w:spacing w:after="0" w:line="286" w:lineRule="auto"/>
        <w:tabs>
          <w:tab w:leader="none" w:pos="659" w:val="left"/>
        </w:tabs>
        <w:numPr>
          <w:ilvl w:val="1"/>
          <w:numId w:val="5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a view to making available to the Investors the benefits of Rule 144 (or its successor rule) and any other rule or regulation of the SEC that may at any time permit the Investors to sell shares of Common Stock to the public without registration, the Company covenants and agrees to: (i) make and keep adequate public information available, as those terms are understood and defined in Rule 144, until the earlier of (A) six (6) months after such date as all of the Registrable Securities may be sold without restriction by the holders thereof pursuant to Rule 144 or any other rule of similar effect or</w:t>
      </w:r>
    </w:p>
    <w:p>
      <w:pPr>
        <w:spacing w:after="0" w:line="1" w:lineRule="exact"/>
        <w:rPr>
          <w:rFonts w:ascii="Arial" w:cs="Arial" w:eastAsia="Arial" w:hAnsi="Arial"/>
          <w:sz w:val="16"/>
          <w:szCs w:val="16"/>
          <w:color w:val="auto"/>
        </w:rPr>
      </w:pPr>
    </w:p>
    <w:p>
      <w:pPr>
        <w:ind w:left="4" w:right="100" w:hanging="4"/>
        <w:spacing w:after="0" w:line="269" w:lineRule="auto"/>
        <w:tabs>
          <w:tab w:leader="none" w:pos="289" w:val="left"/>
        </w:tabs>
        <w:numPr>
          <w:ilvl w:val="0"/>
          <w:numId w:val="60"/>
        </w:numPr>
        <w:rPr>
          <w:rFonts w:ascii="Arial" w:cs="Arial" w:eastAsia="Arial" w:hAnsi="Arial"/>
          <w:sz w:val="17"/>
          <w:szCs w:val="17"/>
          <w:color w:val="auto"/>
        </w:rPr>
      </w:pPr>
      <w:r>
        <w:rPr>
          <w:rFonts w:ascii="Arial" w:cs="Arial" w:eastAsia="Arial" w:hAnsi="Arial"/>
          <w:sz w:val="17"/>
          <w:szCs w:val="17"/>
          <w:color w:val="auto"/>
        </w:rPr>
        <w:t>such date as all of the Registrable Securities shall have been resold; (ii) file with the SEC in a timely manner all reports and other documents required of the Company under the 1934 Act; (iii) prior to the filing of any Registration Statement or any amendment thereto (whether pre-effective or post-effective) and prior to the filing of any Prospectus, provide to each Investor copies of all pages thereof (if any) that reference such Investors, and (iv) furnish to each Investor upon request, as long as such Investor owns any Registrable Securities, (A) a written statement by the Company that it has complied with the reporting requirements of the 1934 Act, (B) a copy of the Company’s most recent Annual Report on Form 10-K or Quarterly Report on Form 10-Q, and (C) such other information as may be reasonably requested in order to avail such Investor of any rule or regulation of the SEC that permits the selling of any such Registrable Securities without registration.</w:t>
      </w:r>
    </w:p>
    <w:p>
      <w:pPr>
        <w:spacing w:after="0" w:line="72" w:lineRule="exact"/>
        <w:rPr>
          <w:sz w:val="20"/>
          <w:szCs w:val="20"/>
          <w:color w:val="auto"/>
        </w:rPr>
      </w:pPr>
    </w:p>
    <w:p>
      <w:pPr>
        <w:ind w:left="184" w:hanging="184"/>
        <w:spacing w:after="0"/>
        <w:tabs>
          <w:tab w:leader="none" w:pos="184"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OBLIGATION OF THE INVESTORS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firstLine="436"/>
        <w:spacing w:after="0" w:line="268" w:lineRule="auto"/>
        <w:tabs>
          <w:tab w:leader="none" w:pos="689" w:val="left"/>
        </w:tabs>
        <w:numPr>
          <w:ilvl w:val="1"/>
          <w:numId w:val="61"/>
        </w:numPr>
        <w:rPr>
          <w:rFonts w:ascii="Arial" w:cs="Arial" w:eastAsia="Arial" w:hAnsi="Arial"/>
          <w:sz w:val="17"/>
          <w:szCs w:val="17"/>
          <w:color w:val="auto"/>
        </w:rPr>
      </w:pPr>
      <w:r>
        <w:rPr>
          <w:rFonts w:ascii="Arial" w:cs="Arial" w:eastAsia="Arial" w:hAnsi="Arial"/>
          <w:sz w:val="17"/>
          <w:szCs w:val="17"/>
          <w:color w:val="auto"/>
        </w:rPr>
        <w:t xml:space="preserve">Each Investor agrees to furnish to the Company a completed Selling Investor Questionnaire on the Effective Date. At least ten (10) Trading Days prior to the first anticipated filing date of a Registration Statement for any registration under this Agreement, the Company will notify each Investor of the information the Company requires from that Investor other than the information contained in the Selling Investor Questionnaire, if any, which shall be completed and delivered to the Company promptly upon request and, in any event, within three (3) Trading Days prior to the applicable anticipated filing date. Each Investor further agrees that it shall not be entitled to be named as a selling securityholder in the Registration Statement or use the Prospectus for offers and resales of Registrable Securities at any time, unless such Investor has returned to the Company a completed and signed Selling Investor Questionnaire and a response to any reasonable requests for further information as described in the previous sentence. If an Investor returns a Selling Investor Questionnaire or a request for further information, in either case, after its respective deadline, the Company shall name such Investor as a selling security holder in the Registration Statement or any pre-effective or post-effective amendment thereto and to include (to the extent not theretofore included) in the Registration Statement the Registrable Securities identified in such late Selling Investor Questionnaire or request for further information. Each Investor acknowledges and agrees that the information in the Selling Investor Questionnaire or request for further information as described in this </w:t>
      </w:r>
      <w:r>
        <w:rPr>
          <w:rFonts w:ascii="Arial" w:cs="Arial" w:eastAsia="Arial" w:hAnsi="Arial"/>
          <w:sz w:val="17"/>
          <w:szCs w:val="17"/>
          <w:u w:val="single" w:color="auto"/>
          <w:color w:val="auto"/>
        </w:rPr>
        <w:t>Section 4(a)</w:t>
      </w:r>
      <w:r>
        <w:rPr>
          <w:rFonts w:ascii="Arial" w:cs="Arial" w:eastAsia="Arial" w:hAnsi="Arial"/>
          <w:sz w:val="17"/>
          <w:szCs w:val="17"/>
          <w:color w:val="auto"/>
        </w:rPr>
        <w:t xml:space="preserve"> will be used by the Company in the preparation of the Registration Statement and hereby consents to the inclusion of such information in the Registration Statement.</w:t>
      </w:r>
    </w:p>
    <w:p>
      <w:pPr>
        <w:spacing w:after="0" w:line="78" w:lineRule="exact"/>
        <w:rPr>
          <w:rFonts w:ascii="Arial" w:cs="Arial" w:eastAsia="Arial" w:hAnsi="Arial"/>
          <w:sz w:val="17"/>
          <w:szCs w:val="17"/>
          <w:color w:val="auto"/>
        </w:rPr>
      </w:pPr>
    </w:p>
    <w:p>
      <w:pPr>
        <w:ind w:left="4" w:right="20" w:firstLine="436"/>
        <w:spacing w:after="0" w:line="301" w:lineRule="auto"/>
        <w:tabs>
          <w:tab w:leader="none" w:pos="699" w:val="left"/>
        </w:tabs>
        <w:numPr>
          <w:ilvl w:val="1"/>
          <w:numId w:val="61"/>
        </w:numPr>
        <w:rPr>
          <w:rFonts w:ascii="Arial" w:cs="Arial" w:eastAsia="Arial" w:hAnsi="Arial"/>
          <w:sz w:val="16"/>
          <w:szCs w:val="16"/>
          <w:color w:val="auto"/>
        </w:rPr>
      </w:pPr>
      <w:r>
        <w:rPr>
          <w:rFonts w:ascii="Arial" w:cs="Arial" w:eastAsia="Arial" w:hAnsi="Arial"/>
          <w:sz w:val="16"/>
          <w:szCs w:val="16"/>
          <w:color w:val="auto"/>
        </w:rPr>
        <w:t>Each Investor shall furnish in writing to the Company such information regarding itself, the Registrable Securities held by it and the intended method of disposition of the Registrable Securities held by it, as shall be reasonably required to effect the registration of such Registrable Securities and shall execute such documents in connection with such registration as the Company may reasonably request. At least ten (10) Trading Days prior to the first anticipated filing date of any Registration Statement, the Company shall notify each Investor of the information the</w:t>
      </w:r>
    </w:p>
    <w:p>
      <w:pPr>
        <w:spacing w:after="0" w:line="90"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4"/>
          </w:cols>
          <w:pgMar w:left="436" w:top="274" w:right="499" w:bottom="1440" w:gutter="0" w:footer="0" w:header="0"/>
        </w:sectPr>
      </w:pPr>
    </w:p>
    <w:bookmarkStart w:id="70" w:name="page71"/>
    <w:bookmarkEnd w:id="70"/>
    <w:p>
      <w:pPr>
        <w:jc w:val="both"/>
        <w:ind w:left="4" w:right="4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Company requires from such Investor if such Investor elects to have any of the Registrable Securities included in such Registration Statement. An Investor shall provide such information to the Company at least two (2) Trading Days prior to the first anticipated filing date of such Registration Statement if such Investor elects to have any of the Registrable Securities included in such Registration Statement.</w:t>
      </w:r>
    </w:p>
    <w:p>
      <w:pPr>
        <w:spacing w:after="0" w:line="57" w:lineRule="exact"/>
        <w:rPr>
          <w:sz w:val="20"/>
          <w:szCs w:val="20"/>
          <w:color w:val="auto"/>
        </w:rPr>
      </w:pPr>
    </w:p>
    <w:p>
      <w:pPr>
        <w:ind w:left="4" w:right="60" w:firstLine="436"/>
        <w:spacing w:after="0" w:line="263" w:lineRule="auto"/>
        <w:tabs>
          <w:tab w:leader="none" w:pos="689" w:val="left"/>
        </w:tabs>
        <w:numPr>
          <w:ilvl w:val="1"/>
          <w:numId w:val="62"/>
        </w:numPr>
        <w:rPr>
          <w:rFonts w:ascii="Arial" w:cs="Arial" w:eastAsia="Arial" w:hAnsi="Arial"/>
          <w:sz w:val="18"/>
          <w:szCs w:val="18"/>
          <w:color w:val="auto"/>
        </w:rPr>
      </w:pPr>
      <w:r>
        <w:rPr>
          <w:rFonts w:ascii="Arial" w:cs="Arial" w:eastAsia="Arial" w:hAnsi="Arial"/>
          <w:sz w:val="18"/>
          <w:szCs w:val="18"/>
          <w:color w:val="auto"/>
        </w:rPr>
        <w:t>Each Investor, by its acceptance of the Registrable Securities, agrees to cooperate with the Company as reasonably requested by the Company in connection with the preparation and filing of a Registration Statement hereunder, unless such Investor has notified the Company in writing of its election to exclude all of its Registrable Securities from such Registration Statement.</w:t>
      </w:r>
    </w:p>
    <w:p>
      <w:pPr>
        <w:spacing w:after="0" w:line="75" w:lineRule="exact"/>
        <w:rPr>
          <w:rFonts w:ascii="Arial" w:cs="Arial" w:eastAsia="Arial" w:hAnsi="Arial"/>
          <w:sz w:val="18"/>
          <w:szCs w:val="18"/>
          <w:color w:val="auto"/>
        </w:rPr>
      </w:pPr>
    </w:p>
    <w:p>
      <w:pPr>
        <w:ind w:left="704" w:hanging="264"/>
        <w:spacing w:after="0"/>
        <w:tabs>
          <w:tab w:leader="none" w:pos="704" w:val="left"/>
        </w:tabs>
        <w:numPr>
          <w:ilvl w:val="1"/>
          <w:numId w:val="62"/>
        </w:numPr>
        <w:rPr>
          <w:rFonts w:ascii="Arial" w:cs="Arial" w:eastAsia="Arial" w:hAnsi="Arial"/>
          <w:sz w:val="16"/>
          <w:szCs w:val="16"/>
          <w:color w:val="auto"/>
        </w:rPr>
      </w:pPr>
      <w:r>
        <w:rPr>
          <w:rFonts w:ascii="Arial" w:cs="Arial" w:eastAsia="Arial" w:hAnsi="Arial"/>
          <w:sz w:val="16"/>
          <w:szCs w:val="16"/>
          <w:color w:val="auto"/>
        </w:rPr>
        <w:t xml:space="preserve">Each Investor agrees that, upon receipt of any notice from the Company of the commencement of an Allowed Delay pursuant to </w:t>
      </w:r>
      <w:r>
        <w:rPr>
          <w:rFonts w:ascii="Arial" w:cs="Arial" w:eastAsia="Arial" w:hAnsi="Arial"/>
          <w:sz w:val="16"/>
          <w:szCs w:val="16"/>
          <w:u w:val="single" w:color="auto"/>
          <w:color w:val="auto"/>
        </w:rPr>
        <w:t>Section 2(c)</w:t>
      </w:r>
    </w:p>
    <w:p>
      <w:pPr>
        <w:spacing w:after="0" w:line="46" w:lineRule="exact"/>
        <w:rPr>
          <w:rFonts w:ascii="Arial" w:cs="Arial" w:eastAsia="Arial" w:hAnsi="Arial"/>
          <w:sz w:val="16"/>
          <w:szCs w:val="16"/>
          <w:color w:val="auto"/>
        </w:rPr>
      </w:pPr>
    </w:p>
    <w:p>
      <w:pPr>
        <w:ind w:left="4" w:right="200"/>
        <w:spacing w:after="0" w:line="260" w:lineRule="auto"/>
        <w:rPr>
          <w:rFonts w:ascii="Arial" w:cs="Arial" w:eastAsia="Arial" w:hAnsi="Arial"/>
          <w:sz w:val="16"/>
          <w:szCs w:val="16"/>
          <w:color w:val="auto"/>
        </w:rPr>
      </w:pPr>
      <w:r>
        <w:rPr>
          <w:rFonts w:ascii="Arial" w:cs="Arial" w:eastAsia="Arial" w:hAnsi="Arial"/>
          <w:sz w:val="18"/>
          <w:szCs w:val="18"/>
          <w:u w:val="single" w:color="auto"/>
          <w:color w:val="auto"/>
        </w:rPr>
        <w:t>(i)</w:t>
      </w:r>
      <w:r>
        <w:rPr>
          <w:rFonts w:ascii="Arial" w:cs="Arial" w:eastAsia="Arial" w:hAnsi="Arial"/>
          <w:sz w:val="18"/>
          <w:szCs w:val="18"/>
          <w:color w:val="auto"/>
        </w:rPr>
        <w:t>, such Investor will immediately discontinue disposition of Registrable Securities pursuant to any Registration Statement covering such Registrable Securities, until the Investor is advised by the Company that such dispositions may again be made.</w:t>
      </w:r>
    </w:p>
    <w:p>
      <w:pPr>
        <w:spacing w:after="0" w:line="77" w:lineRule="exact"/>
        <w:rPr>
          <w:rFonts w:ascii="Arial" w:cs="Arial" w:eastAsia="Arial" w:hAnsi="Arial"/>
          <w:sz w:val="16"/>
          <w:szCs w:val="16"/>
          <w:color w:val="auto"/>
        </w:rPr>
      </w:pPr>
    </w:p>
    <w:p>
      <w:pPr>
        <w:ind w:left="4" w:right="400" w:firstLine="436"/>
        <w:spacing w:after="0" w:line="277" w:lineRule="auto"/>
        <w:tabs>
          <w:tab w:leader="none" w:pos="689" w:val="left"/>
        </w:tabs>
        <w:numPr>
          <w:ilvl w:val="1"/>
          <w:numId w:val="62"/>
        </w:numPr>
        <w:rPr>
          <w:rFonts w:ascii="Arial" w:cs="Arial" w:eastAsia="Arial" w:hAnsi="Arial"/>
          <w:sz w:val="18"/>
          <w:szCs w:val="18"/>
          <w:color w:val="auto"/>
        </w:rPr>
      </w:pPr>
      <w:r>
        <w:rPr>
          <w:rFonts w:ascii="Arial" w:cs="Arial" w:eastAsia="Arial" w:hAnsi="Arial"/>
          <w:sz w:val="18"/>
          <w:szCs w:val="18"/>
          <w:color w:val="auto"/>
        </w:rPr>
        <w:t>Each Investor covenants and agrees that it will comply with the prospectus delivery requirements of the 1933 Act as applicable to it or an exemption therefrom in connection with sales of Registrable Securities pursuant to any Registration Statement.</w:t>
      </w:r>
    </w:p>
    <w:p>
      <w:pPr>
        <w:spacing w:after="0" w:line="62" w:lineRule="exact"/>
        <w:rPr>
          <w:rFonts w:ascii="Arial" w:cs="Arial" w:eastAsia="Arial" w:hAnsi="Arial"/>
          <w:sz w:val="18"/>
          <w:szCs w:val="18"/>
          <w:color w:val="auto"/>
        </w:rPr>
      </w:pPr>
    </w:p>
    <w:p>
      <w:pPr>
        <w:ind w:left="184" w:hanging="184"/>
        <w:spacing w:after="0"/>
        <w:tabs>
          <w:tab w:leader="none" w:pos="184"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firstLine="436"/>
        <w:spacing w:after="0" w:line="286" w:lineRule="auto"/>
        <w:tabs>
          <w:tab w:leader="none" w:pos="689" w:val="left"/>
        </w:tabs>
        <w:numPr>
          <w:ilvl w:val="1"/>
          <w:numId w:val="63"/>
        </w:numPr>
        <w:rPr>
          <w:rFonts w:ascii="Arial" w:cs="Arial" w:eastAsia="Arial" w:hAnsi="Arial"/>
          <w:sz w:val="16"/>
          <w:szCs w:val="16"/>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Indemnification by the Company</w:t>
      </w:r>
      <w:r>
        <w:rPr>
          <w:rFonts w:ascii="Arial" w:cs="Arial" w:eastAsia="Arial" w:hAnsi="Arial"/>
          <w:sz w:val="16"/>
          <w:szCs w:val="16"/>
          <w:color w:val="auto"/>
        </w:rPr>
        <w:t>. The Company agrees to indemnify and hold harmless each Investor, and each of their respective officers, employees, Affiliates, directors, partners, members, equityholders, attorneys, advisors and agents, and each person or entity, if any, who controls (within the meaning of Section 15 of the 1933 Act or Section 20 of the 1934 Act) each Investor (each, an “</w:t>
      </w:r>
      <w:r>
        <w:rPr>
          <w:rFonts w:ascii="Arial" w:cs="Arial" w:eastAsia="Arial" w:hAnsi="Arial"/>
          <w:sz w:val="16"/>
          <w:szCs w:val="16"/>
          <w:b w:val="1"/>
          <w:bCs w:val="1"/>
          <w:color w:val="auto"/>
        </w:rPr>
        <w:t>Investor Indemnified Party</w:t>
      </w:r>
      <w:r>
        <w:rPr>
          <w:rFonts w:ascii="Arial" w:cs="Arial" w:eastAsia="Arial" w:hAnsi="Arial"/>
          <w:sz w:val="16"/>
          <w:szCs w:val="16"/>
          <w:color w:val="auto"/>
        </w:rPr>
        <w:t>”), to the fullest extent permitted by applicable law, from and against any expenses, losses, judgments, actions, claims, proceedings (whether commenced or threatened), damages, liabilities or costs (including, without limitation, reasonable attorneys’ fees), whether joint or several (collectively, “</w:t>
      </w:r>
      <w:r>
        <w:rPr>
          <w:rFonts w:ascii="Arial" w:cs="Arial" w:eastAsia="Arial" w:hAnsi="Arial"/>
          <w:sz w:val="16"/>
          <w:szCs w:val="16"/>
          <w:b w:val="1"/>
          <w:bCs w:val="1"/>
          <w:color w:val="auto"/>
        </w:rPr>
        <w:t>Losses</w:t>
      </w:r>
      <w:r>
        <w:rPr>
          <w:rFonts w:ascii="Arial" w:cs="Arial" w:eastAsia="Arial" w:hAnsi="Arial"/>
          <w:sz w:val="16"/>
          <w:szCs w:val="16"/>
          <w:color w:val="auto"/>
        </w:rPr>
        <w:t xml:space="preserve">”), as incurred, arising out of or based upon any Misstatement contained in any Registration Statement under which the sale of such Registrable Securities was Registered under the 1933 Act, any preliminary Prospectus, final Prospectus or summary Prospectus contained in such Registration Statement, or any amendment or supplement to such Registration Statement, preliminary Prospectus, final Prospectus or summary Prospectus, or any violation by the Company of the 1933 Act or any rule or regulation promulgated thereunder applicable to the Company and relating to action or inaction required of the Company, or any violation by the Company of the Securities Exchange Act of 1934, as amended, or any rule or regulation promulgated thereunder applicable and relating to action or inaction required of the Company, in connection with any such Registration; and the Company shall promptly reimburse the Investor Indemnified Party for any reasonable, customary and documented out-of-pocket legal and any other expenses incurred, as incurred, by such Investor Indemnified Party in connection with investigating and defending any such Losses, except, with respect to any Investor of Registrable Securities, to the extent such Investor Securities is liable to indemnify the Company for such Losses pursuant to </w:t>
      </w:r>
      <w:r>
        <w:rPr>
          <w:rFonts w:ascii="Arial" w:cs="Arial" w:eastAsia="Arial" w:hAnsi="Arial"/>
          <w:sz w:val="16"/>
          <w:szCs w:val="16"/>
          <w:u w:val="single" w:color="auto"/>
          <w:color w:val="auto"/>
        </w:rPr>
        <w:t>Section 5(b)</w:t>
      </w:r>
      <w:r>
        <w:rPr>
          <w:rFonts w:ascii="Arial" w:cs="Arial" w:eastAsia="Arial" w:hAnsi="Arial"/>
          <w:sz w:val="16"/>
          <w:szCs w:val="16"/>
          <w:color w:val="auto"/>
        </w:rPr>
        <w:t>.</w:t>
      </w:r>
    </w:p>
    <w:p>
      <w:pPr>
        <w:spacing w:after="0" w:line="103"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4"/>
          </w:cols>
          <w:pgMar w:left="436" w:top="274" w:right="499" w:bottom="1440" w:gutter="0" w:footer="0" w:header="0"/>
        </w:sectPr>
      </w:pPr>
    </w:p>
    <w:bookmarkStart w:id="71" w:name="page72"/>
    <w:bookmarkEnd w:id="71"/>
    <w:p>
      <w:pPr>
        <w:ind w:firstLine="436"/>
        <w:spacing w:after="0" w:line="269" w:lineRule="auto"/>
        <w:tabs>
          <w:tab w:leader="none" w:pos="695" w:val="left"/>
        </w:tabs>
        <w:numPr>
          <w:ilvl w:val="0"/>
          <w:numId w:val="64"/>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Indemnification by Investors</w:t>
      </w:r>
      <w:r>
        <w:rPr>
          <w:rFonts w:ascii="Arial" w:cs="Arial" w:eastAsia="Arial" w:hAnsi="Arial"/>
          <w:sz w:val="17"/>
          <w:szCs w:val="17"/>
          <w:color w:val="auto"/>
        </w:rPr>
        <w:t>. Each Investor will, in the event that any Registration is being effected under the 1933 Act pursuant to this Agreement of any Registrable Securities held by such Investor and the Company has required all Selling Investors to provide such an undertaking on the same terms, indemnify and hold harmless the Company, each of its directors and officers, and each other Selling Investor and each other person, if any, who controls (within the meaning of Section 15 of the 1933 Act or Section 20 of the 1934 Act) another Selling Investor, against any Losses, insofar as such Losses arise out of or are based upon any Misstatement contained in any Registration Statement under which the sale of such Registrable Securities was Registered under the 1933 Act, any preliminary Prospectus, final Prospectus or summary Prospectus contained in the Registration Statement, or any amendment or supplement thereto, if the Misstatement was made in reasonable reliance upon and in conformity with information furnished in writing to the Company by such Selling Investor expressly for use therein, and shall reimburse the Company, its directors and officers, and each other Selling Investor for any reasonable, customary and documented out-of-pocket legal or other expenses incurred by any of them in connection with investigation or defending any such Loss. Each Selling Investor’s indemnification obligations hereunder shall be several and not joint and shall be proportional to and limited to the amount of any net proceeds actually received by such Selling Investor in connection with the sale of Registrable Securities under a Registration Statement from which such Losses arise.</w:t>
      </w:r>
    </w:p>
    <w:p>
      <w:pPr>
        <w:spacing w:after="0" w:line="70" w:lineRule="exact"/>
        <w:rPr>
          <w:rFonts w:ascii="Arial" w:cs="Arial" w:eastAsia="Arial" w:hAnsi="Arial"/>
          <w:sz w:val="17"/>
          <w:szCs w:val="17"/>
          <w:color w:val="auto"/>
        </w:rPr>
      </w:pPr>
    </w:p>
    <w:p>
      <w:pPr>
        <w:ind w:firstLine="436"/>
        <w:spacing w:after="0" w:line="285" w:lineRule="auto"/>
        <w:tabs>
          <w:tab w:leader="none" w:pos="685"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Conduct of Indemnification Proceedings</w:t>
      </w:r>
      <w:r>
        <w:rPr>
          <w:rFonts w:ascii="Arial" w:cs="Arial" w:eastAsia="Arial" w:hAnsi="Arial"/>
          <w:sz w:val="16"/>
          <w:szCs w:val="16"/>
          <w:color w:val="auto"/>
        </w:rPr>
        <w:t xml:space="preserve">. Promptly after receipt by any person of any notice of any Loss in respect of which indemnity may be sought pursuant to </w:t>
      </w:r>
      <w:r>
        <w:rPr>
          <w:rFonts w:ascii="Arial" w:cs="Arial" w:eastAsia="Arial" w:hAnsi="Arial"/>
          <w:sz w:val="16"/>
          <w:szCs w:val="16"/>
          <w:u w:val="single" w:color="auto"/>
          <w:color w:val="auto"/>
        </w:rPr>
        <w:t>Section 5(a)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5(b)</w:t>
      </w:r>
      <w:r>
        <w:rPr>
          <w:rFonts w:ascii="Arial" w:cs="Arial" w:eastAsia="Arial" w:hAnsi="Arial"/>
          <w:sz w:val="16"/>
          <w:szCs w:val="16"/>
          <w:color w:val="auto"/>
        </w:rPr>
        <w:t>, such person (the “</w:t>
      </w:r>
      <w:r>
        <w:rPr>
          <w:rFonts w:ascii="Arial" w:cs="Arial" w:eastAsia="Arial" w:hAnsi="Arial"/>
          <w:sz w:val="16"/>
          <w:szCs w:val="16"/>
          <w:u w:val="single" w:color="auto"/>
          <w:color w:val="auto"/>
        </w:rPr>
        <w:t>Indemnified Party</w:t>
      </w:r>
      <w:r>
        <w:rPr>
          <w:rFonts w:ascii="Arial" w:cs="Arial" w:eastAsia="Arial" w:hAnsi="Arial"/>
          <w:sz w:val="16"/>
          <w:szCs w:val="16"/>
          <w:color w:val="auto"/>
        </w:rPr>
        <w:t>”) shall, if a claim in respect thereof is to be made against any other person for indemnification hereunder, notify such other person (the “</w:t>
      </w:r>
      <w:r>
        <w:rPr>
          <w:rFonts w:ascii="Arial" w:cs="Arial" w:eastAsia="Arial" w:hAnsi="Arial"/>
          <w:sz w:val="16"/>
          <w:szCs w:val="16"/>
          <w:b w:val="1"/>
          <w:bCs w:val="1"/>
          <w:color w:val="auto"/>
        </w:rPr>
        <w:t>Indemnifying Party</w:t>
      </w:r>
      <w:r>
        <w:rPr>
          <w:rFonts w:ascii="Arial" w:cs="Arial" w:eastAsia="Arial" w:hAnsi="Arial"/>
          <w:sz w:val="16"/>
          <w:szCs w:val="16"/>
          <w:color w:val="auto"/>
        </w:rPr>
        <w:t xml:space="preserve">”) in writing of the Loss;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failure by the Indemnified Party to notify the Indemnifying Party shall not relieve the Indemnifying Party from any liability which the Indemnifying Party may have to such Indemnified Party hereunder, except and solely to the extent the Indemnifying Party is actually and materially prejudiced by such failure. If the Indemnified Party is seeking indemnification with respect to any claim or action brought against the Indemnified Party, then the Indemnifying Party shall be entitled to participate in such claim or action, and, to the extent that it wishes, jointly with all other Indemnifying Parties, to assume control of the defense thereof with counsel reasonably satisfactory to the Indemnified Party. After notice from the Indemnifying Party to the Indemnified Party of its election to assume control of the defense of such claim or action, the Indemnifying Party shall not be liable to the Indemnified Party for any legal or other expenses subsequently incurred by the Indemnified Party in connection with the defense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any action in which both the Indemnified Party and the Indemnifying Party are named as defendants, the Indemnified Party shall have the right to employ separate counsel (but no more than one such separate counsel, in addition to local counsel) to represent the Indemnified Party and its controlling persons who may be subject to liability arising out of any claim in respect of which indemnity may be sought by the Indemnified Party against the Indemnifying Party, with the reasonable, customary and documented fees and expenses of such counsel to be paid by such Indemnifying Party if, based upon the written opinion of counsel of such Indemnified Party, representation of both parties by the same counsel would be inappropriate due to actual or potential differing interests between them. No Indemnifying Party shall, without the prior written consent of the Indemnified Party (not to be unreasonably withheld, conditioned or delayed), consent to entry of judgment or effect any settlement of any claim or pending or threatened proceeding in respect of any Losses for which the Indemnified Party seeks indemnification hereunder if such settlement or judgment includes any non-monetary remedies binding on the Indemnified Party, requires an admission of fault or culpability on the part of the Indemnified Party or does not include an unconditional release from all liability of the Indemnified Party in respect of such Losses.</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72" w:name="page73"/>
    <w:bookmarkEnd w:id="72"/>
    <w:p>
      <w:pPr>
        <w:ind w:left="4" w:firstLine="436"/>
        <w:spacing w:after="0" w:line="267" w:lineRule="auto"/>
        <w:tabs>
          <w:tab w:leader="none" w:pos="699" w:val="left"/>
        </w:tabs>
        <w:numPr>
          <w:ilvl w:val="1"/>
          <w:numId w:val="65"/>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Contribution</w:t>
      </w:r>
      <w:r>
        <w:rPr>
          <w:rFonts w:ascii="Arial" w:cs="Arial" w:eastAsia="Arial" w:hAnsi="Arial"/>
          <w:sz w:val="17"/>
          <w:szCs w:val="17"/>
          <w:color w:val="auto"/>
        </w:rPr>
        <w:t xml:space="preserve">. If the indemnification provided for in the foregoing </w:t>
      </w:r>
      <w:r>
        <w:rPr>
          <w:rFonts w:ascii="Arial" w:cs="Arial" w:eastAsia="Arial" w:hAnsi="Arial"/>
          <w:sz w:val="17"/>
          <w:szCs w:val="17"/>
          <w:u w:val="single" w:color="auto"/>
          <w:color w:val="auto"/>
        </w:rPr>
        <w:t>Sections 5(a)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5(b)</w:t>
      </w:r>
      <w:r>
        <w:rPr>
          <w:rFonts w:ascii="Arial" w:cs="Arial" w:eastAsia="Arial" w:hAnsi="Arial"/>
          <w:sz w:val="17"/>
          <w:szCs w:val="17"/>
          <w:color w:val="auto"/>
        </w:rPr>
        <w:t xml:space="preserve"> is unavailable to any Indemnified Party in respect of any Loss referred to herein, then each such Indemnifying Party, in lieu of indemnifying such Indemnified Party, shall contribute to the amount paid or payable by such Indemnified Party as a result of such Loss in such proportion as is appropriate to reflect the relative fault of the Indemnified Parties and the Indemnifying Parties in connection with the actions or omissions which resulted in such Loss. The relative fault of any Indemnified Party and any Indemnifying Party shall be determined by reference to, among other things, whether the Misstatement relates to information supplied by such Indemnified Party or such Indemnifying Party (in the case of a Holder, such Misstatement was made in reliance upon and in conformity with information furnished in writing to the Company by such Holder expressly for use therein) and the parties’ relative intent, knowledge, access to information and opportunity to correct or prevent such Misstatement. The parties hereto agree that it would not be just and equitable if contribution pursuant to this </w:t>
      </w:r>
      <w:r>
        <w:rPr>
          <w:rFonts w:ascii="Arial" w:cs="Arial" w:eastAsia="Arial" w:hAnsi="Arial"/>
          <w:sz w:val="17"/>
          <w:szCs w:val="17"/>
          <w:u w:val="single" w:color="auto"/>
          <w:color w:val="auto"/>
        </w:rPr>
        <w:t>Section 5(d)</w:t>
      </w:r>
      <w:r>
        <w:rPr>
          <w:rFonts w:ascii="Arial" w:cs="Arial" w:eastAsia="Arial" w:hAnsi="Arial"/>
          <w:sz w:val="17"/>
          <w:szCs w:val="17"/>
          <w:color w:val="auto"/>
        </w:rPr>
        <w:t xml:space="preserve"> were determined by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allocation or by any other method of allocation which does not take account of the equitable considerations referred to in this </w:t>
      </w:r>
      <w:r>
        <w:rPr>
          <w:rFonts w:ascii="Arial" w:cs="Arial" w:eastAsia="Arial" w:hAnsi="Arial"/>
          <w:sz w:val="17"/>
          <w:szCs w:val="17"/>
          <w:u w:val="single" w:color="auto"/>
          <w:color w:val="auto"/>
        </w:rPr>
        <w:t>Section 5(d)</w:t>
      </w:r>
      <w:r>
        <w:rPr>
          <w:rFonts w:ascii="Arial" w:cs="Arial" w:eastAsia="Arial" w:hAnsi="Arial"/>
          <w:sz w:val="17"/>
          <w:szCs w:val="17"/>
          <w:color w:val="auto"/>
        </w:rPr>
        <w:t xml:space="preserve">. The amount paid or payable by an Indemnified Party as a result of any Loss referred to in the immediately preceding paragraph shall be deemed to include, subject to the limitations set forth above, any legal or other expenses incurred by such Indemnified Party in connection with investigating or defending any such action or claim. Notwithstanding the provisions of this </w:t>
      </w:r>
      <w:r>
        <w:rPr>
          <w:rFonts w:ascii="Arial" w:cs="Arial" w:eastAsia="Arial" w:hAnsi="Arial"/>
          <w:sz w:val="17"/>
          <w:szCs w:val="17"/>
          <w:u w:val="single" w:color="auto"/>
          <w:color w:val="auto"/>
        </w:rPr>
        <w:t>Section 5(d)</w:t>
      </w:r>
      <w:r>
        <w:rPr>
          <w:rFonts w:ascii="Arial" w:cs="Arial" w:eastAsia="Arial" w:hAnsi="Arial"/>
          <w:sz w:val="17"/>
          <w:szCs w:val="17"/>
          <w:color w:val="auto"/>
        </w:rPr>
        <w:t xml:space="preserve">, no Investor shall be required to contribute any amount in excess of the dollar amount of the net proceeds (after payment of any underwriting fees, discounts, commissions or taxes) actually received by such Investor from the sale of Registrable Securities which gave rise to such contribution obligation, less the aggregate amount of any damages or other amounts such Investor has otherwise been required to pay (pursuant to </w:t>
      </w:r>
      <w:r>
        <w:rPr>
          <w:rFonts w:ascii="Arial" w:cs="Arial" w:eastAsia="Arial" w:hAnsi="Arial"/>
          <w:sz w:val="17"/>
          <w:szCs w:val="17"/>
          <w:u w:val="single" w:color="auto"/>
          <w:color w:val="auto"/>
        </w:rPr>
        <w:t>Section 5(b)</w:t>
      </w:r>
      <w:r>
        <w:rPr>
          <w:rFonts w:ascii="Arial" w:cs="Arial" w:eastAsia="Arial" w:hAnsi="Arial"/>
          <w:sz w:val="17"/>
          <w:szCs w:val="17"/>
          <w:color w:val="auto"/>
        </w:rPr>
        <w:t xml:space="preserve"> or otherwise) as a result of the Misstatement. No person guilty of fraudulent misrepresentation (within the meaning of Section 11(f) of the 1933 Act) shall be entitled to contribution from any person who was not guilty of such fraudulent misrepresentation.</w:t>
      </w:r>
    </w:p>
    <w:p>
      <w:pPr>
        <w:spacing w:after="0" w:line="83" w:lineRule="exact"/>
        <w:rPr>
          <w:rFonts w:ascii="Arial" w:cs="Arial" w:eastAsia="Arial" w:hAnsi="Arial"/>
          <w:sz w:val="17"/>
          <w:szCs w:val="17"/>
          <w:color w:val="auto"/>
        </w:rPr>
      </w:pPr>
    </w:p>
    <w:p>
      <w:pPr>
        <w:ind w:left="184" w:hanging="184"/>
        <w:spacing w:after="0"/>
        <w:tabs>
          <w:tab w:leader="none" w:pos="184" w:val="left"/>
        </w:tabs>
        <w:numPr>
          <w:ilvl w:val="0"/>
          <w:numId w:val="66"/>
        </w:numPr>
        <w:rPr>
          <w:rFonts w:ascii="Arial" w:cs="Arial" w:eastAsia="Arial" w:hAnsi="Arial"/>
          <w:sz w:val="18"/>
          <w:szCs w:val="18"/>
          <w:color w:val="auto"/>
        </w:rPr>
      </w:pPr>
      <w:r>
        <w:rPr>
          <w:rFonts w:ascii="Arial" w:cs="Arial" w:eastAsia="Arial" w:hAnsi="Arial"/>
          <w:sz w:val="18"/>
          <w:szCs w:val="18"/>
          <w:color w:val="auto"/>
        </w:rPr>
        <w:t>MISCELLANEOUS.</w:t>
      </w:r>
    </w:p>
    <w:p>
      <w:pPr>
        <w:spacing w:after="0" w:line="117" w:lineRule="exact"/>
        <w:rPr>
          <w:rFonts w:ascii="Arial" w:cs="Arial" w:eastAsia="Arial" w:hAnsi="Arial"/>
          <w:sz w:val="18"/>
          <w:szCs w:val="18"/>
          <w:color w:val="auto"/>
        </w:rPr>
      </w:pPr>
    </w:p>
    <w:p>
      <w:pPr>
        <w:ind w:left="684" w:hanging="244"/>
        <w:spacing w:after="0"/>
        <w:tabs>
          <w:tab w:leader="none" w:pos="684" w:val="left"/>
        </w:tabs>
        <w:numPr>
          <w:ilvl w:val="1"/>
          <w:numId w:val="66"/>
        </w:numPr>
        <w:rPr>
          <w:rFonts w:ascii="Arial" w:cs="Arial" w:eastAsia="Arial" w:hAnsi="Arial"/>
          <w:sz w:val="18"/>
          <w:szCs w:val="18"/>
          <w:color w:val="auto"/>
        </w:rPr>
      </w:pPr>
      <w:r>
        <w:rPr>
          <w:rFonts w:ascii="Arial" w:cs="Arial" w:eastAsia="Arial" w:hAnsi="Arial"/>
          <w:sz w:val="18"/>
          <w:szCs w:val="18"/>
          <w:u w:val="single" w:color="auto"/>
          <w:color w:val="auto"/>
        </w:rPr>
        <w:t>Effective Date</w:t>
      </w:r>
      <w:r>
        <w:rPr>
          <w:rFonts w:ascii="Arial" w:cs="Arial" w:eastAsia="Arial" w:hAnsi="Arial"/>
          <w:sz w:val="18"/>
          <w:szCs w:val="18"/>
          <w:color w:val="auto"/>
        </w:rPr>
        <w:t>. This Agreement shall be effective as of the Effective Date.</w:t>
      </w:r>
    </w:p>
    <w:p>
      <w:pPr>
        <w:spacing w:after="0" w:line="117" w:lineRule="exact"/>
        <w:rPr>
          <w:rFonts w:ascii="Arial" w:cs="Arial" w:eastAsia="Arial" w:hAnsi="Arial"/>
          <w:sz w:val="18"/>
          <w:szCs w:val="18"/>
          <w:color w:val="auto"/>
        </w:rPr>
      </w:pPr>
    </w:p>
    <w:p>
      <w:pPr>
        <w:ind w:left="4" w:right="100" w:firstLine="436"/>
        <w:spacing w:after="0" w:line="296" w:lineRule="auto"/>
        <w:tabs>
          <w:tab w:leader="none" w:pos="699" w:val="left"/>
        </w:tabs>
        <w:numPr>
          <w:ilvl w:val="1"/>
          <w:numId w:val="66"/>
        </w:numPr>
        <w:rPr>
          <w:rFonts w:ascii="Arial" w:cs="Arial" w:eastAsia="Arial" w:hAnsi="Arial"/>
          <w:sz w:val="16"/>
          <w:szCs w:val="16"/>
          <w:color w:val="auto"/>
        </w:rPr>
      </w:pPr>
      <w:r>
        <w:rPr>
          <w:rFonts w:ascii="Arial" w:cs="Arial" w:eastAsia="Arial" w:hAnsi="Arial"/>
          <w:sz w:val="16"/>
          <w:szCs w:val="16"/>
          <w:u w:val="single" w:color="auto"/>
          <w:color w:val="auto"/>
        </w:rPr>
        <w:t>Amendments and Waivers</w:t>
      </w:r>
      <w:r>
        <w:rPr>
          <w:rFonts w:ascii="Arial" w:cs="Arial" w:eastAsia="Arial" w:hAnsi="Arial"/>
          <w:sz w:val="16"/>
          <w:szCs w:val="16"/>
          <w:color w:val="auto"/>
        </w:rPr>
        <w:t>. This Agreement may be amended, and any provision herein may be waived, only by a writing signed by the Company and the Required Investors. The Company may take any action herein prohibited, or omit to perform any act herein required to be performed by it, only if the Company shall have obtained the written consent to such amendment, waiver, action or omission to act, of the Required Investors. Notwithstanding the foregoing, this Agreement may not be amended and the observance of any term of this Agreement may not be waived with respect to any Investor without the written consent of such Investor unless such amendment or waiver applies to all Investors in the same fashion.</w:t>
      </w:r>
    </w:p>
    <w:p>
      <w:pPr>
        <w:spacing w:after="0" w:line="53" w:lineRule="exact"/>
        <w:rPr>
          <w:rFonts w:ascii="Arial" w:cs="Arial" w:eastAsia="Arial" w:hAnsi="Arial"/>
          <w:sz w:val="16"/>
          <w:szCs w:val="16"/>
          <w:color w:val="auto"/>
        </w:rPr>
      </w:pPr>
    </w:p>
    <w:p>
      <w:pPr>
        <w:ind w:left="4" w:right="100" w:firstLine="436"/>
        <w:spacing w:after="0" w:line="277" w:lineRule="auto"/>
        <w:tabs>
          <w:tab w:leader="none" w:pos="689" w:val="left"/>
        </w:tabs>
        <w:numPr>
          <w:ilvl w:val="1"/>
          <w:numId w:val="66"/>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provided for or permitted hereunder shall be made as set forth in Section 6.06 of the Securities Purchase Agreement.</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4"/>
          </w:cols>
          <w:pgMar w:left="436" w:top="274" w:right="459" w:bottom="1440" w:gutter="0" w:footer="0" w:header="0"/>
        </w:sectPr>
      </w:pPr>
    </w:p>
    <w:bookmarkStart w:id="73" w:name="page74"/>
    <w:bookmarkEnd w:id="73"/>
    <w:p>
      <w:pPr>
        <w:ind w:right="140" w:firstLine="436"/>
        <w:spacing w:after="0" w:line="296" w:lineRule="auto"/>
        <w:tabs>
          <w:tab w:leader="none" w:pos="695"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Assignments and Transfers by Investors</w:t>
      </w:r>
      <w:r>
        <w:rPr>
          <w:rFonts w:ascii="Arial" w:cs="Arial" w:eastAsia="Arial" w:hAnsi="Arial"/>
          <w:sz w:val="16"/>
          <w:szCs w:val="16"/>
          <w:color w:val="auto"/>
        </w:rPr>
        <w:t>. The provisions of this Agreement shall be binding upon and inure to the benefit of the Investors and their respective successors and assigns. An Investor may transfer or assign, in whole or from time to time in part, to one or more persons its rights hereunder in connection with the transfer of Registrable Securities by such Investor to such person, provided that such Investor complies with all laws applicable thereto, and the provisions of the Securities Purchase Agreement, and provides written notice of assignment to the Company promptly after such assignment is effected, and such person agrees in writing to be bound by all of the provisions contained herein.</w:t>
      </w:r>
    </w:p>
    <w:p>
      <w:pPr>
        <w:spacing w:after="0" w:line="53" w:lineRule="exact"/>
        <w:rPr>
          <w:rFonts w:ascii="Arial" w:cs="Arial" w:eastAsia="Arial" w:hAnsi="Arial"/>
          <w:sz w:val="16"/>
          <w:szCs w:val="16"/>
          <w:color w:val="auto"/>
        </w:rPr>
      </w:pPr>
    </w:p>
    <w:p>
      <w:pPr>
        <w:ind w:firstLine="436"/>
        <w:spacing w:after="0" w:line="254" w:lineRule="auto"/>
        <w:tabs>
          <w:tab w:leader="none" w:pos="685"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Assignments and Transfers by the Company</w:t>
      </w:r>
      <w:r>
        <w:rPr>
          <w:rFonts w:ascii="Arial" w:cs="Arial" w:eastAsia="Arial" w:hAnsi="Arial"/>
          <w:sz w:val="18"/>
          <w:szCs w:val="18"/>
          <w:color w:val="auto"/>
        </w:rPr>
        <w:t>. This Agreement may not be assigned by the Company (whether by operation of law or otherwise) without the prior written consent of the Required Investors, provided, however, that in the event that the Company is a party to a merger, consolidation, share exchange or similar business combination transaction in which the Common Stock is converted into the equity securities of another Person, from and after the effective time of such transaction, such Person shall, by virtue of such transaction, be deemed to have assumed the obligations of the Company hereunder, the term “Company” shall be deemed to refer to such Person and the term “Registrable Securities” shall be deemed to include the securities received by the Investors in connection with such transaction unless such securities are otherwise freely tradable by the Investors after giving effect to such transaction.</w:t>
      </w:r>
    </w:p>
    <w:p>
      <w:pPr>
        <w:spacing w:after="0" w:line="86" w:lineRule="exact"/>
        <w:rPr>
          <w:rFonts w:ascii="Arial" w:cs="Arial" w:eastAsia="Arial" w:hAnsi="Arial"/>
          <w:sz w:val="18"/>
          <w:szCs w:val="18"/>
          <w:color w:val="auto"/>
        </w:rPr>
      </w:pPr>
    </w:p>
    <w:p>
      <w:pPr>
        <w:ind w:right="180" w:firstLine="436"/>
        <w:spacing w:after="0" w:line="259" w:lineRule="auto"/>
        <w:tabs>
          <w:tab w:leader="none" w:pos="665"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Benefits of the Agreement</w:t>
      </w:r>
      <w:r>
        <w:rPr>
          <w:rFonts w:ascii="Arial" w:cs="Arial" w:eastAsia="Arial" w:hAnsi="Arial"/>
          <w:sz w:val="18"/>
          <w:szCs w:val="18"/>
          <w:color w:val="auto"/>
        </w:rPr>
        <w:t>. The terms and conditions of this Agreement shall inure to the benefit of and be binding upon the respective permitted successors and assigns of the parties.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spacing w:after="0" w:line="78" w:lineRule="exact"/>
        <w:rPr>
          <w:rFonts w:ascii="Arial" w:cs="Arial" w:eastAsia="Arial" w:hAnsi="Arial"/>
          <w:sz w:val="18"/>
          <w:szCs w:val="18"/>
          <w:color w:val="auto"/>
        </w:rPr>
      </w:pPr>
    </w:p>
    <w:p>
      <w:pPr>
        <w:ind w:right="60" w:firstLine="436"/>
        <w:spacing w:after="0" w:line="272" w:lineRule="auto"/>
        <w:tabs>
          <w:tab w:leader="none" w:pos="695" w:val="left"/>
        </w:tabs>
        <w:numPr>
          <w:ilvl w:val="0"/>
          <w:numId w:val="67"/>
        </w:numPr>
        <w:rPr>
          <w:rFonts w:ascii="Arial" w:cs="Arial" w:eastAsia="Arial" w:hAnsi="Arial"/>
          <w:sz w:val="17"/>
          <w:szCs w:val="17"/>
          <w:color w:val="auto"/>
        </w:rPr>
      </w:pPr>
      <w:r>
        <w:rPr>
          <w:rFonts w:ascii="Arial" w:cs="Arial" w:eastAsia="Arial" w:hAnsi="Arial"/>
          <w:sz w:val="17"/>
          <w:szCs w:val="17"/>
          <w:u w:val="single" w:color="auto"/>
          <w:color w:val="auto"/>
        </w:rPr>
        <w:t>Counterparts; Execution</w:t>
      </w:r>
      <w:r>
        <w:rPr>
          <w:rFonts w:ascii="Arial" w:cs="Arial" w:eastAsia="Arial" w:hAnsi="Arial"/>
          <w:sz w:val="17"/>
          <w:szCs w:val="17"/>
          <w:color w:val="auto"/>
        </w:rPr>
        <w:t>. This Agreement may be executed in two or more identical counterparts, all of which shall be considered one and the same agreement and shall become effective when counterparts have been signed by each party and delivered to each other party. A PDF or other reproduction of this Agreement may be executed by one or more parties hereto, and an executed copy of this Agreement may be delivered by one or more parties hereto by e-mail or other electronic transmission device pursuant to which the signature of or on behalf of such party can be seen, and such execution and delivery shall be considered legal, valid, binding and effective for all purposes. The parties hereto hereby agree that no party shall raise the execution of a PDF or other reproduction of this Agreement, or the fact that any signature or document was transmitted or communicated by e-mail or other electronic transmission device, as a defense to the formation of this Agreement.</w:t>
      </w:r>
    </w:p>
    <w:p>
      <w:pPr>
        <w:spacing w:after="0" w:line="69" w:lineRule="exact"/>
        <w:rPr>
          <w:rFonts w:ascii="Arial" w:cs="Arial" w:eastAsia="Arial" w:hAnsi="Arial"/>
          <w:sz w:val="17"/>
          <w:szCs w:val="17"/>
          <w:color w:val="auto"/>
        </w:rPr>
      </w:pPr>
    </w:p>
    <w:p>
      <w:pPr>
        <w:ind w:right="460" w:firstLine="436"/>
        <w:spacing w:after="0" w:line="277" w:lineRule="auto"/>
        <w:tabs>
          <w:tab w:leader="none" w:pos="695"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this Agreement are for convenience of reference and shall not form part of, or affect the interpretation of, this Agreement.</w:t>
      </w:r>
    </w:p>
    <w:p>
      <w:pPr>
        <w:spacing w:after="0" w:line="62" w:lineRule="exact"/>
        <w:rPr>
          <w:rFonts w:ascii="Arial" w:cs="Arial" w:eastAsia="Arial" w:hAnsi="Arial"/>
          <w:sz w:val="18"/>
          <w:szCs w:val="18"/>
          <w:color w:val="auto"/>
        </w:rPr>
      </w:pPr>
    </w:p>
    <w:p>
      <w:pPr>
        <w:ind w:right="60" w:firstLine="436"/>
        <w:spacing w:after="0" w:line="279" w:lineRule="auto"/>
        <w:tabs>
          <w:tab w:leader="none" w:pos="655" w:val="left"/>
        </w:tabs>
        <w:numPr>
          <w:ilvl w:val="0"/>
          <w:numId w:val="67"/>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this Agreement shall be invalid or unenforceable in any jurisdiction, such invalidity or unenforceability shall not affect the validity or enforceability of the remainder of this Agreement in that jurisdiction or the validity or enforceability of any provision of this Agreement in any other jurisdiction.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74" w:name="page75"/>
    <w:bookmarkEnd w:id="74"/>
    <w:p>
      <w:pPr>
        <w:ind w:right="320" w:firstLine="436"/>
        <w:spacing w:after="0" w:line="342" w:lineRule="auto"/>
        <w:tabs>
          <w:tab w:leader="none" w:pos="655"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Further Assurances</w:t>
      </w:r>
      <w:r>
        <w:rPr>
          <w:rFonts w:ascii="Arial" w:cs="Arial" w:eastAsia="Arial" w:hAnsi="Arial"/>
          <w:sz w:val="16"/>
          <w:szCs w:val="16"/>
          <w:color w:val="auto"/>
        </w:rPr>
        <w:t>. The parties shall execute and deliver all such further instruments and documents and take all such other actions as may reasonably be required to carry out the transactions contemplated hereby and to evidence the fulfillment of the agreements herein contained.</w:t>
      </w:r>
    </w:p>
    <w:p>
      <w:pPr>
        <w:spacing w:after="0" w:line="15" w:lineRule="exact"/>
        <w:rPr>
          <w:rFonts w:ascii="Arial" w:cs="Arial" w:eastAsia="Arial" w:hAnsi="Arial"/>
          <w:sz w:val="16"/>
          <w:szCs w:val="16"/>
          <w:color w:val="auto"/>
        </w:rPr>
      </w:pPr>
    </w:p>
    <w:p>
      <w:pPr>
        <w:ind w:right="340" w:firstLine="436"/>
        <w:spacing w:after="0" w:line="277" w:lineRule="auto"/>
        <w:tabs>
          <w:tab w:leader="none" w:pos="695"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No Strict Construction</w:t>
      </w:r>
      <w:r>
        <w:rPr>
          <w:rFonts w:ascii="Arial" w:cs="Arial" w:eastAsia="Arial" w:hAnsi="Arial"/>
          <w:sz w:val="18"/>
          <w:szCs w:val="18"/>
          <w:color w:val="auto"/>
        </w:rPr>
        <w:t>. The language used in this Agreement will be deemed to be the language chosen by the parties thereto express their mutual intent, and no rules of strict construction will be applied against any party.</w:t>
      </w:r>
    </w:p>
    <w:p>
      <w:pPr>
        <w:spacing w:after="0" w:line="62" w:lineRule="exact"/>
        <w:rPr>
          <w:rFonts w:ascii="Arial" w:cs="Arial" w:eastAsia="Arial" w:hAnsi="Arial"/>
          <w:sz w:val="18"/>
          <w:szCs w:val="18"/>
          <w:color w:val="auto"/>
        </w:rPr>
      </w:pPr>
    </w:p>
    <w:p>
      <w:pPr>
        <w:ind w:right="160" w:firstLine="436"/>
        <w:spacing w:after="0" w:line="273" w:lineRule="auto"/>
        <w:tabs>
          <w:tab w:leader="none" w:pos="655" w:val="left"/>
        </w:tabs>
        <w:numPr>
          <w:ilvl w:val="0"/>
          <w:numId w:val="68"/>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is intended by the parties as a final expression of their agreement and intended to be a complete and exclusive statement of the agreement and understanding of the parties hereto in respect of the subject matter contained herein. This Agreement supersedes all prior agreements and understandings between the parties with respect to such subject matter. No failure or delay on the part of a party in either exercising or enforcing any right under this Agreement shall operate as a waiver of, or impair, any such right. No single or partial exercise or enforcement of any such right shall preclude any other or further exercise or enforcement thereof or the exercise or enforcement of any other right. No waiver of any such right shall be deemed a waiver of any other right.</w:t>
      </w:r>
    </w:p>
    <w:p>
      <w:pPr>
        <w:spacing w:after="0" w:line="69" w:lineRule="exact"/>
        <w:rPr>
          <w:rFonts w:ascii="Arial" w:cs="Arial" w:eastAsia="Arial" w:hAnsi="Arial"/>
          <w:sz w:val="17"/>
          <w:szCs w:val="17"/>
          <w:color w:val="auto"/>
        </w:rPr>
      </w:pPr>
    </w:p>
    <w:p>
      <w:pPr>
        <w:ind w:right="20" w:firstLine="436"/>
        <w:spacing w:after="0" w:line="293" w:lineRule="auto"/>
        <w:tabs>
          <w:tab w:leader="none" w:pos="745" w:val="left"/>
        </w:tabs>
        <w:numPr>
          <w:ilvl w:val="0"/>
          <w:numId w:val="68"/>
        </w:numPr>
        <w:rPr>
          <w:rFonts w:ascii="Arial" w:cs="Arial" w:eastAsia="Arial" w:hAnsi="Arial"/>
          <w:sz w:val="16"/>
          <w:szCs w:val="16"/>
          <w:color w:val="auto"/>
        </w:rPr>
      </w:pPr>
      <w:r>
        <w:rPr>
          <w:rFonts w:ascii="Arial" w:cs="Arial" w:eastAsia="Arial" w:hAnsi="Arial"/>
          <w:sz w:val="16"/>
          <w:szCs w:val="16"/>
          <w:color w:val="auto"/>
        </w:rPr>
        <w:t>Independent Nature of Investors</w:t>
      </w:r>
      <w:r>
        <w:rPr>
          <w:rFonts w:ascii="Arial" w:cs="Arial" w:eastAsia="Arial" w:hAnsi="Arial"/>
          <w:sz w:val="16"/>
          <w:szCs w:val="16"/>
          <w:u w:val="single" w:color="auto"/>
          <w:color w:val="auto"/>
        </w:rPr>
        <w:t>.</w:t>
      </w:r>
      <w:r>
        <w:rPr>
          <w:rFonts w:ascii="Arial" w:cs="Arial" w:eastAsia="Arial" w:hAnsi="Arial"/>
          <w:sz w:val="16"/>
          <w:szCs w:val="16"/>
          <w:color w:val="auto"/>
        </w:rPr>
        <w:t xml:space="preserve"> The obligations of each Investor hereunder are several and not joint with the obligations of any other Investor, and no Investor shall be responsible in any way for the performance of the obligations of any other Investor hereunder. Nothing contained herein, and no action taken by any Investor pursuant hereto or thereto, shall be deemed to constitute the Investors as a partnership, an association, a joint venture or any other kind of entity, or create a presumption that the Investors are in any way acting in concert or as a group with respect to such obligations or the transactions contemplated hereby. Each Investor shall be entitled to independently protect and enforce its rights, including the rights arising out of this Agreement, and it shall not be necessary for any other Investor to be joined as an additional party in any proceeding for such purpose.</w:t>
      </w:r>
    </w:p>
    <w:p>
      <w:pPr>
        <w:spacing w:after="0" w:line="56" w:lineRule="exact"/>
        <w:rPr>
          <w:rFonts w:ascii="Arial" w:cs="Arial" w:eastAsia="Arial" w:hAnsi="Arial"/>
          <w:sz w:val="16"/>
          <w:szCs w:val="16"/>
          <w:color w:val="auto"/>
        </w:rPr>
      </w:pPr>
    </w:p>
    <w:p>
      <w:pPr>
        <w:ind w:firstLine="436"/>
        <w:spacing w:after="0" w:line="289" w:lineRule="auto"/>
        <w:tabs>
          <w:tab w:leader="none" w:pos="695"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Governing Law; Consent to Jurisdiction; Waiver of Jury Trial</w:t>
      </w:r>
      <w:r>
        <w:rPr>
          <w:rFonts w:ascii="Arial" w:cs="Arial" w:eastAsia="Arial" w:hAnsi="Arial"/>
          <w:sz w:val="16"/>
          <w:szCs w:val="16"/>
          <w:color w:val="auto"/>
        </w:rPr>
        <w:t>. All questions concerning the construction, validity, enforcement and interpretation of this Agreement shall be governed by the internal laws of the State of Delaware, without giving effect to any choice of law or conflict of law provision or rule (whether of the State of Delaware or any other jurisdiction) that would cause the application of the laws of any jurisdiction other than the State of Delaware. Each party hereby irrevocably submits to the exclusive jurisdiction of the courts of the State of Delaware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for such notices to it under this Agreement and agrees that such service shall constitute good and sufficient service of process and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75" w:name="page76"/>
    <w:bookmarkEnd w:id="75"/>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 thereof. Nothing contained herein shall be deemed to limit in any way any right to serve process in any manner permitted by law. EACH OF THE PARTIES HERETO IRREVOCABLY WAIVES ANY RIGHT TO REQUEST A TRIAL BY JURY FOR THE ADJUDICATION OF ANY DISPUTE HEREUNDER OR IN CONNECTION HEREWITH OR ARISING OUT OF THIS AGREEMENT.</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40" w:top="274" w:right="479" w:bottom="1440" w:gutter="0" w:footer="0" w:header="0"/>
        </w:sectPr>
      </w:pPr>
    </w:p>
    <w:bookmarkStart w:id="76" w:name="page77"/>
    <w:bookmarkEnd w:id="76"/>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Arial" w:cs="Arial" w:eastAsia="Arial" w:hAnsi="Arial"/>
          <w:sz w:val="18"/>
          <w:szCs w:val="18"/>
          <w:color w:val="auto"/>
        </w:rPr>
        <w:t>, the parties have executed this Agreement or caused their duly authorized officers to execute this Agreement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first above written.</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COMPANY: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LARIMAR THERAPEUTICS,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Registration Rights Agreement]</w:t>
      </w:r>
    </w:p>
    <w:p>
      <w:pPr>
        <w:sectPr>
          <w:pgSz w:w="11900" w:h="16838" w:orient="portrait"/>
          <w:cols w:equalWidth="0" w:num="1">
            <w:col w:w="10980"/>
          </w:cols>
          <w:pgMar w:left="440" w:top="270" w:right="479" w:bottom="1440" w:gutter="0" w:footer="0" w:header="0"/>
        </w:sectPr>
      </w:pPr>
    </w:p>
    <w:bookmarkStart w:id="77" w:name="page78"/>
    <w:bookmarkEnd w:id="77"/>
    <w:p>
      <w:pPr>
        <w:ind w:left="73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291465</wp:posOffset>
            </wp:positionV>
            <wp:extent cx="27946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of 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288925</wp:posOffset>
            </wp:positionV>
            <wp:extent cx="27946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288925</wp:posOffset>
            </wp:positionV>
            <wp:extent cx="27946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Name of Signing Party (Please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288925</wp:posOffset>
            </wp:positionV>
            <wp:extent cx="27946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520"/>
        <w:spacing w:after="0"/>
        <w:rPr>
          <w:sz w:val="20"/>
          <w:szCs w:val="20"/>
          <w:color w:val="auto"/>
        </w:rPr>
      </w:pPr>
      <w:r>
        <w:rPr>
          <w:rFonts w:ascii="Arial" w:cs="Arial" w:eastAsia="Arial" w:hAnsi="Arial"/>
          <w:sz w:val="16"/>
          <w:szCs w:val="16"/>
          <w:color w:val="auto"/>
        </w:rPr>
        <w:t>Title of Signing Party (Please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303530</wp:posOffset>
            </wp:positionV>
            <wp:extent cx="27946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Tax ID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288925</wp:posOffset>
            </wp:positionV>
            <wp:extent cx="27946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Date Signed</w:t>
      </w:r>
    </w:p>
    <w:p>
      <w:pPr>
        <w:spacing w:after="0" w:line="225"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[Signature Page to Registration Rights Agreement]</w:t>
      </w:r>
    </w:p>
    <w:p>
      <w:pPr>
        <w:sectPr>
          <w:pgSz w:w="11900" w:h="16838" w:orient="portrait"/>
          <w:cols w:equalWidth="0" w:num="1">
            <w:col w:w="9140"/>
          </w:cols>
          <w:pgMar w:left="1440" w:top="270" w:right="1319" w:bottom="1440" w:gutter="0" w:footer="0" w:header="0"/>
        </w:sectPr>
      </w:pPr>
    </w:p>
    <w:bookmarkStart w:id="78" w:name="page79"/>
    <w:bookmarkEnd w:id="7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selling stockholders, which as used herein includes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selling stockholders may use any one or more of the following methods when disposing of shares or interests therein:</w:t>
      </w:r>
    </w:p>
    <w:p>
      <w:pPr>
        <w:spacing w:after="0" w:line="131" w:lineRule="exact"/>
        <w:rPr>
          <w:sz w:val="20"/>
          <w:szCs w:val="20"/>
          <w:color w:val="auto"/>
        </w:rPr>
      </w:pPr>
    </w:p>
    <w:p>
      <w:pPr>
        <w:ind w:left="960" w:hanging="532"/>
        <w:spacing w:after="0"/>
        <w:tabs>
          <w:tab w:leader="none" w:pos="9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130" w:lineRule="exact"/>
        <w:rPr>
          <w:rFonts w:ascii="Arial" w:cs="Arial" w:eastAsia="Arial" w:hAnsi="Arial"/>
          <w:sz w:val="18"/>
          <w:szCs w:val="18"/>
          <w:color w:val="auto"/>
        </w:rPr>
      </w:pPr>
    </w:p>
    <w:p>
      <w:pPr>
        <w:ind w:left="960" w:right="560" w:hanging="532"/>
        <w:spacing w:after="0" w:line="277" w:lineRule="auto"/>
        <w:tabs>
          <w:tab w:leader="none" w:pos="9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shares as agent, but may position and resell a portion of the block as principal to facilitate the transaction;</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short sales effected after the date the registration statement of which this prospectus is a part is declared effective by the SEC;</w:t>
      </w:r>
    </w:p>
    <w:p>
      <w:pPr>
        <w:spacing w:after="0" w:line="142" w:lineRule="exact"/>
        <w:rPr>
          <w:rFonts w:ascii="Arial" w:cs="Arial" w:eastAsia="Arial" w:hAnsi="Arial"/>
          <w:sz w:val="17"/>
          <w:szCs w:val="17"/>
          <w:color w:val="auto"/>
        </w:rPr>
      </w:pPr>
    </w:p>
    <w:p>
      <w:pPr>
        <w:ind w:left="960" w:hanging="532"/>
        <w:spacing w:after="0"/>
        <w:tabs>
          <w:tab w:leader="none" w:pos="9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broker-dealers may agree with the selling stockholders to sell a specified number of such shares at a stipulated price per share;</w:t>
      </w:r>
    </w:p>
    <w:p>
      <w:pPr>
        <w:spacing w:after="0" w:line="142" w:lineRule="exact"/>
        <w:rPr>
          <w:rFonts w:ascii="Arial" w:cs="Arial" w:eastAsia="Arial" w:hAnsi="Arial"/>
          <w:sz w:val="17"/>
          <w:szCs w:val="17"/>
          <w:color w:val="auto"/>
        </w:rPr>
      </w:pPr>
    </w:p>
    <w:p>
      <w:pPr>
        <w:ind w:left="960" w:hanging="532"/>
        <w:spacing w:after="0"/>
        <w:tabs>
          <w:tab w:leader="none" w:pos="9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combination of any such methods of sale; and</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other method permitted by applicable law.</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1933 Act amending the list of selling stockholders to include the pledgee, transferee or other successors in interest as selling stockholders under this prospectus. The selling stockholders also may transfer the shares of common stock in other circumstances, in which case the transferees, pledgees or other successors in interest will be the selling beneficial owners for purposes of this prospectus.</w:t>
      </w:r>
    </w:p>
    <w:p>
      <w:pPr>
        <w:sectPr>
          <w:pgSz w:w="11900" w:h="16838" w:orient="portrait"/>
          <w:cols w:equalWidth="0" w:num="1">
            <w:col w:w="10960"/>
          </w:cols>
          <w:pgMar w:left="440" w:top="270" w:right="499" w:bottom="1440" w:gutter="0" w:footer="0" w:header="0"/>
        </w:sectPr>
      </w:pPr>
    </w:p>
    <w:bookmarkStart w:id="79" w:name="page80"/>
    <w:bookmarkEnd w:id="79"/>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connection with the sale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77"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this offering. Upon any exercise of the warrants by payment of cash, however, we will receive the exercise price of the warrants.</w:t>
      </w:r>
    </w:p>
    <w:p>
      <w:pPr>
        <w:spacing w:after="0" w:line="15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selling stockholders also may resell all or a portion of the shares in open market transactions in reliance upon Rule 144 under the 1933 Act, provided that they meet the criteria and conform to the requirements of that rule.</w:t>
      </w:r>
    </w:p>
    <w:p>
      <w:pPr>
        <w:spacing w:after="0" w:line="170"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The selling stockholders and any underwriters, broker-dealers or agents that participate in the sale of the common stock or interests therein may be “underwriters” within the meaning of Section 2(11) of the 1933 Act. Any discounts, commissions, concessions or profit they earn on any resale of the shares may be underwriting discounts and commissions under the 1933 Act. Selling stockholders who are “underwriters” within the meaning of Section 2(11) of the 1933 Act will be subject to the prospectus delivery requirements of the 1933 Act.</w:t>
      </w:r>
    </w:p>
    <w:p>
      <w:pPr>
        <w:spacing w:after="0" w:line="171"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To the extent required, the shares of our common stock to be sold, the names of the selling stockholders, the respective purchase prices and public offering prices, the names of any agents, dealer or underwriter, any applicable commissions or discounts with respect to a particular offer will be set forth in an accompanying prospectus supplement or, if appropriate, a post-effective amendment to the registration statement that includes this prospectus.</w:t>
      </w:r>
    </w:p>
    <w:p>
      <w:pPr>
        <w:spacing w:after="0" w:line="18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sectPr>
          <w:pgSz w:w="11900" w:h="16838" w:orient="portrait"/>
          <w:cols w:equalWidth="0" w:num="1">
            <w:col w:w="11000"/>
          </w:cols>
          <w:pgMar w:left="440" w:top="274" w:right="459" w:bottom="1440" w:gutter="0" w:footer="0" w:header="0"/>
        </w:sectPr>
      </w:pPr>
    </w:p>
    <w:bookmarkStart w:id="80" w:name="page81"/>
    <w:bookmarkEnd w:id="80"/>
    <w:p>
      <w:pPr>
        <w:ind w:left="4"/>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have advised the selling stockholders that the anti-manipulation rules of Regulation M under the 1934 Act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1933 Act. The selling stockholders may indemnify any broker-dealer that participates in transactions involving the sale of the shares against certain liabilities, including liabilities arising under the 1933 Act.</w:t>
      </w:r>
    </w:p>
    <w:p>
      <w:pPr>
        <w:spacing w:after="0" w:line="188" w:lineRule="exact"/>
        <w:rPr>
          <w:sz w:val="20"/>
          <w:szCs w:val="20"/>
          <w:color w:val="auto"/>
        </w:rPr>
      </w:pPr>
    </w:p>
    <w:p>
      <w:pPr>
        <w:ind w:left="4" w:right="80"/>
        <w:spacing w:after="0" w:line="277" w:lineRule="auto"/>
        <w:rPr>
          <w:sz w:val="20"/>
          <w:szCs w:val="20"/>
          <w:color w:val="auto"/>
        </w:rPr>
      </w:pPr>
      <w:r>
        <w:rPr>
          <w:rFonts w:ascii="Arial" w:cs="Arial" w:eastAsia="Arial" w:hAnsi="Arial"/>
          <w:sz w:val="18"/>
          <w:szCs w:val="18"/>
          <w:color w:val="auto"/>
        </w:rPr>
        <w:t>We have agreed to indemnify the selling stockholders against liabilities, including liabilities under the 1933 Act and state securities laws, relating to the registration of the shares offered by this prospectus.</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6"/>
          <w:szCs w:val="16"/>
          <w:color w:val="auto"/>
        </w:rPr>
        <w:t>We have agreed with the selling stockholders to keep the registration statement of which this prospectus constitutes a part effective until the earlier of</w:t>
      </w:r>
    </w:p>
    <w:p>
      <w:pPr>
        <w:spacing w:after="0" w:line="46" w:lineRule="exact"/>
        <w:rPr>
          <w:sz w:val="20"/>
          <w:szCs w:val="20"/>
          <w:color w:val="auto"/>
        </w:rPr>
      </w:pPr>
    </w:p>
    <w:p>
      <w:pPr>
        <w:ind w:left="264" w:hanging="264"/>
        <w:spacing w:after="0"/>
        <w:tabs>
          <w:tab w:leader="none" w:pos="264" w:val="left"/>
        </w:tabs>
        <w:numPr>
          <w:ilvl w:val="0"/>
          <w:numId w:val="70"/>
        </w:numPr>
        <w:rPr>
          <w:rFonts w:ascii="Arial" w:cs="Arial" w:eastAsia="Arial" w:hAnsi="Arial"/>
          <w:sz w:val="16"/>
          <w:szCs w:val="16"/>
          <w:color w:val="auto"/>
        </w:rPr>
      </w:pPr>
      <w:r>
        <w:rPr>
          <w:rFonts w:ascii="Arial" w:cs="Arial" w:eastAsia="Arial" w:hAnsi="Arial"/>
          <w:sz w:val="16"/>
          <w:szCs w:val="16"/>
          <w:color w:val="auto"/>
        </w:rPr>
        <w:t>such time as all of the shares covered by this prospectus have been disposed of pursuant to and in accordance with such registration statement or</w:t>
      </w:r>
    </w:p>
    <w:p>
      <w:pPr>
        <w:spacing w:after="0" w:line="32" w:lineRule="exact"/>
        <w:rPr>
          <w:rFonts w:ascii="Arial" w:cs="Arial" w:eastAsia="Arial" w:hAnsi="Arial"/>
          <w:sz w:val="16"/>
          <w:szCs w:val="16"/>
          <w:color w:val="auto"/>
        </w:rPr>
      </w:pPr>
    </w:p>
    <w:p>
      <w:pPr>
        <w:ind w:left="264" w:hanging="264"/>
        <w:spacing w:after="0"/>
        <w:tabs>
          <w:tab w:leader="none" w:pos="264"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date on which all of the shares may be sold without restriction pursuant to Rule 144 of the 1933 Act.</w:t>
      </w:r>
    </w:p>
    <w:p>
      <w:pPr>
        <w:sectPr>
          <w:pgSz w:w="11900" w:h="16838" w:orient="portrait"/>
          <w:cols w:equalWidth="0" w:num="1">
            <w:col w:w="10984"/>
          </w:cols>
          <w:pgMar w:left="436" w:top="274" w:right="479" w:bottom="1440" w:gutter="0" w:footer="0" w:header="0"/>
        </w:sectPr>
      </w:pPr>
    </w:p>
    <w:bookmarkStart w:id="81" w:name="page82"/>
    <w:bookmarkEnd w:id="8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Form of Selling Investor Questionnaire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attached.]</w:t>
      </w:r>
    </w:p>
    <w:p>
      <w:pPr>
        <w:sectPr>
          <w:pgSz w:w="11900" w:h="16838" w:orient="portrait"/>
          <w:cols w:equalWidth="0" w:num="1">
            <w:col w:w="9019"/>
          </w:cols>
          <w:pgMar w:left="1440" w:top="270" w:right="1440"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REGISTRATION RIGHTS AGREEMENT</w:t>
      </w:r>
    </w:p>
    <w:p>
      <w:pPr>
        <w:spacing w:after="0" w:line="22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 xml:space="preserve">THIS AMENDED AND RESTATED REGISTRATION RIGHTS AGREEMENT </w:t>
      </w:r>
      <w:r>
        <w:rPr>
          <w:rFonts w:ascii="Arial" w:cs="Arial" w:eastAsia="Arial" w:hAnsi="Arial"/>
          <w:sz w:val="18"/>
          <w:szCs w:val="18"/>
          <w:color w:val="auto"/>
        </w:rPr>
        <w:t>(this “</w:t>
      </w:r>
      <w:r>
        <w:rPr>
          <w:rFonts w:ascii="Arial" w:cs="Arial" w:eastAsia="Arial" w:hAnsi="Arial"/>
          <w:sz w:val="18"/>
          <w:szCs w:val="18"/>
          <w:b w:val="1"/>
          <w:bCs w:val="1"/>
          <w:color w:val="auto"/>
        </w:rPr>
        <w:t>Agreement</w:t>
      </w:r>
      <w:r>
        <w:rPr>
          <w:rFonts w:ascii="Arial" w:cs="Arial" w:eastAsia="Arial" w:hAnsi="Arial"/>
          <w:sz w:val="18"/>
          <w:szCs w:val="18"/>
          <w:color w:val="auto"/>
        </w:rPr>
        <w:t>”), dated as of May 25, 2021 (the “</w:t>
      </w:r>
      <w:r>
        <w:rPr>
          <w:rFonts w:ascii="Arial" w:cs="Arial" w:eastAsia="Arial" w:hAnsi="Arial"/>
          <w:sz w:val="18"/>
          <w:szCs w:val="18"/>
          <w:b w:val="1"/>
          <w:bCs w:val="1"/>
          <w:color w:val="auto"/>
        </w:rPr>
        <w:t>Effective Date</w:t>
      </w:r>
      <w:r>
        <w:rPr>
          <w:rFonts w:ascii="Arial" w:cs="Arial" w:eastAsia="Arial" w:hAnsi="Arial"/>
          <w:sz w:val="18"/>
          <w:szCs w:val="18"/>
          <w:color w:val="auto"/>
        </w:rPr>
        <w:t>”), is made and entered into by and among Larimar Therapeutics,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each of the investors set forth</w:t>
      </w:r>
      <w:r>
        <w:rPr>
          <w:rFonts w:ascii="Arial" w:cs="Arial" w:eastAsia="Arial" w:hAnsi="Arial"/>
          <w:sz w:val="18"/>
          <w:szCs w:val="18"/>
          <w:b w:val="1"/>
          <w:bCs w:val="1"/>
          <w:color w:val="auto"/>
        </w:rPr>
        <w:t xml:space="preserve"> </w:t>
      </w:r>
      <w:r>
        <w:rPr>
          <w:rFonts w:ascii="Arial" w:cs="Arial" w:eastAsia="Arial" w:hAnsi="Arial"/>
          <w:sz w:val="18"/>
          <w:szCs w:val="18"/>
          <w:color w:val="auto"/>
        </w:rPr>
        <w:t>on the signature pages hereto (each, including each Person that becomes an Investor in accordance with Section 6(d) hereof, an “</w:t>
      </w:r>
      <w:r>
        <w:rPr>
          <w:rFonts w:ascii="Arial" w:cs="Arial" w:eastAsia="Arial" w:hAnsi="Arial"/>
          <w:sz w:val="18"/>
          <w:szCs w:val="18"/>
          <w:b w:val="1"/>
          <w:bCs w:val="1"/>
          <w:color w:val="auto"/>
        </w:rPr>
        <w:t>Investor</w:t>
      </w:r>
      <w:r>
        <w:rPr>
          <w:rFonts w:ascii="Arial" w:cs="Arial" w:eastAsia="Arial" w:hAnsi="Arial"/>
          <w:sz w:val="18"/>
          <w:szCs w:val="18"/>
          <w:color w:val="auto"/>
        </w:rPr>
        <w:t>” and collectively, the “</w:t>
      </w:r>
      <w:r>
        <w:rPr>
          <w:rFonts w:ascii="Arial" w:cs="Arial" w:eastAsia="Arial" w:hAnsi="Arial"/>
          <w:sz w:val="18"/>
          <w:szCs w:val="18"/>
          <w:b w:val="1"/>
          <w:bCs w:val="1"/>
          <w:color w:val="auto"/>
        </w:rPr>
        <w:t>Investors</w:t>
      </w:r>
      <w:r>
        <w:rPr>
          <w:rFonts w:ascii="Arial" w:cs="Arial" w:eastAsia="Arial" w:hAnsi="Arial"/>
          <w:sz w:val="18"/>
          <w:szCs w:val="18"/>
          <w:color w:val="auto"/>
        </w:rPr>
        <w:t>”).</w:t>
      </w:r>
    </w:p>
    <w:p>
      <w:pPr>
        <w:spacing w:after="0" w:line="180" w:lineRule="exact"/>
        <w:rPr>
          <w:sz w:val="20"/>
          <w:szCs w:val="20"/>
          <w:color w:val="auto"/>
        </w:rPr>
      </w:pPr>
    </w:p>
    <w:p>
      <w:pPr>
        <w:ind w:right="220"/>
        <w:spacing w:after="0" w:line="347"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prior to the Effective Date, the Investors, including the Deerfield Funds (as defined below) and the Company were parties to that certain</w:t>
      </w:r>
      <w:r>
        <w:rPr>
          <w:rFonts w:ascii="Arial" w:cs="Arial" w:eastAsia="Arial" w:hAnsi="Arial"/>
          <w:sz w:val="16"/>
          <w:szCs w:val="16"/>
          <w:b w:val="1"/>
          <w:bCs w:val="1"/>
          <w:color w:val="auto"/>
        </w:rPr>
        <w:t xml:space="preserve"> </w:t>
      </w:r>
      <w:r>
        <w:rPr>
          <w:rFonts w:ascii="Arial" w:cs="Arial" w:eastAsia="Arial" w:hAnsi="Arial"/>
          <w:sz w:val="16"/>
          <w:szCs w:val="16"/>
          <w:color w:val="auto"/>
        </w:rPr>
        <w:t>Registration Rights Agreement (the “</w:t>
      </w:r>
      <w:r>
        <w:rPr>
          <w:rFonts w:ascii="Arial" w:cs="Arial" w:eastAsia="Arial" w:hAnsi="Arial"/>
          <w:sz w:val="16"/>
          <w:szCs w:val="16"/>
          <w:b w:val="1"/>
          <w:bCs w:val="1"/>
          <w:color w:val="auto"/>
        </w:rPr>
        <w:t>Existing Registration Rights Agreement</w:t>
      </w:r>
      <w:r>
        <w:rPr>
          <w:rFonts w:ascii="Arial" w:cs="Arial" w:eastAsia="Arial" w:hAnsi="Arial"/>
          <w:sz w:val="16"/>
          <w:szCs w:val="16"/>
          <w:color w:val="auto"/>
        </w:rPr>
        <w:t>”), dated as of June 8, 2020 (the “</w:t>
      </w:r>
      <w:r>
        <w:rPr>
          <w:rFonts w:ascii="Arial" w:cs="Arial" w:eastAsia="Arial" w:hAnsi="Arial"/>
          <w:sz w:val="16"/>
          <w:szCs w:val="16"/>
          <w:b w:val="1"/>
          <w:bCs w:val="1"/>
          <w:color w:val="auto"/>
        </w:rPr>
        <w:t>Original Effective Date</w:t>
      </w:r>
      <w:r>
        <w:rPr>
          <w:rFonts w:ascii="Arial" w:cs="Arial" w:eastAsia="Arial" w:hAnsi="Arial"/>
          <w:sz w:val="16"/>
          <w:szCs w:val="16"/>
          <w:color w:val="auto"/>
        </w:rPr>
        <w:t>”);</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following the Original Effective Date and prior to the Effective Date, certain of the Investors acquired shares of common stock (the</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Merger Shares</w:t>
      </w:r>
      <w:r>
        <w:rPr>
          <w:rFonts w:ascii="Arial" w:cs="Arial" w:eastAsia="Arial" w:hAnsi="Arial"/>
          <w:sz w:val="17"/>
          <w:szCs w:val="17"/>
          <w:color w:val="auto"/>
        </w:rPr>
        <w:t>”) of the Company, par value $0.01 per share (the “</w:t>
      </w:r>
      <w:r>
        <w:rPr>
          <w:rFonts w:ascii="Arial" w:cs="Arial" w:eastAsia="Arial" w:hAnsi="Arial"/>
          <w:sz w:val="17"/>
          <w:szCs w:val="17"/>
          <w:b w:val="1"/>
          <w:bCs w:val="1"/>
          <w:color w:val="auto"/>
        </w:rPr>
        <w:t>Common Stock</w:t>
      </w:r>
      <w:r>
        <w:rPr>
          <w:rFonts w:ascii="Arial" w:cs="Arial" w:eastAsia="Arial" w:hAnsi="Arial"/>
          <w:sz w:val="17"/>
          <w:szCs w:val="17"/>
          <w:color w:val="auto"/>
        </w:rPr>
        <w:t>”), in connection with the consummation of the transactions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contemplated by that certain Agreement and Plan of Merger (the “</w:t>
      </w:r>
      <w:r>
        <w:rPr>
          <w:rFonts w:ascii="Arial" w:cs="Arial" w:eastAsia="Arial" w:hAnsi="Arial"/>
          <w:sz w:val="16"/>
          <w:szCs w:val="16"/>
          <w:b w:val="1"/>
          <w:bCs w:val="1"/>
          <w:color w:val="auto"/>
        </w:rPr>
        <w:t>Merger Agreement</w:t>
      </w:r>
      <w:r>
        <w:rPr>
          <w:rFonts w:ascii="Arial" w:cs="Arial" w:eastAsia="Arial" w:hAnsi="Arial"/>
          <w:sz w:val="16"/>
          <w:szCs w:val="16"/>
          <w:color w:val="auto"/>
        </w:rPr>
        <w:t>”), dated as of December 17, 2019, by and among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Zordich Merger Sub, Inc., a Delaware corporation and wholly owned subsidiary of the Company (“</w:t>
      </w:r>
      <w:r>
        <w:rPr>
          <w:rFonts w:ascii="Arial" w:cs="Arial" w:eastAsia="Arial" w:hAnsi="Arial"/>
          <w:sz w:val="17"/>
          <w:szCs w:val="17"/>
          <w:b w:val="1"/>
          <w:bCs w:val="1"/>
          <w:color w:val="auto"/>
        </w:rPr>
        <w:t>Merger Sub</w:t>
      </w:r>
      <w:r>
        <w:rPr>
          <w:rFonts w:ascii="Arial" w:cs="Arial" w:eastAsia="Arial" w:hAnsi="Arial"/>
          <w:sz w:val="17"/>
          <w:szCs w:val="17"/>
          <w:color w:val="auto"/>
        </w:rPr>
        <w:t>”) and Chondrial Therapeutics,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Chondrial</w:t>
      </w:r>
      <w:r>
        <w:rPr>
          <w:rFonts w:ascii="Arial" w:cs="Arial" w:eastAsia="Arial" w:hAnsi="Arial"/>
          <w:sz w:val="16"/>
          <w:szCs w:val="16"/>
          <w:color w:val="auto"/>
        </w:rPr>
        <w:t>”), pursuant to which Merger Sub merged with and into Chondrial, with Chondrial surviving as a wholly owned subsidiary of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Merger</w:t>
      </w:r>
      <w:r>
        <w:rPr>
          <w:rFonts w:ascii="Arial" w:cs="Arial" w:eastAsia="Arial" w:hAnsi="Arial"/>
          <w:sz w:val="18"/>
          <w:szCs w:val="18"/>
          <w:color w:val="auto"/>
        </w:rPr>
        <w:t>”);</w:t>
      </w:r>
    </w:p>
    <w:p>
      <w:pPr>
        <w:spacing w:after="0" w:line="207"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the Existing Registration Rights Agreement, the Company filed with the United States Securities and Exchange Commission</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a Registration Statement (File No. 333-239510) on Form S-3, which registered the resale of an aggregate of 12,860,272 shares of Common Stock and was declared effective by the SEC as of July 14, 2020 (the “</w:t>
      </w:r>
      <w:r>
        <w:rPr>
          <w:rFonts w:ascii="Arial" w:cs="Arial" w:eastAsia="Arial" w:hAnsi="Arial"/>
          <w:sz w:val="18"/>
          <w:szCs w:val="18"/>
          <w:b w:val="1"/>
          <w:bCs w:val="1"/>
          <w:color w:val="auto"/>
        </w:rPr>
        <w:t>Existing Registration Statement</w:t>
      </w:r>
      <w:r>
        <w:rPr>
          <w:rFonts w:ascii="Arial" w:cs="Arial" w:eastAsia="Arial" w:hAnsi="Arial"/>
          <w:sz w:val="18"/>
          <w:szCs w:val="18"/>
          <w:color w:val="auto"/>
        </w:rPr>
        <w:t>”). For the avoidance of doubt, the Existing Registration Statement and prospectus included therein constitute a Registration Statement and Prospectus (each as defined in this Agreement), respectively, under this Agreement;</w:t>
      </w:r>
    </w:p>
    <w:p>
      <w:pPr>
        <w:spacing w:after="0" w:line="183"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contemporaneously with the execution and delivery of this Agreement, the Company, the Deerfield Funds and certain other investors</w:t>
      </w:r>
      <w:r>
        <w:rPr>
          <w:rFonts w:ascii="Arial" w:cs="Arial" w:eastAsia="Arial" w:hAnsi="Arial"/>
          <w:sz w:val="18"/>
          <w:szCs w:val="18"/>
          <w:b w:val="1"/>
          <w:bCs w:val="1"/>
          <w:color w:val="auto"/>
        </w:rPr>
        <w:t xml:space="preserve"> </w:t>
      </w:r>
      <w:r>
        <w:rPr>
          <w:rFonts w:ascii="Arial" w:cs="Arial" w:eastAsia="Arial" w:hAnsi="Arial"/>
          <w:sz w:val="18"/>
          <w:szCs w:val="18"/>
          <w:color w:val="auto"/>
        </w:rPr>
        <w:t>signatory thereto entered into that certain Securities Purchase Agreement (the “</w:t>
      </w:r>
      <w:r>
        <w:rPr>
          <w:rFonts w:ascii="Arial" w:cs="Arial" w:eastAsia="Arial" w:hAnsi="Arial"/>
          <w:sz w:val="18"/>
          <w:szCs w:val="18"/>
          <w:b w:val="1"/>
          <w:bCs w:val="1"/>
          <w:color w:val="auto"/>
        </w:rPr>
        <w:t>Purchase Agreement</w:t>
      </w:r>
      <w:r>
        <w:rPr>
          <w:rFonts w:ascii="Arial" w:cs="Arial" w:eastAsia="Arial" w:hAnsi="Arial"/>
          <w:sz w:val="18"/>
          <w:szCs w:val="18"/>
          <w:color w:val="auto"/>
        </w:rPr>
        <w:t>”), dated as of the Effective Date, pursuant to which each of the Deerfield Funds purchased a Pre-Funded Warrant (as defined in the Purchase Agreement”) and the Company agreed to amend and restate the Existing Registration Rights Agreement as set forth herein; and</w:t>
      </w:r>
    </w:p>
    <w:p>
      <w:pPr>
        <w:spacing w:after="0" w:line="184"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WHEREAS, the Deerfield Funds, constituting the Required Investors (within the meaning of the Existing Registration Rights Agreement) and the Company are authorized to amend the Existing Registration Rights Agreement pursuant to Section 6(b) thereof.</w:t>
      </w:r>
    </w:p>
    <w:p>
      <w:pPr>
        <w:spacing w:after="0" w:line="142" w:lineRule="exact"/>
        <w:rPr>
          <w:sz w:val="20"/>
          <w:szCs w:val="20"/>
          <w:color w:val="auto"/>
        </w:rPr>
      </w:pPr>
    </w:p>
    <w:p>
      <w:pPr>
        <w:ind w:right="140"/>
        <w:spacing w:after="0" w:line="347" w:lineRule="auto"/>
        <w:rPr>
          <w:sz w:val="20"/>
          <w:szCs w:val="20"/>
          <w:color w:val="auto"/>
        </w:rPr>
      </w:pPr>
      <w:r>
        <w:rPr>
          <w:rFonts w:ascii="Arial" w:cs="Arial" w:eastAsia="Arial" w:hAnsi="Arial"/>
          <w:sz w:val="16"/>
          <w:szCs w:val="16"/>
          <w:b w:val="1"/>
          <w:bCs w:val="1"/>
          <w:color w:val="auto"/>
        </w:rPr>
        <w:t xml:space="preserve">NOW, THEREFORE, IN CONSIDERATION </w:t>
      </w:r>
      <w:r>
        <w:rPr>
          <w:rFonts w:ascii="Arial" w:cs="Arial" w:eastAsia="Arial" w:hAnsi="Arial"/>
          <w:sz w:val="16"/>
          <w:szCs w:val="16"/>
          <w:color w:val="auto"/>
        </w:rPr>
        <w:t>of the mutual covenants and agreements set forth herein, and for other good and valuable</w:t>
      </w:r>
      <w:r>
        <w:rPr>
          <w:rFonts w:ascii="Arial" w:cs="Arial" w:eastAsia="Arial" w:hAnsi="Arial"/>
          <w:sz w:val="16"/>
          <w:szCs w:val="16"/>
          <w:b w:val="1"/>
          <w:bCs w:val="1"/>
          <w:color w:val="auto"/>
        </w:rPr>
        <w:t xml:space="preserve"> </w:t>
      </w:r>
      <w:r>
        <w:rPr>
          <w:rFonts w:ascii="Arial" w:cs="Arial" w:eastAsia="Arial" w:hAnsi="Arial"/>
          <w:sz w:val="16"/>
          <w:szCs w:val="16"/>
          <w:color w:val="auto"/>
        </w:rPr>
        <w:t>consideration, the receipt and sufficiency of which are hereby acknowledged, the parties hereto, intending to be legally bound, hereby agree as follows: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CERTAIN DEFINITIONS</w:t>
      </w:r>
      <w:r>
        <w:rPr>
          <w:rFonts w:ascii="Arial" w:cs="Arial" w:eastAsia="Arial" w:hAnsi="Arial"/>
          <w:sz w:val="18"/>
          <w:szCs w:val="18"/>
          <w:color w:val="auto"/>
        </w:rPr>
        <w:t>. As used in this Agreement, the following capitalized terms used herein shall have the following meanings:</w:t>
      </w:r>
    </w:p>
    <w:p>
      <w:pPr>
        <w:spacing w:after="0" w:line="221"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Block Trade</w:t>
      </w:r>
      <w:r>
        <w:rPr>
          <w:rFonts w:ascii="Arial" w:cs="Arial" w:eastAsia="Arial" w:hAnsi="Arial"/>
          <w:sz w:val="18"/>
          <w:szCs w:val="18"/>
          <w:color w:val="auto"/>
        </w:rPr>
        <w:t>” means an offering and/or sale of Registrable Securities by any Investor on a block trade or underwritten basis (whether firm commitment or otherwise) without substantial marketing efforts prior to pricing, including, without limitation, a same day trade, overnight trade or similar transaction.</w:t>
      </w:r>
    </w:p>
    <w:p>
      <w:pPr>
        <w:spacing w:after="0" w:line="176" w:lineRule="exact"/>
        <w:rPr>
          <w:sz w:val="20"/>
          <w:szCs w:val="20"/>
          <w:color w:val="auto"/>
        </w:rPr>
      </w:pPr>
    </w:p>
    <w:p>
      <w:pPr>
        <w:ind w:right="8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Business Day</w:t>
      </w:r>
      <w:r>
        <w:rPr>
          <w:rFonts w:ascii="Arial" w:cs="Arial" w:eastAsia="Arial" w:hAnsi="Arial"/>
          <w:sz w:val="17"/>
          <w:szCs w:val="17"/>
          <w:color w:val="auto"/>
        </w:rPr>
        <w:t>” means any day other than Saturday, Sunday or other day on which commercial banks in the City of New York are authorized or required by law to remain closed; provided, however,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sectPr>
          <w:pgSz w:w="11900" w:h="16838" w:orient="portrait"/>
          <w:cols w:equalWidth="0" w:num="1">
            <w:col w:w="11020"/>
          </w:cols>
          <w:pgMar w:left="440" w:top="121" w:right="439" w:bottom="1440" w:gutter="0" w:footer="0" w:header="0"/>
        </w:sectPr>
      </w:pPr>
    </w:p>
    <w:bookmarkStart w:id="83" w:name="page84"/>
    <w:bookmarkEnd w:id="83"/>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Closing Date</w:t>
      </w:r>
      <w:r>
        <w:rPr>
          <w:rFonts w:ascii="Arial" w:cs="Arial" w:eastAsia="Arial" w:hAnsi="Arial"/>
          <w:sz w:val="18"/>
          <w:szCs w:val="18"/>
          <w:color w:val="auto"/>
        </w:rPr>
        <w:t>” has the meaning ascribed to such term in the Merger Agreement.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Deerfield Funds</w:t>
      </w:r>
      <w:r>
        <w:rPr>
          <w:rFonts w:ascii="Arial" w:cs="Arial" w:eastAsia="Arial" w:hAnsi="Arial"/>
          <w:sz w:val="16"/>
          <w:szCs w:val="16"/>
          <w:color w:val="auto"/>
        </w:rPr>
        <w:t>” means Deerfield Private Design Fund III, L.P., Deerfield Private Design Fund IV, L.P., Deerfield Healthcare Innovations Fund, L.P.</w:t>
      </w:r>
    </w:p>
    <w:p>
      <w:pPr>
        <w:spacing w:after="0" w:line="50" w:lineRule="exact"/>
        <w:rPr>
          <w:sz w:val="20"/>
          <w:szCs w:val="20"/>
          <w:color w:val="auto"/>
        </w:rPr>
      </w:pPr>
    </w:p>
    <w:p>
      <w:pPr>
        <w:ind w:left="4"/>
        <w:spacing w:after="0"/>
        <w:rPr>
          <w:sz w:val="20"/>
          <w:szCs w:val="20"/>
          <w:color w:val="auto"/>
        </w:rPr>
      </w:pPr>
      <w:r>
        <w:rPr>
          <w:rFonts w:ascii="Arial" w:cs="Arial" w:eastAsia="Arial" w:hAnsi="Arial"/>
          <w:sz w:val="18"/>
          <w:szCs w:val="18"/>
          <w:color w:val="auto"/>
        </w:rPr>
        <w:t>and any Affiliate thereof to which rights under this Agreement are assigned (in whole or in part) in accordance with the terms hereof.</w:t>
      </w:r>
    </w:p>
    <w:p>
      <w:pPr>
        <w:spacing w:after="0" w:line="207" w:lineRule="exact"/>
        <w:rPr>
          <w:sz w:val="20"/>
          <w:szCs w:val="20"/>
          <w:color w:val="auto"/>
        </w:rPr>
      </w:pPr>
    </w:p>
    <w:p>
      <w:pPr>
        <w:ind w:left="4" w:right="480"/>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Prospectus</w:t>
      </w:r>
      <w:r>
        <w:rPr>
          <w:rFonts w:ascii="Arial" w:cs="Arial" w:eastAsia="Arial" w:hAnsi="Arial"/>
          <w:sz w:val="16"/>
          <w:szCs w:val="16"/>
          <w:color w:val="auto"/>
        </w:rPr>
        <w:t>” means (i) the prospectus included in any Registration Statement (including the Existing Registration Statement), as amended or supplemented by any prospectus supplement, with respect to the terms of the offering of any portion of the Registrable Securities covered by such Registration Statement and by all other amendments and supplements to the prospectus, including post-effective amendments and all material incorporated by reference in such prospectus, and (ii) any “free writing prospectus” as defined in Rule 405 under the 1933 Act.</w:t>
      </w:r>
    </w:p>
    <w:p>
      <w:pPr>
        <w:spacing w:after="0" w:line="151" w:lineRule="exact"/>
        <w:rPr>
          <w:sz w:val="20"/>
          <w:szCs w:val="20"/>
          <w:color w:val="auto"/>
        </w:rPr>
      </w:pPr>
    </w:p>
    <w:p>
      <w:pPr>
        <w:ind w:left="4" w:right="60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Register</w:t>
      </w:r>
      <w:r>
        <w:rPr>
          <w:rFonts w:ascii="Arial" w:cs="Arial" w:eastAsia="Arial" w:hAnsi="Arial"/>
          <w:sz w:val="16"/>
          <w:szCs w:val="16"/>
          <w:color w:val="auto"/>
        </w:rPr>
        <w:t>,” “</w:t>
      </w:r>
      <w:r>
        <w:rPr>
          <w:rFonts w:ascii="Arial" w:cs="Arial" w:eastAsia="Arial" w:hAnsi="Arial"/>
          <w:sz w:val="16"/>
          <w:szCs w:val="16"/>
          <w:b w:val="1"/>
          <w:bCs w:val="1"/>
          <w:color w:val="auto"/>
        </w:rPr>
        <w:t>registered</w:t>
      </w:r>
      <w:r>
        <w:rPr>
          <w:rFonts w:ascii="Arial" w:cs="Arial" w:eastAsia="Arial" w:hAnsi="Arial"/>
          <w:sz w:val="16"/>
          <w:szCs w:val="16"/>
          <w:color w:val="auto"/>
        </w:rPr>
        <w:t>” and “</w:t>
      </w:r>
      <w:r>
        <w:rPr>
          <w:rFonts w:ascii="Arial" w:cs="Arial" w:eastAsia="Arial" w:hAnsi="Arial"/>
          <w:sz w:val="16"/>
          <w:szCs w:val="16"/>
          <w:b w:val="1"/>
          <w:bCs w:val="1"/>
          <w:color w:val="auto"/>
        </w:rPr>
        <w:t>registration</w:t>
      </w:r>
      <w:r>
        <w:rPr>
          <w:rFonts w:ascii="Arial" w:cs="Arial" w:eastAsia="Arial" w:hAnsi="Arial"/>
          <w:sz w:val="16"/>
          <w:szCs w:val="16"/>
          <w:color w:val="auto"/>
        </w:rPr>
        <w:t>” refer to a registration made by preparing and filing a Registration Statement or similar document in compliance with the 1933 Act (as defined below), and the declaration or ordering of effectiveness of such Registration Statement or document.</w:t>
      </w:r>
    </w:p>
    <w:p>
      <w:pPr>
        <w:spacing w:after="0" w:line="116" w:lineRule="exact"/>
        <w:rPr>
          <w:sz w:val="20"/>
          <w:szCs w:val="20"/>
          <w:color w:val="auto"/>
        </w:rPr>
      </w:pPr>
    </w:p>
    <w:p>
      <w:pPr>
        <w:ind w:left="4"/>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Registrable Securities</w:t>
      </w:r>
      <w:r>
        <w:rPr>
          <w:rFonts w:ascii="Arial" w:cs="Arial" w:eastAsia="Arial" w:hAnsi="Arial"/>
          <w:sz w:val="16"/>
          <w:szCs w:val="16"/>
          <w:color w:val="auto"/>
        </w:rPr>
        <w:t>” means (i) the Merger Shares, the Warrant Shares (as defined in the Pre-Funded Warrants) issued or issuable to Deerfield Funds upon exercise of the Pre-Funded Warrants (without giving effect to any limitation on exercise thereof), (ii) any other securities issued or issuable with respect to or in exchange for Merger Shares or the Warrant Shares (without giving effect to any limitation on exercise of the Pre-Funded Warrants) and</w:t>
      </w:r>
    </w:p>
    <w:p>
      <w:pPr>
        <w:spacing w:after="0" w:line="2" w:lineRule="exact"/>
        <w:rPr>
          <w:sz w:val="20"/>
          <w:szCs w:val="20"/>
          <w:color w:val="auto"/>
        </w:rPr>
      </w:pPr>
    </w:p>
    <w:p>
      <w:pPr>
        <w:ind w:left="4" w:right="260" w:hanging="4"/>
        <w:spacing w:after="0" w:line="290" w:lineRule="auto"/>
        <w:tabs>
          <w:tab w:leader="none" w:pos="319" w:val="left"/>
        </w:tabs>
        <w:numPr>
          <w:ilvl w:val="0"/>
          <w:numId w:val="71"/>
        </w:numPr>
        <w:rPr>
          <w:rFonts w:ascii="Arial" w:cs="Arial" w:eastAsia="Arial" w:hAnsi="Arial"/>
          <w:sz w:val="16"/>
          <w:szCs w:val="16"/>
          <w:color w:val="auto"/>
        </w:rPr>
      </w:pPr>
      <w:r>
        <w:rPr>
          <w:rFonts w:ascii="Arial" w:cs="Arial" w:eastAsia="Arial" w:hAnsi="Arial"/>
          <w:sz w:val="16"/>
          <w:szCs w:val="16"/>
          <w:color w:val="auto"/>
        </w:rPr>
        <w:t xml:space="preserve">any other shares of Common Stock held by, or issuable directly or indirectly upon exercise, conversion or exchange of any securities (without giving effect to any limitations on exercise, conversion or exchange) held by, any Investor; </w:t>
      </w:r>
      <w:r>
        <w:rPr>
          <w:rFonts w:ascii="Arial" w:cs="Arial" w:eastAsia="Arial" w:hAnsi="Arial"/>
          <w:sz w:val="16"/>
          <w:szCs w:val="16"/>
          <w:u w:val="single" w:color="auto"/>
          <w:color w:val="auto"/>
        </w:rPr>
        <w:t>provided</w:t>
      </w:r>
      <w:r>
        <w:rPr>
          <w:rFonts w:ascii="Arial" w:cs="Arial" w:eastAsia="Arial" w:hAnsi="Arial"/>
          <w:sz w:val="16"/>
          <w:szCs w:val="16"/>
          <w:color w:val="auto"/>
        </w:rPr>
        <w:t>, that, a security shall cease to be a Registrable Security upon (A) sale pursuant to a Registration Statement or Rule 144 under the 1933 Act, or (B) such security becoming eligible for sale without restriction or limitation (including volume limitations) by such Investor (and any of its Affiliates whose shares must be aggregated with those of such Investor under Rule 144) pursuant to Rule 144 and without the requirement to be in compliance with Rule 144(c)(1) (or any successor thereto) promulgated under the 1933 Act (assuming the exercise for cash of any Pre-Funded Warrants or other exercisable securities).</w:t>
      </w:r>
    </w:p>
    <w:p>
      <w:pPr>
        <w:spacing w:after="0" w:line="160" w:lineRule="exact"/>
        <w:rPr>
          <w:sz w:val="20"/>
          <w:szCs w:val="20"/>
          <w:color w:val="auto"/>
        </w:rPr>
      </w:pPr>
    </w:p>
    <w:p>
      <w:pPr>
        <w:ind w:left="4" w:right="22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Registration Statement</w:t>
      </w:r>
      <w:r>
        <w:rPr>
          <w:rFonts w:ascii="Arial" w:cs="Arial" w:eastAsia="Arial" w:hAnsi="Arial"/>
          <w:sz w:val="18"/>
          <w:szCs w:val="18"/>
          <w:color w:val="auto"/>
        </w:rPr>
        <w:t>” means any registration statement filed by the Company under the 1933 Act and the rules and regulations promulgated thereunder that covers the resale of any of the Registrable Securities pursuant to the provisions of this Agreement (including the Existing Registration Statement), amendments and supplements to such Registration Statement, including post-effective amendments, and all exhibits to and all material incorporated by reference in such Registration Statement.</w:t>
      </w:r>
    </w:p>
    <w:p>
      <w:pPr>
        <w:spacing w:after="0" w:line="180" w:lineRule="exact"/>
        <w:rPr>
          <w:sz w:val="20"/>
          <w:szCs w:val="20"/>
          <w:color w:val="auto"/>
        </w:rPr>
      </w:pPr>
    </w:p>
    <w:p>
      <w:pPr>
        <w:ind w:left="4" w:right="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Investors</w:t>
      </w:r>
      <w:r>
        <w:rPr>
          <w:rFonts w:ascii="Arial" w:cs="Arial" w:eastAsia="Arial" w:hAnsi="Arial"/>
          <w:sz w:val="18"/>
          <w:szCs w:val="18"/>
          <w:color w:val="auto"/>
        </w:rPr>
        <w:t>” means (i) the Investors holding a majority of the Registrable Securities outstanding from time to time; provided, that such majority shall include the Deerfield Funds, and (ii) whether or not included in clause (i), any Investor that is (or is part of a group that collectively is) an “affiliate” (as such term is used under Rule 144 under the 1933 Act).</w:t>
      </w:r>
    </w:p>
    <w:p>
      <w:pPr>
        <w:spacing w:after="0" w:line="176"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means the U.S. Securities and Exchange Commission.</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Selling Investor</w:t>
      </w:r>
      <w:r>
        <w:rPr>
          <w:rFonts w:ascii="Arial" w:cs="Arial" w:eastAsia="Arial" w:hAnsi="Arial"/>
          <w:sz w:val="18"/>
          <w:szCs w:val="18"/>
          <w:color w:val="auto"/>
        </w:rPr>
        <w:t>” means any Investor electing to sell any of its Registrable Securities in a Registration.</w:t>
      </w:r>
    </w:p>
    <w:p>
      <w:pPr>
        <w:spacing w:after="0" w:line="225" w:lineRule="exact"/>
        <w:rPr>
          <w:sz w:val="20"/>
          <w:szCs w:val="20"/>
          <w:color w:val="auto"/>
        </w:rPr>
      </w:pPr>
    </w:p>
    <w:p>
      <w:pPr>
        <w:ind w:left="4" w:right="7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Selling Investor Questionnaire</w:t>
      </w:r>
      <w:r>
        <w:rPr>
          <w:rFonts w:ascii="Arial" w:cs="Arial" w:eastAsia="Arial" w:hAnsi="Arial"/>
          <w:sz w:val="18"/>
          <w:szCs w:val="18"/>
          <w:color w:val="auto"/>
        </w:rPr>
        <w:t xml:space="preserve">” means a questionnaire in the form attached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or such other form of questionnaire as may reasonably be adopted by the Company from time to time.</w:t>
      </w:r>
    </w:p>
    <w:p>
      <w:pPr>
        <w:spacing w:after="0" w:line="162" w:lineRule="exact"/>
        <w:rPr>
          <w:sz w:val="20"/>
          <w:szCs w:val="20"/>
          <w:color w:val="auto"/>
        </w:rPr>
      </w:pPr>
    </w:p>
    <w:p>
      <w:pPr>
        <w:ind w:left="4" w:right="18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Trading Day</w:t>
      </w:r>
      <w:r>
        <w:rPr>
          <w:rFonts w:ascii="Arial" w:cs="Arial" w:eastAsia="Arial" w:hAnsi="Arial"/>
          <w:sz w:val="16"/>
          <w:szCs w:val="16"/>
          <w:color w:val="auto"/>
        </w:rPr>
        <w:t>” means a day on which the Common Stock is listed or quoted and traded on the Nasdaq Global Market (or, if the Common Stock is not listed, quoted or traded on the Nasdaq Global Market, the principal securities exchange on which the Common Stock is then listed, quoted or traded).</w:t>
      </w:r>
    </w:p>
    <w:p>
      <w:pPr>
        <w:sectPr>
          <w:pgSz w:w="11900" w:h="16838" w:orient="portrait"/>
          <w:cols w:equalWidth="0" w:num="1">
            <w:col w:w="11004"/>
          </w:cols>
          <w:pgMar w:left="436" w:top="270" w:right="459" w:bottom="1440" w:gutter="0" w:footer="0" w:header="0"/>
        </w:sectPr>
      </w:pPr>
    </w:p>
    <w:bookmarkStart w:id="84" w:name="page85"/>
    <w:bookmarkEnd w:id="84"/>
    <w:p>
      <w:pPr>
        <w:ind w:left="4" w:right="48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Underwriter</w:t>
      </w:r>
      <w:r>
        <w:rPr>
          <w:rFonts w:ascii="Arial" w:cs="Arial" w:eastAsia="Arial" w:hAnsi="Arial"/>
          <w:sz w:val="18"/>
          <w:szCs w:val="18"/>
          <w:color w:val="auto"/>
        </w:rPr>
        <w:t>” means a securities dealer who purchases any Registrable Securities as principal in an underwritten offering and not as part of such dealer’s market-making activities.</w:t>
      </w:r>
    </w:p>
    <w:p>
      <w:pPr>
        <w:spacing w:after="0" w:line="58" w:lineRule="exact"/>
        <w:rPr>
          <w:sz w:val="20"/>
          <w:szCs w:val="20"/>
          <w:color w:val="auto"/>
        </w:rPr>
      </w:pPr>
    </w:p>
    <w:p>
      <w:pPr>
        <w:ind w:left="184" w:hanging="184"/>
        <w:spacing w:after="0"/>
        <w:tabs>
          <w:tab w:leader="none" w:pos="184"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spacing w:after="0"/>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Registration Statements</w:t>
      </w:r>
      <w:r>
        <w:rPr>
          <w:rFonts w:ascii="Arial" w:cs="Arial" w:eastAsia="Arial" w:hAnsi="Arial"/>
          <w:sz w:val="18"/>
          <w:szCs w:val="18"/>
          <w:color w:val="auto"/>
        </w:rPr>
        <w:t>.</w:t>
      </w:r>
    </w:p>
    <w:p>
      <w:pPr>
        <w:spacing w:after="0" w:line="113" w:lineRule="exact"/>
        <w:rPr>
          <w:sz w:val="20"/>
          <w:szCs w:val="20"/>
          <w:color w:val="auto"/>
        </w:rPr>
      </w:pPr>
    </w:p>
    <w:p>
      <w:pPr>
        <w:ind w:left="4" w:right="20" w:hanging="4"/>
        <w:spacing w:after="0" w:line="269" w:lineRule="auto"/>
        <w:tabs>
          <w:tab w:leader="none" w:pos="219" w:val="left"/>
        </w:tabs>
        <w:numPr>
          <w:ilvl w:val="0"/>
          <w:numId w:val="73"/>
        </w:numPr>
        <w:rPr>
          <w:rFonts w:ascii="Arial" w:cs="Arial" w:eastAsia="Arial" w:hAnsi="Arial"/>
          <w:sz w:val="17"/>
          <w:szCs w:val="17"/>
          <w:color w:val="auto"/>
        </w:rPr>
      </w:pPr>
      <w:r>
        <w:rPr>
          <w:rFonts w:ascii="Arial" w:cs="Arial" w:eastAsia="Arial" w:hAnsi="Arial"/>
          <w:sz w:val="17"/>
          <w:szCs w:val="17"/>
          <w:color w:val="auto"/>
        </w:rPr>
        <w:t>Promptly following the Effective Date but no later than thirty (30) days after the Closing Date (the “</w:t>
      </w:r>
      <w:r>
        <w:rPr>
          <w:rFonts w:ascii="Arial" w:cs="Arial" w:eastAsia="Arial" w:hAnsi="Arial"/>
          <w:sz w:val="17"/>
          <w:szCs w:val="17"/>
          <w:b w:val="1"/>
          <w:bCs w:val="1"/>
          <w:color w:val="auto"/>
        </w:rPr>
        <w:t>Filing Deadline</w:t>
      </w:r>
      <w:r>
        <w:rPr>
          <w:rFonts w:ascii="Arial" w:cs="Arial" w:eastAsia="Arial" w:hAnsi="Arial"/>
          <w:sz w:val="17"/>
          <w:szCs w:val="17"/>
          <w:color w:val="auto"/>
        </w:rPr>
        <w:t>”), the Company shall prepare and file with the SEC a Registration Statement covering the resale of all of the Registrable Securities that are not covered by the Existing Registration Statement for an offering to be made on a continuous basis pursuant to Rule 415 under the 1933 Act (</w:t>
      </w:r>
      <w:r>
        <w:rPr>
          <w:rFonts w:ascii="Arial" w:cs="Arial" w:eastAsia="Arial" w:hAnsi="Arial"/>
          <w:sz w:val="17"/>
          <w:szCs w:val="17"/>
          <w:b w:val="1"/>
          <w:bCs w:val="1"/>
          <w:color w:val="auto"/>
        </w:rPr>
        <w:t>“Rule 415</w:t>
      </w:r>
      <w:r>
        <w:rPr>
          <w:rFonts w:ascii="Arial" w:cs="Arial" w:eastAsia="Arial" w:hAnsi="Arial"/>
          <w:sz w:val="17"/>
          <w:szCs w:val="17"/>
          <w:color w:val="auto"/>
        </w:rPr>
        <w:t xml:space="preserve">”) or, if Rule 415 is not available for offers and sales of such Registrable Securities, by such other means of distribution of such Registrable Securities as the Investors may reasonably specify. Such Registration Statement shall be on Form S-3 (except if the Company is then ineligible to register for resale the Registrable Securities on Form S-3, in which case such registration shall be on such other form available to register for resale the Registrable Securities as a secondary offering) subject to the provisions of </w:t>
      </w:r>
      <w:r>
        <w:rPr>
          <w:rFonts w:ascii="Arial" w:cs="Arial" w:eastAsia="Arial" w:hAnsi="Arial"/>
          <w:sz w:val="17"/>
          <w:szCs w:val="17"/>
          <w:u w:val="single" w:color="auto"/>
          <w:color w:val="auto"/>
        </w:rPr>
        <w:t>Section 2(a)(ii)</w:t>
      </w:r>
      <w:r>
        <w:rPr>
          <w:rFonts w:ascii="Arial" w:cs="Arial" w:eastAsia="Arial" w:hAnsi="Arial"/>
          <w:sz w:val="17"/>
          <w:szCs w:val="17"/>
          <w:color w:val="auto"/>
        </w:rPr>
        <w:t xml:space="preserve"> and shall contain (except if otherwise required pursuant to written comments received from the SEC upon review of such Registration Statement) a “Plan of Distribution” substantially in the form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(which may be modified to respond to comments, if any, provided by the SEC);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Investor shall be named as an Underwriter in any Registration Statement without the Investor’s prior written consent. In the event that the Company is not eligible to register the Registrable Securities on Form S-3 and instead registers the Registrable Securities on another form of registration statement pursuant to the 1933 Act, the Company shall convert or replace such registration statement with a registration statement on Form S-3 promptly following confirmation that the Company becomes eligible to use Form S-3 to register the Registrable Securities.</w:t>
      </w:r>
    </w:p>
    <w:p>
      <w:pPr>
        <w:spacing w:after="0" w:line="71" w:lineRule="exact"/>
        <w:rPr>
          <w:rFonts w:ascii="Arial" w:cs="Arial" w:eastAsia="Arial" w:hAnsi="Arial"/>
          <w:sz w:val="17"/>
          <w:szCs w:val="17"/>
          <w:color w:val="auto"/>
        </w:rPr>
      </w:pPr>
    </w:p>
    <w:p>
      <w:pPr>
        <w:ind w:left="4" w:right="60" w:hanging="4"/>
        <w:spacing w:after="0" w:line="301" w:lineRule="auto"/>
        <w:tabs>
          <w:tab w:leader="none" w:pos="269" w:val="left"/>
        </w:tabs>
        <w:numPr>
          <w:ilvl w:val="0"/>
          <w:numId w:val="73"/>
        </w:numPr>
        <w:rPr>
          <w:rFonts w:ascii="Arial" w:cs="Arial" w:eastAsia="Arial" w:hAnsi="Arial"/>
          <w:sz w:val="16"/>
          <w:szCs w:val="16"/>
          <w:color w:val="auto"/>
        </w:rPr>
      </w:pPr>
      <w:r>
        <w:rPr>
          <w:rFonts w:ascii="Arial" w:cs="Arial" w:eastAsia="Arial" w:hAnsi="Arial"/>
          <w:sz w:val="16"/>
          <w:szCs w:val="16"/>
          <w:color w:val="auto"/>
        </w:rPr>
        <w:t xml:space="preserve">Such Registration Statement also shall cover, to the extent allowable under the 1933 Act and the rules promulgated thereunder (including Rule 416), such indeterminate number of additional shares of Common Stock resulting from stock splits, stock combinations, stock dividends or similar transactions with respect to the Registrable Securities. Such Registration Statement (and each amendment or supplement thereto, and each request for acceleration of effectiveness thereof) shall be provided in accordance with </w:t>
      </w:r>
      <w:r>
        <w:rPr>
          <w:rFonts w:ascii="Arial" w:cs="Arial" w:eastAsia="Arial" w:hAnsi="Arial"/>
          <w:sz w:val="16"/>
          <w:szCs w:val="16"/>
          <w:u w:val="single" w:color="auto"/>
          <w:color w:val="auto"/>
        </w:rPr>
        <w:t>Section 3(c)</w:t>
      </w:r>
      <w:r>
        <w:rPr>
          <w:rFonts w:ascii="Arial" w:cs="Arial" w:eastAsia="Arial" w:hAnsi="Arial"/>
          <w:sz w:val="16"/>
          <w:szCs w:val="16"/>
          <w:color w:val="auto"/>
        </w:rPr>
        <w:t xml:space="preserve"> to the Investors prior to its filing or other submission.</w:t>
      </w:r>
    </w:p>
    <w:p>
      <w:pPr>
        <w:spacing w:after="0" w:line="49" w:lineRule="exact"/>
        <w:rPr>
          <w:rFonts w:ascii="Arial" w:cs="Arial" w:eastAsia="Arial" w:hAnsi="Arial"/>
          <w:sz w:val="16"/>
          <w:szCs w:val="16"/>
          <w:color w:val="auto"/>
        </w:rPr>
      </w:pPr>
    </w:p>
    <w:p>
      <w:pPr>
        <w:ind w:left="4" w:right="20" w:hanging="4"/>
        <w:spacing w:after="0" w:line="279" w:lineRule="auto"/>
        <w:tabs>
          <w:tab w:leader="none" w:pos="319" w:val="left"/>
        </w:tabs>
        <w:numPr>
          <w:ilvl w:val="0"/>
          <w:numId w:val="73"/>
        </w:numPr>
        <w:rPr>
          <w:rFonts w:ascii="Arial" w:cs="Arial" w:eastAsia="Arial" w:hAnsi="Arial"/>
          <w:sz w:val="17"/>
          <w:szCs w:val="17"/>
          <w:color w:val="auto"/>
        </w:rPr>
      </w:pPr>
      <w:r>
        <w:rPr>
          <w:rFonts w:ascii="Arial" w:cs="Arial" w:eastAsia="Arial" w:hAnsi="Arial"/>
          <w:sz w:val="17"/>
          <w:szCs w:val="17"/>
          <w:color w:val="auto"/>
        </w:rPr>
        <w:t>Unless the SEC does not so permit or otherwise directed by the Investors, each Registration Statement filed pursuant to this Section 2(a) shall include a combined prospectus for the resale of the Registrable Securities registered by such Registration Statement, the Existing Registration Statement and any other Registration Statement previously filed hereunder, and shall be deemed a post-effective amendment to the Existing Registration Statement or, other previously filed Registration Statement in accordance with Rule 429 under the Securities Act.</w:t>
      </w:r>
    </w:p>
    <w:p>
      <w:pPr>
        <w:spacing w:after="0" w:line="63" w:lineRule="exact"/>
        <w:rPr>
          <w:sz w:val="20"/>
          <w:szCs w:val="20"/>
          <w:color w:val="auto"/>
        </w:rPr>
      </w:pPr>
    </w:p>
    <w:p>
      <w:pPr>
        <w:ind w:left="4" w:hanging="4"/>
        <w:spacing w:after="0" w:line="275" w:lineRule="auto"/>
        <w:tabs>
          <w:tab w:leader="none" w:pos="259" w:val="left"/>
        </w:tabs>
        <w:numPr>
          <w:ilvl w:val="0"/>
          <w:numId w:val="74"/>
        </w:numPr>
        <w:rPr>
          <w:rFonts w:ascii="Arial" w:cs="Arial" w:eastAsia="Arial" w:hAnsi="Arial"/>
          <w:sz w:val="17"/>
          <w:szCs w:val="17"/>
          <w:color w:val="auto"/>
        </w:rPr>
      </w:pPr>
      <w:r>
        <w:rPr>
          <w:rFonts w:ascii="Arial" w:cs="Arial" w:eastAsia="Arial" w:hAnsi="Arial"/>
          <w:sz w:val="17"/>
          <w:szCs w:val="17"/>
          <w:u w:val="single" w:color="auto"/>
          <w:color w:val="auto"/>
        </w:rPr>
        <w:t>Expenses</w:t>
      </w:r>
      <w:r>
        <w:rPr>
          <w:rFonts w:ascii="Arial" w:cs="Arial" w:eastAsia="Arial" w:hAnsi="Arial"/>
          <w:sz w:val="17"/>
          <w:szCs w:val="17"/>
          <w:color w:val="auto"/>
        </w:rPr>
        <w:t>. The Company will pay all expenses associated with each Registration Statement or underwritten offering pursuant thereto, including filing and printing fees, the fees and expenses of the Company’s counsel and accounting fees and expenses, costs associated with clearing the Registrable Securities for sale under applicable state securities laws and listing fees, and the reasonable fees and expenses of one (1) counsel to the Investors (not to exceed $35,000 per registration and/or underwritten offering), but excluding discounts, commissions, fees of underwriters, selling brokers, dealer managers or similar securities industry professionals with respect to the Registrable Securities being sold.</w:t>
      </w:r>
    </w:p>
    <w:p>
      <w:pPr>
        <w:spacing w:after="0" w:line="68" w:lineRule="exact"/>
        <w:rPr>
          <w:rFonts w:ascii="Arial" w:cs="Arial" w:eastAsia="Arial" w:hAnsi="Arial"/>
          <w:sz w:val="17"/>
          <w:szCs w:val="17"/>
          <w:color w:val="auto"/>
        </w:rPr>
      </w:pPr>
    </w:p>
    <w:p>
      <w:pPr>
        <w:ind w:left="244" w:hanging="244"/>
        <w:spacing w:after="0"/>
        <w:tabs>
          <w:tab w:leader="none" w:pos="244"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Effectiveness</w:t>
      </w:r>
      <w:r>
        <w:rPr>
          <w:rFonts w:ascii="Arial" w:cs="Arial" w:eastAsia="Arial" w:hAnsi="Arial"/>
          <w:sz w:val="18"/>
          <w:szCs w:val="18"/>
          <w:color w:val="auto"/>
        </w:rPr>
        <w:t>.</w:t>
      </w:r>
    </w:p>
    <w:p>
      <w:pPr>
        <w:spacing w:after="0" w:line="117" w:lineRule="exact"/>
        <w:rPr>
          <w:sz w:val="20"/>
          <w:szCs w:val="20"/>
          <w:color w:val="auto"/>
        </w:rPr>
      </w:pPr>
    </w:p>
    <w:p>
      <w:pPr>
        <w:ind w:left="4" w:hanging="4"/>
        <w:spacing w:after="0" w:line="279" w:lineRule="auto"/>
        <w:tabs>
          <w:tab w:leader="none" w:pos="219"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Company shall use commercially reasonable efforts to have each Registration Statement declared effective as soon as practicable after the filing. The Company shall notify the Investors as promptly as practicable, and in any event, within twenty-four (24) hours, after the Registration Statement is declared effective and shall simultaneously or prior thereto file with the SEC pursuant to Rule 424(b) under the 1933 Act, and provide the Investors with copies of, any related Prospectus to be used in connection with the sale or other disposition of the securities covered thereby.</w:t>
      </w:r>
    </w:p>
    <w:p>
      <w:pPr>
        <w:sectPr>
          <w:pgSz w:w="11900" w:h="16838" w:orient="portrait"/>
          <w:cols w:equalWidth="0" w:num="1">
            <w:col w:w="11004"/>
          </w:cols>
          <w:pgMar w:left="436" w:top="270" w:right="459" w:bottom="1440" w:gutter="0" w:footer="0" w:header="0"/>
        </w:sectPr>
      </w:pPr>
    </w:p>
    <w:bookmarkStart w:id="85" w:name="page86"/>
    <w:bookmarkEnd w:id="85"/>
    <w:p>
      <w:pPr>
        <w:ind w:left="4" w:right="220" w:hanging="4"/>
        <w:spacing w:after="0" w:line="284" w:lineRule="auto"/>
        <w:tabs>
          <w:tab w:leader="none" w:pos="269" w:val="left"/>
        </w:tabs>
        <w:numPr>
          <w:ilvl w:val="0"/>
          <w:numId w:val="7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For not more than ten (10) consecutive days or for a total of not more than twenty (20) days in any twelve (12) month period, the Company may suspend the use of any Prospectus included in any Registration Statement contemplated by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in the event that the Company determines in good faith that such suspension is necessary to (A) delay the disclosure of material non-public information concerning the Company, the disclosure of which at the time is not, in the good faith opinion of the Company, in the best interests of the Company or (B) amend or supplement the affected Registration Statement or the related Prospectus so that such Registration Statement or Prospectus shall not include any Misstatement (an “</w:t>
      </w:r>
      <w:r>
        <w:rPr>
          <w:rFonts w:ascii="Arial" w:cs="Arial" w:eastAsia="Arial" w:hAnsi="Arial"/>
          <w:sz w:val="16"/>
          <w:szCs w:val="16"/>
          <w:b w:val="1"/>
          <w:bCs w:val="1"/>
          <w:color w:val="auto"/>
        </w:rPr>
        <w:t>Allowed</w:t>
      </w:r>
      <w:r>
        <w:rPr>
          <w:rFonts w:ascii="Arial" w:cs="Arial" w:eastAsia="Arial" w:hAnsi="Arial"/>
          <w:sz w:val="16"/>
          <w:szCs w:val="16"/>
          <w:color w:val="auto"/>
        </w:rPr>
        <w:t xml:space="preserve"> </w:t>
      </w:r>
      <w:r>
        <w:rPr>
          <w:rFonts w:ascii="Arial" w:cs="Arial" w:eastAsia="Arial" w:hAnsi="Arial"/>
          <w:sz w:val="16"/>
          <w:szCs w:val="16"/>
          <w:b w:val="1"/>
          <w:bCs w:val="1"/>
          <w:color w:val="auto"/>
        </w:rPr>
        <w:t>Delay</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that the Company shall promptly (1) notify each Investor in writing of the commencement of an Allowed Delay, but shall not</w:t>
      </w:r>
      <w:r>
        <w:rPr>
          <w:rFonts w:ascii="Arial" w:cs="Arial" w:eastAsia="Arial" w:hAnsi="Arial"/>
          <w:sz w:val="16"/>
          <w:szCs w:val="16"/>
          <w:b w:val="1"/>
          <w:bCs w:val="1"/>
          <w:color w:val="auto"/>
        </w:rPr>
        <w:t xml:space="preserve"> </w:t>
      </w:r>
      <w:r>
        <w:rPr>
          <w:rFonts w:ascii="Arial" w:cs="Arial" w:eastAsia="Arial" w:hAnsi="Arial"/>
          <w:sz w:val="16"/>
          <w:szCs w:val="16"/>
          <w:color w:val="auto"/>
        </w:rPr>
        <w:t>(without the prior written consent of an Investor) disclose to such Investor any material non-public information giving rise to an Allowed Delay,</w:t>
      </w:r>
    </w:p>
    <w:p>
      <w:pPr>
        <w:spacing w:after="0" w:line="2" w:lineRule="exact"/>
        <w:rPr>
          <w:rFonts w:ascii="Arial" w:cs="Arial" w:eastAsia="Arial" w:hAnsi="Arial"/>
          <w:sz w:val="16"/>
          <w:szCs w:val="16"/>
          <w:color w:val="auto"/>
        </w:rPr>
      </w:pPr>
    </w:p>
    <w:p>
      <w:pPr>
        <w:ind w:left="4" w:right="120"/>
        <w:spacing w:after="0" w:line="255" w:lineRule="auto"/>
        <w:rPr>
          <w:rFonts w:ascii="Arial" w:cs="Arial" w:eastAsia="Arial" w:hAnsi="Arial"/>
          <w:sz w:val="16"/>
          <w:szCs w:val="16"/>
          <w:color w:val="auto"/>
        </w:rPr>
      </w:pPr>
      <w:r>
        <w:rPr>
          <w:rFonts w:ascii="Arial" w:cs="Arial" w:eastAsia="Arial" w:hAnsi="Arial"/>
          <w:sz w:val="18"/>
          <w:szCs w:val="18"/>
          <w:color w:val="auto"/>
        </w:rPr>
        <w:t>(2) advise the Investors in writing to cease all sales under such Registration Statement until the end of the Allowed Delay (but not, for the avoidance of doubt, any sale pursuant to Rule 144 or other applicable exemption under the 1933 Act) and (3) use commercially reasonable efforts to terminate an Allowed Delay as promptly as practicable.</w:t>
      </w:r>
    </w:p>
    <w:p>
      <w:pPr>
        <w:spacing w:after="0" w:line="82" w:lineRule="exact"/>
        <w:rPr>
          <w:sz w:val="20"/>
          <w:szCs w:val="20"/>
          <w:color w:val="auto"/>
        </w:rPr>
      </w:pPr>
    </w:p>
    <w:p>
      <w:pPr>
        <w:ind w:left="4" w:right="300" w:hanging="4"/>
        <w:spacing w:after="0" w:line="291" w:lineRule="auto"/>
        <w:tabs>
          <w:tab w:leader="none" w:pos="259" w:val="left"/>
        </w:tabs>
        <w:numPr>
          <w:ilvl w:val="0"/>
          <w:numId w:val="77"/>
        </w:numPr>
        <w:rPr>
          <w:rFonts w:ascii="Arial" w:cs="Arial" w:eastAsia="Arial" w:hAnsi="Arial"/>
          <w:sz w:val="16"/>
          <w:szCs w:val="16"/>
          <w:color w:val="auto"/>
        </w:rPr>
      </w:pPr>
      <w:r>
        <w:rPr>
          <w:rFonts w:ascii="Arial" w:cs="Arial" w:eastAsia="Arial" w:hAnsi="Arial"/>
          <w:sz w:val="16"/>
          <w:szCs w:val="16"/>
          <w:u w:val="single" w:color="auto"/>
          <w:color w:val="auto"/>
        </w:rPr>
        <w:t>Liquidated Damages</w:t>
      </w:r>
      <w:r>
        <w:rPr>
          <w:rFonts w:ascii="Arial" w:cs="Arial" w:eastAsia="Arial" w:hAnsi="Arial"/>
          <w:sz w:val="16"/>
          <w:szCs w:val="16"/>
          <w:color w:val="auto"/>
        </w:rPr>
        <w:t>. If: (i) the Registration Statement is not filed on or prior to the Filing Deadline, (ii) the Company fails to file with the SEC a request for acceleration of a Registration Statement in accordance with Rule 461 promulgated by the SEC pursuant to the 1933 Act, within five</w:t>
      </w:r>
    </w:p>
    <w:p>
      <w:pPr>
        <w:ind w:left="4"/>
        <w:spacing w:after="0" w:line="265" w:lineRule="auto"/>
        <w:rPr>
          <w:rFonts w:ascii="Arial" w:cs="Arial" w:eastAsia="Arial" w:hAnsi="Arial"/>
          <w:sz w:val="16"/>
          <w:szCs w:val="16"/>
          <w:color w:val="auto"/>
        </w:rPr>
      </w:pPr>
      <w:r>
        <w:rPr>
          <w:rFonts w:ascii="Arial" w:cs="Arial" w:eastAsia="Arial" w:hAnsi="Arial"/>
          <w:sz w:val="17"/>
          <w:szCs w:val="17"/>
          <w:color w:val="auto"/>
        </w:rPr>
        <w:t>(5) Trading Days of the date that the Company is notified (orally or in writing, whichever is earlier) by the SEC that such Registration Statement will not be “reviewed” or will not be subject to further review, (iii) prior to the effective date of a Registration Statement, the Company fails to file a pre-effective amendment and otherwise respond in writing to comments made by the SEC in respect of such Registration Statement within ten</w:t>
      </w:r>
    </w:p>
    <w:p>
      <w:pPr>
        <w:ind w:left="4"/>
        <w:spacing w:after="0" w:line="281" w:lineRule="auto"/>
        <w:rPr>
          <w:rFonts w:ascii="Arial" w:cs="Arial" w:eastAsia="Arial" w:hAnsi="Arial"/>
          <w:sz w:val="16"/>
          <w:szCs w:val="16"/>
          <w:color w:val="auto"/>
        </w:rPr>
      </w:pPr>
      <w:r>
        <w:rPr>
          <w:rFonts w:ascii="Arial" w:cs="Arial" w:eastAsia="Arial" w:hAnsi="Arial"/>
          <w:sz w:val="16"/>
          <w:szCs w:val="16"/>
          <w:color w:val="auto"/>
        </w:rPr>
        <w:t>(10) calendar days after the receipt of comments by or notice from the SEC that such amendment is required in order for such Registration Statement to be declared effective, or (iv) the Company fails to maintain the effectiveness of the Registration Statement during the Effectiveness Period other than in connection with an Allowed Delay, or the Allowed Delay is exceeded (any such failure or breach being referred to as an “</w:t>
      </w:r>
      <w:r>
        <w:rPr>
          <w:rFonts w:ascii="Arial" w:cs="Arial" w:eastAsia="Arial" w:hAnsi="Arial"/>
          <w:sz w:val="16"/>
          <w:szCs w:val="16"/>
          <w:b w:val="1"/>
          <w:bCs w:val="1"/>
          <w:color w:val="auto"/>
        </w:rPr>
        <w:t>Event</w:t>
      </w:r>
      <w:r>
        <w:rPr>
          <w:rFonts w:ascii="Arial" w:cs="Arial" w:eastAsia="Arial" w:hAnsi="Arial"/>
          <w:sz w:val="16"/>
          <w:szCs w:val="16"/>
          <w:color w:val="auto"/>
        </w:rPr>
        <w:t>”, and for purpose of clause (i), the date on which such Event occurs, and for purpose of clause (ii) the date on which such five (5) Trading Day period is exceeded, and for purpose of clause (iii) the date which such ten (10) calendar day period is exceeded, and for purpose of clause (iv) the date on which the Allowed Delay is exceeded being referred to as the “</w:t>
      </w:r>
      <w:r>
        <w:rPr>
          <w:rFonts w:ascii="Arial" w:cs="Arial" w:eastAsia="Arial" w:hAnsi="Arial"/>
          <w:sz w:val="16"/>
          <w:szCs w:val="16"/>
          <w:b w:val="1"/>
          <w:bCs w:val="1"/>
          <w:color w:val="auto"/>
        </w:rPr>
        <w:t>Event Date</w:t>
      </w:r>
      <w:r>
        <w:rPr>
          <w:rFonts w:ascii="Arial" w:cs="Arial" w:eastAsia="Arial" w:hAnsi="Arial"/>
          <w:sz w:val="16"/>
          <w:szCs w:val="16"/>
          <w:color w:val="auto"/>
        </w:rPr>
        <w:t>”), then, in addition to any other rights and remedies the Investors may have hereunder or under applicable law or in equity, on each such Event Date and on each monthly anniversary of each such Event Date (if the applicable Event shall not have been cured by such date) until the applicable Event is cured, the Company shall pay to each Investor an amount in cash, as partial liquidated damages and not as a penalty, equal to the product of 1.0% multiplied by the aggregate value of such Investor’s Merger Shares and Warrant Shares (assuming exercise of the Warrants in full, with giving effect to any limitation thereon) as of the date hereof. The amounts payable pursuant to the foregoing sentence are referred to collectively as “</w:t>
      </w:r>
      <w:r>
        <w:rPr>
          <w:rFonts w:ascii="Arial" w:cs="Arial" w:eastAsia="Arial" w:hAnsi="Arial"/>
          <w:sz w:val="16"/>
          <w:szCs w:val="16"/>
          <w:b w:val="1"/>
          <w:bCs w:val="1"/>
          <w:color w:val="auto"/>
        </w:rPr>
        <w:t>Liquidated Damages</w:t>
      </w:r>
      <w:r>
        <w:rPr>
          <w:rFonts w:ascii="Arial" w:cs="Arial" w:eastAsia="Arial" w:hAnsi="Arial"/>
          <w:sz w:val="16"/>
          <w:szCs w:val="16"/>
          <w:color w:val="auto"/>
        </w:rPr>
        <w:t>”. The parties agree that (1) notwithstanding anything to the contrary herein, no Liquidated Damages shall be payable with respect to any period after the expiration of the Effectiveness Period and in no event shall the aggregate amount of Liquidated Damages payable to an Investor pursuant to this Section 2.(d) exceed, in the aggregate, five percent (5%) of the aggregate value of such Investor’s Merger Shares and Warrant Shares (assuming exercise of the Warrants in full, with giving effect to any limitation thereon) as of the date hereof and (2) in no event shall the Company be liable in any thirty (30)-day period for Liquidated Damages under this Agreement in excess of one percent (1.0)% of the aggregate value of the Merger Shares and Warrant Shares (assuming exercise of the Warrants in full, with giving effect to any limitation thereon) as of the date hereof. If the Company fails to pay any Liquidated Damages pursuant to this Section 2(d) in full within seven</w:t>
      </w:r>
    </w:p>
    <w:p>
      <w:pPr>
        <w:spacing w:after="0" w:line="9" w:lineRule="exact"/>
        <w:rPr>
          <w:rFonts w:ascii="Arial" w:cs="Arial" w:eastAsia="Arial" w:hAnsi="Arial"/>
          <w:sz w:val="16"/>
          <w:szCs w:val="16"/>
          <w:color w:val="auto"/>
        </w:rPr>
      </w:pPr>
    </w:p>
    <w:p>
      <w:pPr>
        <w:ind w:left="4" w:right="100"/>
        <w:spacing w:after="0" w:line="269" w:lineRule="auto"/>
        <w:rPr>
          <w:rFonts w:ascii="Arial" w:cs="Arial" w:eastAsia="Arial" w:hAnsi="Arial"/>
          <w:sz w:val="16"/>
          <w:szCs w:val="16"/>
          <w:color w:val="auto"/>
        </w:rPr>
      </w:pPr>
      <w:r>
        <w:rPr>
          <w:rFonts w:ascii="Arial" w:cs="Arial" w:eastAsia="Arial" w:hAnsi="Arial"/>
          <w:sz w:val="17"/>
          <w:szCs w:val="17"/>
          <w:color w:val="auto"/>
        </w:rPr>
        <w:t>(7) calendar days after the date payable, the Company will pay interest thereon at a rate of one percent (1.0%) per annum (or such lesser maximum amount that is permitted to be paid by applicable Law) to the Investor, accruing daily from the date such Liquidated Damages are due until such amounts, plus all such interest thereon, are paid in full. The Liquidated Damages pursuant to the terms hereof shall apply on a daily pro rata basis for any portion of a month prior to the cure of an Event. The Effectiveness Deadline for a Registration Statement shall be extended without default and without the payment of Liquidated Damages hereunder in the event that the Company’s failure to obtain the effectiveness of the Registration Statement on a timely basis results from the failure of an Investor to timely provide the Company with information reasonably requested by the Company and necessary to complete the Registration Statement in accordance with the requirements of the 1933 Act.</w:t>
      </w:r>
    </w:p>
    <w:p>
      <w:pPr>
        <w:sectPr>
          <w:pgSz w:w="11900" w:h="16838" w:orient="portrait"/>
          <w:cols w:equalWidth="0" w:num="1">
            <w:col w:w="11004"/>
          </w:cols>
          <w:pgMar w:left="436" w:top="274" w:right="459" w:bottom="1440" w:gutter="0" w:footer="0" w:header="0"/>
        </w:sectPr>
      </w:pPr>
    </w:p>
    <w:bookmarkStart w:id="86" w:name="page87"/>
    <w:bookmarkEnd w:id="86"/>
    <w:p>
      <w:pPr>
        <w:ind w:left="4" w:hanging="4"/>
        <w:spacing w:after="0" w:line="284" w:lineRule="auto"/>
        <w:tabs>
          <w:tab w:leader="none" w:pos="248"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Rule 415; Cutback</w:t>
      </w:r>
      <w:r>
        <w:rPr>
          <w:rFonts w:ascii="Arial" w:cs="Arial" w:eastAsia="Arial" w:hAnsi="Arial"/>
          <w:sz w:val="16"/>
          <w:szCs w:val="16"/>
          <w:color w:val="auto"/>
        </w:rPr>
        <w:t xml:space="preserve">. If at any time the SEC takes the position that the offering of some or all of the Registrable Securities in a Registration Statement is not eligible to be made on a delayed or continuous basis under the provisions of Rule 415 under the 1933 Act or requires any Investor to be named as an Underwriter, the Company shall use commercially reasonable efforts to persuade the SEC that the offering contemplated by such Registration Statement is a valid secondary offering and not an offering “by or on behalf of the issuer” as defined in Rule 415 and that none of the Investors is an Underwriter. The Investors shall have the right to select one legal counsel to review and oversee any registration or matters pursuant to this </w:t>
      </w:r>
      <w:r>
        <w:rPr>
          <w:rFonts w:ascii="Arial" w:cs="Arial" w:eastAsia="Arial" w:hAnsi="Arial"/>
          <w:sz w:val="16"/>
          <w:szCs w:val="16"/>
          <w:u w:val="single" w:color="auto"/>
          <w:color w:val="auto"/>
        </w:rPr>
        <w:t>Section 2(e)</w:t>
      </w:r>
      <w:r>
        <w:rPr>
          <w:rFonts w:ascii="Arial" w:cs="Arial" w:eastAsia="Arial" w:hAnsi="Arial"/>
          <w:sz w:val="16"/>
          <w:szCs w:val="16"/>
          <w:color w:val="auto"/>
        </w:rPr>
        <w:t xml:space="preserve">, including participation in any meetings or discussions with the SEC regarding the SEC’s position and to comment on any written submission made to the SEC with respect thereto, which counsel shall be designated by the holders of a majority of the Registrable Securities. No such written submission with respect to this matter shall be made to the SEC to which the Investors’ counsel reasonably objects. In the event that, despite the Company’s commercially reasonable efforts and compliance with the terms of this </w:t>
      </w:r>
      <w:r>
        <w:rPr>
          <w:rFonts w:ascii="Arial" w:cs="Arial" w:eastAsia="Arial" w:hAnsi="Arial"/>
          <w:sz w:val="16"/>
          <w:szCs w:val="16"/>
          <w:u w:val="single" w:color="auto"/>
          <w:color w:val="auto"/>
        </w:rPr>
        <w:t>Section 2(e)</w:t>
      </w:r>
      <w:r>
        <w:rPr>
          <w:rFonts w:ascii="Arial" w:cs="Arial" w:eastAsia="Arial" w:hAnsi="Arial"/>
          <w:sz w:val="16"/>
          <w:szCs w:val="16"/>
          <w:color w:val="auto"/>
        </w:rPr>
        <w:t>, the SEC refuses to alter its position, the Company shall (i) remove from such Registration Statement such portion of the Registrable Securities (the “</w:t>
      </w:r>
      <w:r>
        <w:rPr>
          <w:rFonts w:ascii="Arial" w:cs="Arial" w:eastAsia="Arial" w:hAnsi="Arial"/>
          <w:sz w:val="16"/>
          <w:szCs w:val="16"/>
          <w:b w:val="1"/>
          <w:bCs w:val="1"/>
          <w:color w:val="auto"/>
        </w:rPr>
        <w:t>Cut Back Shares</w:t>
      </w:r>
      <w:r>
        <w:rPr>
          <w:rFonts w:ascii="Arial" w:cs="Arial" w:eastAsia="Arial" w:hAnsi="Arial"/>
          <w:sz w:val="16"/>
          <w:szCs w:val="16"/>
          <w:color w:val="auto"/>
        </w:rPr>
        <w:t>”) and/or (ii) agree to such restrictions and limitations on the registration and resale of the Registrable Securities as the SEC may require to assure the Company’s compliance with the requirements of Rule 415 (collectively, the “</w:t>
      </w:r>
      <w:r>
        <w:rPr>
          <w:rFonts w:ascii="Arial" w:cs="Arial" w:eastAsia="Arial" w:hAnsi="Arial"/>
          <w:sz w:val="16"/>
          <w:szCs w:val="16"/>
          <w:b w:val="1"/>
          <w:bCs w:val="1"/>
          <w:color w:val="auto"/>
        </w:rPr>
        <w:t>SEC Restrictions</w:t>
      </w:r>
      <w:r>
        <w:rPr>
          <w:rFonts w:ascii="Arial" w:cs="Arial" w:eastAsia="Arial" w:hAnsi="Arial"/>
          <w:sz w:val="16"/>
          <w:szCs w:val="16"/>
          <w:color w:val="auto"/>
        </w:rPr>
        <w:t xml:space="preserve">”); provided, however, that the Company shall not agree to name any Investor as an Underwriter in such Registration Statement without the prior written consent of such Investor. Any cut-back imposed on the Investors pursuant to this </w:t>
      </w:r>
      <w:r>
        <w:rPr>
          <w:rFonts w:ascii="Arial" w:cs="Arial" w:eastAsia="Arial" w:hAnsi="Arial"/>
          <w:sz w:val="16"/>
          <w:szCs w:val="16"/>
          <w:u w:val="single" w:color="auto"/>
          <w:color w:val="auto"/>
        </w:rPr>
        <w:t>Section 2(e)</w:t>
      </w:r>
      <w:r>
        <w:rPr>
          <w:rFonts w:ascii="Arial" w:cs="Arial" w:eastAsia="Arial" w:hAnsi="Arial"/>
          <w:sz w:val="16"/>
          <w:szCs w:val="16"/>
          <w:color w:val="auto"/>
        </w:rPr>
        <w:t xml:space="preserve"> shall be allocated among the Investors on a pro rata basis and shall be applied first to any of the Registrable Securities of such Investor as such Investor shall designate, unless the SEC Restrictions otherwise require or provide or the Investors otherwise agree. From and after the first date on which the Company is able to effect the registration of such Cut Back Shares (such date, the “</w:t>
      </w:r>
      <w:r>
        <w:rPr>
          <w:rFonts w:ascii="Arial" w:cs="Arial" w:eastAsia="Arial" w:hAnsi="Arial"/>
          <w:sz w:val="16"/>
          <w:szCs w:val="16"/>
          <w:b w:val="1"/>
          <w:bCs w:val="1"/>
          <w:color w:val="auto"/>
        </w:rPr>
        <w:t>Restriction Termination Date</w:t>
      </w:r>
      <w:r>
        <w:rPr>
          <w:rFonts w:ascii="Arial" w:cs="Arial" w:eastAsia="Arial" w:hAnsi="Arial"/>
          <w:sz w:val="16"/>
          <w:szCs w:val="16"/>
          <w:color w:val="auto"/>
        </w:rPr>
        <w:t xml:space="preserve">”), all of the provisions of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(including the Company’s obligations with respect to the filing of a Registration Statement and its obligations to use commercially reasonable efforts to have such Registration Statement declared effective within the time periods set forth herein) shall again be applicable to such Cut Back Shares;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 the Filing Deadline for such Registration Statement including such Cut Back Shares shall be ten (10) Business Days after the Restriction Termination Date, and (ii) the date by which the Company is required to obtain effectiveness with respect to such Cut Back Shares under </w:t>
      </w:r>
      <w:r>
        <w:rPr>
          <w:rFonts w:ascii="Arial" w:cs="Arial" w:eastAsia="Arial" w:hAnsi="Arial"/>
          <w:sz w:val="16"/>
          <w:szCs w:val="16"/>
          <w:u w:val="single" w:color="auto"/>
          <w:color w:val="auto"/>
        </w:rPr>
        <w:t>Section 2(c)</w:t>
      </w:r>
      <w:r>
        <w:rPr>
          <w:rFonts w:ascii="Arial" w:cs="Arial" w:eastAsia="Arial" w:hAnsi="Arial"/>
          <w:sz w:val="16"/>
          <w:szCs w:val="16"/>
          <w:color w:val="auto"/>
        </w:rPr>
        <w:t xml:space="preserve"> shall be the 30th day immediately after the Restriction Termination Date (or the 90th day if the SEC reviews such Registration Statement). Notwithstanding anything to the contrary in this Section 2, the Company shall not be liable for Liquidated Damages under this Agreement as to any Registrable Securities which are not permitted by the SEC to be included in a Registration Statement due solely to the SEC Restrictions. In such case, the Liquidated Damages shall be calculated to only apply to the percentage of Registrable Securities which are permitted in accordance with the SEC Restrictions to be included in such Registration Statement.</w:t>
      </w:r>
    </w:p>
    <w:p>
      <w:pPr>
        <w:spacing w:after="0" w:line="282" w:lineRule="exact"/>
        <w:rPr>
          <w:rFonts w:ascii="Arial" w:cs="Arial" w:eastAsia="Arial" w:hAnsi="Arial"/>
          <w:sz w:val="16"/>
          <w:szCs w:val="16"/>
          <w:color w:val="auto"/>
        </w:rPr>
      </w:pPr>
    </w:p>
    <w:p>
      <w:pPr>
        <w:ind w:left="224" w:hanging="224"/>
        <w:spacing w:after="0"/>
        <w:tabs>
          <w:tab w:leader="none" w:pos="224"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Demand Registration</w:t>
      </w:r>
      <w:r>
        <w:rPr>
          <w:rFonts w:ascii="Arial" w:cs="Arial" w:eastAsia="Arial" w:hAnsi="Arial"/>
          <w:sz w:val="18"/>
          <w:szCs w:val="18"/>
          <w:color w:val="auto"/>
        </w:rPr>
        <w:t>.</w:t>
      </w:r>
    </w:p>
    <w:p>
      <w:pPr>
        <w:spacing w:after="0" w:line="117" w:lineRule="exact"/>
        <w:rPr>
          <w:sz w:val="20"/>
          <w:szCs w:val="20"/>
          <w:color w:val="auto"/>
        </w:rPr>
      </w:pPr>
    </w:p>
    <w:p>
      <w:pPr>
        <w:ind w:left="4" w:hanging="4"/>
        <w:spacing w:after="0" w:line="269" w:lineRule="auto"/>
        <w:tabs>
          <w:tab w:leader="none" w:pos="219" w:val="left"/>
        </w:tabs>
        <w:numPr>
          <w:ilvl w:val="0"/>
          <w:numId w:val="79"/>
        </w:numPr>
        <w:rPr>
          <w:rFonts w:ascii="Arial" w:cs="Arial" w:eastAsia="Arial" w:hAnsi="Arial"/>
          <w:sz w:val="17"/>
          <w:szCs w:val="17"/>
          <w:color w:val="auto"/>
        </w:rPr>
      </w:pPr>
      <w:r>
        <w:rPr>
          <w:rFonts w:ascii="Arial" w:cs="Arial" w:eastAsia="Arial" w:hAnsi="Arial"/>
          <w:sz w:val="17"/>
          <w:szCs w:val="17"/>
          <w:u w:val="single" w:color="auto"/>
          <w:color w:val="auto"/>
        </w:rPr>
        <w:t>Request for Registration</w:t>
      </w:r>
      <w:r>
        <w:rPr>
          <w:rFonts w:ascii="Arial" w:cs="Arial" w:eastAsia="Arial" w:hAnsi="Arial"/>
          <w:sz w:val="17"/>
          <w:szCs w:val="17"/>
          <w:color w:val="auto"/>
        </w:rPr>
        <w:t>. At any time and from time to time when there is no valid Registration Statement in effect, the Required Investors (the “</w:t>
      </w:r>
      <w:r>
        <w:rPr>
          <w:rFonts w:ascii="Arial" w:cs="Arial" w:eastAsia="Arial" w:hAnsi="Arial"/>
          <w:sz w:val="17"/>
          <w:szCs w:val="17"/>
          <w:b w:val="1"/>
          <w:bCs w:val="1"/>
          <w:color w:val="auto"/>
        </w:rPr>
        <w:t>Demanding Holders</w:t>
      </w:r>
      <w:r>
        <w:rPr>
          <w:rFonts w:ascii="Arial" w:cs="Arial" w:eastAsia="Arial" w:hAnsi="Arial"/>
          <w:sz w:val="17"/>
          <w:szCs w:val="17"/>
          <w:color w:val="auto"/>
        </w:rPr>
        <w:t>”) may make a written demand for registration under the 1933 Act of all or part of their Registrable Securities (a “</w:t>
      </w:r>
      <w:r>
        <w:rPr>
          <w:rFonts w:ascii="Arial" w:cs="Arial" w:eastAsia="Arial" w:hAnsi="Arial"/>
          <w:sz w:val="17"/>
          <w:szCs w:val="17"/>
          <w:b w:val="1"/>
          <w:bCs w:val="1"/>
          <w:color w:val="auto"/>
        </w:rPr>
        <w:t>Demand</w:t>
      </w:r>
      <w:r>
        <w:rPr>
          <w:rFonts w:ascii="Arial" w:cs="Arial" w:eastAsia="Arial" w:hAnsi="Arial"/>
          <w:sz w:val="17"/>
          <w:szCs w:val="17"/>
          <w:color w:val="auto"/>
        </w:rPr>
        <w:t xml:space="preserve"> </w:t>
      </w:r>
      <w:r>
        <w:rPr>
          <w:rFonts w:ascii="Arial" w:cs="Arial" w:eastAsia="Arial" w:hAnsi="Arial"/>
          <w:sz w:val="17"/>
          <w:szCs w:val="17"/>
          <w:b w:val="1"/>
          <w:bCs w:val="1"/>
          <w:color w:val="auto"/>
        </w:rPr>
        <w:t>Registration</w:t>
      </w:r>
      <w:r>
        <w:rPr>
          <w:rFonts w:ascii="Arial" w:cs="Arial" w:eastAsia="Arial" w:hAnsi="Arial"/>
          <w:sz w:val="17"/>
          <w:szCs w:val="17"/>
          <w:color w:val="auto"/>
        </w:rPr>
        <w:t>”). Any demand for a Demand Registration shall specify the number of Registrable Securities proposed to be sold and the intended</w:t>
      </w:r>
      <w:r>
        <w:rPr>
          <w:rFonts w:ascii="Arial" w:cs="Arial" w:eastAsia="Arial" w:hAnsi="Arial"/>
          <w:sz w:val="17"/>
          <w:szCs w:val="17"/>
          <w:b w:val="1"/>
          <w:bCs w:val="1"/>
          <w:color w:val="auto"/>
        </w:rPr>
        <w:t xml:space="preserve"> </w:t>
      </w:r>
      <w:r>
        <w:rPr>
          <w:rFonts w:ascii="Arial" w:cs="Arial" w:eastAsia="Arial" w:hAnsi="Arial"/>
          <w:sz w:val="17"/>
          <w:szCs w:val="17"/>
          <w:color w:val="auto"/>
        </w:rPr>
        <w:t>method(s) of distribution thereof. The Company will within ten (10) days of the Company’s receipt of the Demand Registration notify all holders of Registrable Securities of the demand, and each holder of Registrable Securities who wishes to include all or a portion of such holder’s Registrable Securities in the Demand Registration (each, a “</w:t>
      </w:r>
      <w:r>
        <w:rPr>
          <w:rFonts w:ascii="Arial" w:cs="Arial" w:eastAsia="Arial" w:hAnsi="Arial"/>
          <w:sz w:val="17"/>
          <w:szCs w:val="17"/>
          <w:b w:val="1"/>
          <w:bCs w:val="1"/>
          <w:color w:val="auto"/>
        </w:rPr>
        <w:t>Demand Requesting Holder</w:t>
      </w:r>
      <w:r>
        <w:rPr>
          <w:rFonts w:ascii="Arial" w:cs="Arial" w:eastAsia="Arial" w:hAnsi="Arial"/>
          <w:sz w:val="17"/>
          <w:szCs w:val="17"/>
          <w:color w:val="auto"/>
        </w:rPr>
        <w:t>”) shall so notify the Company within ten (10) days after the receipt by the holder of the notice from the Company. Upon any such request, the Demanding Holders and the Demand Requesting Holders shall be entitled to have their Registrable Securities included in the Demand Registration, subject to Section 2(f)(iv) and Section 2(e), to be effected by the Company as soon as reasonably practicable, but in no event later than sixty (60) days after receipt of such Demand Registration. The Company shall not be obligated to effect more than an aggregate of two (2) Demand Registrations under this Section 2(f).</w:t>
      </w:r>
    </w:p>
    <w:p>
      <w:pPr>
        <w:spacing w:after="0" w:line="77" w:lineRule="exact"/>
        <w:rPr>
          <w:rFonts w:ascii="Arial" w:cs="Arial" w:eastAsia="Arial" w:hAnsi="Arial"/>
          <w:sz w:val="17"/>
          <w:szCs w:val="17"/>
          <w:color w:val="auto"/>
        </w:rPr>
      </w:pPr>
    </w:p>
    <w:p>
      <w:pPr>
        <w:ind w:left="4" w:hanging="4"/>
        <w:spacing w:after="0" w:line="254" w:lineRule="auto"/>
        <w:tabs>
          <w:tab w:leader="none" w:pos="269"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Effective Registration</w:t>
      </w:r>
      <w:r>
        <w:rPr>
          <w:rFonts w:ascii="Arial" w:cs="Arial" w:eastAsia="Arial" w:hAnsi="Arial"/>
          <w:sz w:val="18"/>
          <w:szCs w:val="18"/>
          <w:color w:val="auto"/>
        </w:rPr>
        <w:t xml:space="preserve">. A Registration will not count as a Demand Registration until the Registration Statement filed with the Commission with respect to such Demand Registration has been declared effective and the Company has complied with all of its obligations under this Agreement with respect thereto;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after such Registration Statement has been declared effective, the offering of Registrable Securities pursuant to a Demand Registration is interfered with by any stop order or injunction of the Commission or any other governmental agency or court, the Registration Statement with respect to such Demand Registration will be deemed not to have been declared effective, unless and until (a) such stop order or injunction is removed, rescinded or otherwise terminated, and (b) a majority-in-interest of the Demanding Holders who initiated such Demand Registration thereafter affirmatively elect to continue the offering and notify the Company thereof in writing, but in no event later than five (5) days of such election.</w:t>
      </w:r>
    </w:p>
    <w:p>
      <w:pPr>
        <w:sectPr>
          <w:pgSz w:w="11900" w:h="16838" w:orient="portrait"/>
          <w:cols w:equalWidth="0" w:num="1">
            <w:col w:w="11004"/>
          </w:cols>
          <w:pgMar w:left="436" w:top="274" w:right="459" w:bottom="1440" w:gutter="0" w:footer="0" w:header="0"/>
        </w:sectPr>
      </w:pPr>
    </w:p>
    <w:bookmarkStart w:id="87" w:name="page88"/>
    <w:bookmarkEnd w:id="87"/>
    <w:p>
      <w:pPr>
        <w:ind w:left="4" w:hanging="4"/>
        <w:spacing w:after="0" w:line="272" w:lineRule="auto"/>
        <w:tabs>
          <w:tab w:leader="none" w:pos="319" w:val="left"/>
        </w:tabs>
        <w:numPr>
          <w:ilvl w:val="0"/>
          <w:numId w:val="80"/>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Underwritten Offering</w:t>
      </w:r>
      <w:r>
        <w:rPr>
          <w:rFonts w:ascii="Arial" w:cs="Arial" w:eastAsia="Arial" w:hAnsi="Arial"/>
          <w:sz w:val="17"/>
          <w:szCs w:val="17"/>
          <w:color w:val="auto"/>
        </w:rPr>
        <w:t>. If a majority-in-interest of the Demanding Holders who initiate a Demand Registration so elect and such holders so advise the Company as part of their written demand for a Demand Registration, the offering of such Registrable Securities pursuant to such Demand Registration shall be in the form of an underwritten offering (which, for the avoidance of doubt, may be an underwritten Block Trade). In such event, the right of any holder to include its Registrable Securities in such Registration shall be conditioned upon such holder’s participation in such underwriting and the inclusion of such holder’s Registrable Securities in the underwriting to the extent provided herein. All Demanding Holders proposing to distribute their securities through such underwriting shall enter into an underwriting agreement in reasonable and customary form with the Underwriter or Underwriters selected for such underwriting by a majority-in-interest of the holders initiating the Demand Registration.</w:t>
      </w:r>
    </w:p>
    <w:p>
      <w:pPr>
        <w:spacing w:after="0" w:line="69" w:lineRule="exact"/>
        <w:rPr>
          <w:rFonts w:ascii="Arial" w:cs="Arial" w:eastAsia="Arial" w:hAnsi="Arial"/>
          <w:sz w:val="17"/>
          <w:szCs w:val="17"/>
          <w:color w:val="auto"/>
        </w:rPr>
      </w:pPr>
    </w:p>
    <w:p>
      <w:pPr>
        <w:ind w:left="4" w:right="40" w:hanging="4"/>
        <w:spacing w:after="0" w:line="268" w:lineRule="auto"/>
        <w:tabs>
          <w:tab w:leader="none" w:pos="309" w:val="left"/>
        </w:tabs>
        <w:numPr>
          <w:ilvl w:val="0"/>
          <w:numId w:val="80"/>
        </w:numPr>
        <w:rPr>
          <w:rFonts w:ascii="Arial" w:cs="Arial" w:eastAsia="Arial" w:hAnsi="Arial"/>
          <w:sz w:val="17"/>
          <w:szCs w:val="17"/>
          <w:color w:val="auto"/>
        </w:rPr>
      </w:pPr>
      <w:r>
        <w:rPr>
          <w:rFonts w:ascii="Arial" w:cs="Arial" w:eastAsia="Arial" w:hAnsi="Arial"/>
          <w:sz w:val="17"/>
          <w:szCs w:val="17"/>
          <w:u w:val="single" w:color="auto"/>
          <w:color w:val="auto"/>
        </w:rPr>
        <w:t>Reduction of Offering</w:t>
      </w:r>
      <w:r>
        <w:rPr>
          <w:rFonts w:ascii="Arial" w:cs="Arial" w:eastAsia="Arial" w:hAnsi="Arial"/>
          <w:sz w:val="17"/>
          <w:szCs w:val="17"/>
          <w:color w:val="auto"/>
        </w:rPr>
        <w:t>. If the managing Underwriter or Underwriters for a Demand Registration that is to be an underwritten offering, in good faith, advises the Company, the Demanding Holders and the Demand Requesting Holders that the dollar amount or number of shares of Registrable Securities which the Demanding Holders and Demand Requesting Holders (if any) desire to sell, taken together with all other shares of Common Stock or other securities which the Company desires to sell and the shares of Common Stock, if any, as to which Registration has been requested pursuant to registration rights held by other stockholders of the Company who desire to sell, exceeds the maximum dollar amount or maximum number of shares that can be sold in such offering without adversely affecting the proposed offering price, the timing, the distribution method, or the probability of success of such offering (such maximum dollar amount or maximum number of shares, as applicable, the “</w:t>
      </w:r>
      <w:r>
        <w:rPr>
          <w:rFonts w:ascii="Arial" w:cs="Arial" w:eastAsia="Arial" w:hAnsi="Arial"/>
          <w:sz w:val="17"/>
          <w:szCs w:val="17"/>
          <w:b w:val="1"/>
          <w:bCs w:val="1"/>
          <w:color w:val="auto"/>
        </w:rPr>
        <w:t>Maximum Number of Shares</w:t>
      </w:r>
      <w:r>
        <w:rPr>
          <w:rFonts w:ascii="Arial" w:cs="Arial" w:eastAsia="Arial" w:hAnsi="Arial"/>
          <w:sz w:val="17"/>
          <w:szCs w:val="17"/>
          <w:color w:val="auto"/>
        </w:rPr>
        <w:t>”), then the Company shall include in such Registration: (i) the Registrable Securities as to which Demand Registration has been requested by the Demanding Holders and Demand Requesting Holders (if any) on a pro rata basis that can be sold without exceeding the Maximum Number of Shares; (ii) to the extent that the Maximum Number of Shares has not been reached under the foregoing clause (i), the shares of Common Stock or other securities that the Company desires to sell that can be sold without exceeding the Maximum Number of Shares and (iii) to the extent that the Maximum Number of Shares have not been reached under the foregoing clauses (i) and (ii), the shares of Common Stock or other securities for the account of other persons that the Company is obligated to Register pursuant to written contractual arrangements with such persons and that can be sold without exceeding the Maximum Number of Shares.</w:t>
      </w:r>
    </w:p>
    <w:p>
      <w:pPr>
        <w:spacing w:after="0" w:line="76" w:lineRule="exact"/>
        <w:rPr>
          <w:rFonts w:ascii="Arial" w:cs="Arial" w:eastAsia="Arial" w:hAnsi="Arial"/>
          <w:sz w:val="17"/>
          <w:szCs w:val="17"/>
          <w:color w:val="auto"/>
        </w:rPr>
      </w:pPr>
    </w:p>
    <w:p>
      <w:pPr>
        <w:ind w:left="4" w:right="100" w:hanging="4"/>
        <w:spacing w:after="0" w:line="285" w:lineRule="auto"/>
        <w:tabs>
          <w:tab w:leader="none" w:pos="259"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Shelf Take-Down</w:t>
      </w:r>
      <w:r>
        <w:rPr>
          <w:rFonts w:ascii="Arial" w:cs="Arial" w:eastAsia="Arial" w:hAnsi="Arial"/>
          <w:sz w:val="16"/>
          <w:szCs w:val="16"/>
          <w:color w:val="auto"/>
        </w:rPr>
        <w:t>. At any time that a Registration Statement covering Registrable Securities is effective, if one or more Investors constituting the Required Holders deliver(s) a notice to the Company (a “Take-Down Notice”) stating that such Investors intend to effect an underwritten offering of all or part of its Registrable Securities included in the Registration Statement (a “Shelf Underwritten Offering”) and stating the number of the Registrable Securities to be included in the Shelf Underwritten Offering, provided that the estimated market value of the Registrable Securities to be included in such Shelf Underwritten Offering is at least $10 million, then the Company shall amend or supplement the Registration Statement as may be necessary in order to enable such Registrable Securities to be distributed pursuant to the Shelf Underwritten Offering. The Investors shall be entitled to effect no more than three (3) Shelf Underwritten Offerings pursuant to this Section 2(f)(v) during any 12-month period. In connection with any Shelf Underwritten Offering, (A) the Company shall promptly deliver the Take-Down Notice to all other Investors included on such Registration Statement and any other Registration Statement covering Registrable Securities then in effect and permit each such Investor to include its Registrable Securities included on any Registration Statement in the Shelf Underwritten Offering, if such Investor notifies the Company within five (5) Trading Days after delivery of the Take-Down Notice to such Investor; and (B) if the managing underwriter(s) thereof shall impose a limitation on the number of Registrable Securities and other securities that may be included in such underwritten offering (which may include sales by Prior Holders entitled to participate in such offering), because, in the managing underwriter(s) judgment, marketing or other factors dictate that such a limitation is necessary to facilitate public distribution pursuant to such underwritten offering, the Company will include in such offering (i) first, the Registrable Securities requested to be included therein by the Investors pro rata among the holders thereof on the basis of the number of securities so requested to be included therein owned by each such holder or in such other manner as they agree and (ii) thereafter, such other securities requested to be included in such registration as the Company shall determine.</w:t>
      </w:r>
    </w:p>
    <w:p>
      <w:pPr>
        <w:sectPr>
          <w:pgSz w:w="11900" w:h="16838" w:orient="portrait"/>
          <w:cols w:equalWidth="0" w:num="1">
            <w:col w:w="11004"/>
          </w:cols>
          <w:pgMar w:left="436" w:top="274" w:right="459" w:bottom="1440" w:gutter="0" w:footer="0" w:header="0"/>
        </w:sectPr>
      </w:pPr>
    </w:p>
    <w:bookmarkStart w:id="88" w:name="page89"/>
    <w:bookmarkEnd w:id="88"/>
    <w:p>
      <w:pPr>
        <w:ind w:left="264" w:hanging="264"/>
        <w:spacing w:after="0"/>
        <w:tabs>
          <w:tab w:leader="none" w:pos="264"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Piggy-Back Registration</w:t>
      </w:r>
      <w:r>
        <w:rPr>
          <w:rFonts w:ascii="Arial" w:cs="Arial" w:eastAsia="Arial" w:hAnsi="Arial"/>
          <w:sz w:val="18"/>
          <w:szCs w:val="18"/>
          <w:color w:val="auto"/>
        </w:rPr>
        <w:t>.</w:t>
      </w:r>
    </w:p>
    <w:p>
      <w:pPr>
        <w:spacing w:after="0" w:line="117" w:lineRule="exact"/>
        <w:rPr>
          <w:sz w:val="20"/>
          <w:szCs w:val="20"/>
          <w:color w:val="auto"/>
        </w:rPr>
      </w:pPr>
    </w:p>
    <w:p>
      <w:pPr>
        <w:ind w:left="4" w:right="20" w:hanging="4"/>
        <w:spacing w:after="0" w:line="284" w:lineRule="auto"/>
        <w:tabs>
          <w:tab w:leader="none" w:pos="219" w:val="left"/>
        </w:tabs>
        <w:numPr>
          <w:ilvl w:val="0"/>
          <w:numId w:val="82"/>
        </w:numPr>
        <w:rPr>
          <w:rFonts w:ascii="Arial" w:cs="Arial" w:eastAsia="Arial" w:hAnsi="Arial"/>
          <w:sz w:val="16"/>
          <w:szCs w:val="16"/>
          <w:color w:val="auto"/>
        </w:rPr>
      </w:pPr>
      <w:r>
        <w:rPr>
          <w:rFonts w:ascii="Arial" w:cs="Arial" w:eastAsia="Arial" w:hAnsi="Arial"/>
          <w:sz w:val="16"/>
          <w:szCs w:val="16"/>
          <w:u w:val="single" w:color="auto"/>
          <w:color w:val="auto"/>
        </w:rPr>
        <w:t>Piggy-Back Rights</w:t>
      </w:r>
      <w:r>
        <w:rPr>
          <w:rFonts w:ascii="Arial" w:cs="Arial" w:eastAsia="Arial" w:hAnsi="Arial"/>
          <w:sz w:val="16"/>
          <w:szCs w:val="16"/>
          <w:color w:val="auto"/>
        </w:rPr>
        <w:t>. If at any time on or after the date hereof the Company proposes to file a Registration Statement under the 1933 Act and/or otherwise to effect an underwritten offering of any securities of the Company of a type included in a then effective Registration Statement, in each case, with respect to an offering of equity securities, or securities or other obligations exercisable or exchangeable for, or convertible into, equity securities, by the Company for its own account or for stockholders of the Company for their account (or by the Company and by stockholders of the Company including, without limitation, pursuant to Section 2(f)), other than a Registration Statement (i) filed in connection with any employee stock option or other benefit plan, (ii) for an exchange offer or offering of securities solely to the Company’s existing stockholders, (iii) for an offering solely of debt that is convertible into equity securities of the Company or (iv) for a dividend reinvestment plan, then the Company shall (x) give written notice of such proposed filing to the holders of Registrable Securities as soon as practicable but in no event less than ten (10) days before the anticipated filing date, which notice shall describe the amount and type of securities to be included in such offering, the intended method(s) of distribution, and the name of the proposed managing Underwriter or Underwriters, if any, of the offering, and (y) offer to the holders of Registrable Securities in such notice the opportunity to Register the sale of, or otherwise include in such offering, such number of shares of Registrable Securities as such holders may request in writing within five (5) days following receipt of such notice (a “</w:t>
      </w:r>
      <w:r>
        <w:rPr>
          <w:rFonts w:ascii="Arial" w:cs="Arial" w:eastAsia="Arial" w:hAnsi="Arial"/>
          <w:sz w:val="16"/>
          <w:szCs w:val="16"/>
          <w:b w:val="1"/>
          <w:bCs w:val="1"/>
          <w:color w:val="auto"/>
        </w:rPr>
        <w:t>Piggy-Back Registration</w:t>
      </w:r>
      <w:r>
        <w:rPr>
          <w:rFonts w:ascii="Arial" w:cs="Arial" w:eastAsia="Arial" w:hAnsi="Arial"/>
          <w:sz w:val="16"/>
          <w:szCs w:val="16"/>
          <w:color w:val="auto"/>
        </w:rPr>
        <w:t xml:space="preserve">”). The Company shall, in good faith, cause such Registrable Securities to be included in such Registration or offering, as applicable, and shall use its commercially reasonable efforts to cause the managing Underwriter or Underwriters of a proposed underwritten offering to permit the Registrable Securities requested to be included in a Piggy-Back Registration on the same terms and conditions as any similar securities of the Company and to permit the sale or other disposition of such Registrable Securities in accordance with the intended method(s) of distribution thereof. All holders of Registrable Securities proposing to distribute their securities through a Piggy-Back Registration that involves an Underwriter or Underwriters shall enter into an underwriting agreement in reasonable and customary form with the Underwriter or Underwriters selected for such Piggy-Back Registration; </w:t>
      </w:r>
      <w:r>
        <w:rPr>
          <w:rFonts w:ascii="Arial" w:cs="Arial" w:eastAsia="Arial" w:hAnsi="Arial"/>
          <w:sz w:val="16"/>
          <w:szCs w:val="16"/>
          <w:u w:val="single" w:color="auto"/>
          <w:color w:val="auto"/>
        </w:rPr>
        <w:t>provided</w:t>
      </w:r>
      <w:r>
        <w:rPr>
          <w:rFonts w:ascii="Arial" w:cs="Arial" w:eastAsia="Arial" w:hAnsi="Arial"/>
          <w:sz w:val="16"/>
          <w:szCs w:val="16"/>
          <w:color w:val="auto"/>
        </w:rPr>
        <w:t>, that no Investor including Registrable Securities in any underwritten offering shall be required to make any representations or warranties to the Company or the Underwriters, other than representations and warranties regarding such Investor or such Investor’s ownership of its Registrable Securities to be sold in the offering or to undertake any indemnification obligations to the Company or the underwriters with respect thereto except to the extent expressly set forth in Section 5(b) hereof.</w:t>
      </w:r>
    </w:p>
    <w:p>
      <w:pPr>
        <w:spacing w:after="0" w:line="71" w:lineRule="exact"/>
        <w:rPr>
          <w:rFonts w:ascii="Arial" w:cs="Arial" w:eastAsia="Arial" w:hAnsi="Arial"/>
          <w:sz w:val="16"/>
          <w:szCs w:val="16"/>
          <w:color w:val="auto"/>
        </w:rPr>
      </w:pPr>
    </w:p>
    <w:p>
      <w:pPr>
        <w:ind w:left="4" w:hanging="4"/>
        <w:spacing w:after="0" w:line="254" w:lineRule="auto"/>
        <w:tabs>
          <w:tab w:leader="none" w:pos="269"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Reduction of Offering</w:t>
      </w:r>
      <w:r>
        <w:rPr>
          <w:rFonts w:ascii="Arial" w:cs="Arial" w:eastAsia="Arial" w:hAnsi="Arial"/>
          <w:sz w:val="18"/>
          <w:szCs w:val="18"/>
          <w:color w:val="auto"/>
        </w:rPr>
        <w:t>. If the managing Underwriter or Underwriters for a Piggy-Back Registration that is to be an underwritten offering advises the Company and the Holders of Registrable Securities that the dollar amount or number of shares of Common Stock which the Company desires to sell, taken together with shares of Common Stock, if any, as to which Registration has been demanded pursuant to separate written contractual arrangements with persons or entities other than the Holders of Registrable Securities hereunder, the Registrable Securities as to which Registration has been requested under this Section 2(g), and the shares of Common Stock, if any, as to which Registration has been requested pursuant to the written contractual piggy-back registration rights of other stockholders of the Company, exceeds the Maximum Number of Shares, then the Company shall include in any such Registration:</w:t>
      </w:r>
    </w:p>
    <w:p>
      <w:pPr>
        <w:spacing w:after="0" w:line="87" w:lineRule="exact"/>
        <w:rPr>
          <w:sz w:val="20"/>
          <w:szCs w:val="20"/>
          <w:color w:val="auto"/>
        </w:rPr>
      </w:pPr>
    </w:p>
    <w:p>
      <w:pPr>
        <w:ind w:left="4" w:right="20" w:hanging="4"/>
        <w:spacing w:after="0" w:line="271" w:lineRule="auto"/>
        <w:tabs>
          <w:tab w:leader="none" w:pos="259" w:val="left"/>
        </w:tabs>
        <w:numPr>
          <w:ilvl w:val="0"/>
          <w:numId w:val="83"/>
        </w:numPr>
        <w:rPr>
          <w:rFonts w:ascii="Arial" w:cs="Arial" w:eastAsia="Arial" w:hAnsi="Arial"/>
          <w:sz w:val="17"/>
          <w:szCs w:val="17"/>
          <w:color w:val="auto"/>
        </w:rPr>
      </w:pPr>
      <w:r>
        <w:rPr>
          <w:rFonts w:ascii="Arial" w:cs="Arial" w:eastAsia="Arial" w:hAnsi="Arial"/>
          <w:sz w:val="17"/>
          <w:szCs w:val="17"/>
          <w:color w:val="auto"/>
        </w:rPr>
        <w:t>If the Registration is undertaken for the Company’s account: (A) the shares of Common Stock or other securities that the Company desires to sell for its own account that can be sold without exceeding the Maximum Number of Shares; (B) to the extent that the Maximum Number of Shares has not been reached under the foregoing clause (A), the shares of Common Stock or other securities, if any, comprised of Registrable Securities, as to which Registration has been requested pursuant to the applicable written contractual Piggy-Back Registration rights of the Investors pursuant to Section 2(g)(i), on a pro rata basis, that can be sold without exceeding the Maximum Number of Shares; and (C) to the extent that the Maximum Number of Shares has not been reached under the foregoing clauses (A), (B) and (C), the shares of Common Stock or other securities for the account of other persons that the Company is obligated to Register pursuant to written contractual piggy-back registration rights with such persons and that can be sold without exceeding the Maximum Number of Shares; and</w:t>
      </w:r>
    </w:p>
    <w:p>
      <w:pPr>
        <w:spacing w:after="0" w:line="70" w:lineRule="exact"/>
        <w:rPr>
          <w:rFonts w:ascii="Arial" w:cs="Arial" w:eastAsia="Arial" w:hAnsi="Arial"/>
          <w:sz w:val="17"/>
          <w:szCs w:val="17"/>
          <w:color w:val="auto"/>
        </w:rPr>
      </w:pPr>
    </w:p>
    <w:p>
      <w:pPr>
        <w:ind w:left="4" w:right="60" w:hanging="4"/>
        <w:spacing w:after="0" w:line="311" w:lineRule="auto"/>
        <w:tabs>
          <w:tab w:leader="none" w:pos="259" w:val="left"/>
        </w:tabs>
        <w:numPr>
          <w:ilvl w:val="0"/>
          <w:numId w:val="83"/>
        </w:numPr>
        <w:rPr>
          <w:rFonts w:ascii="Arial" w:cs="Arial" w:eastAsia="Arial" w:hAnsi="Arial"/>
          <w:sz w:val="16"/>
          <w:szCs w:val="16"/>
          <w:color w:val="auto"/>
        </w:rPr>
      </w:pPr>
      <w:r>
        <w:rPr>
          <w:rFonts w:ascii="Arial" w:cs="Arial" w:eastAsia="Arial" w:hAnsi="Arial"/>
          <w:sz w:val="16"/>
          <w:szCs w:val="16"/>
          <w:color w:val="auto"/>
        </w:rPr>
        <w:t>If the Registration is a “demand” registration undertaken at the demand of persons or entities other than the holders of Registrable Securities, (A) the shares of Common Stock or other securities for the account of the demanding persons that can be sold without exceeding the Maximum Number of Shares; (B) to the extent that the Maximum Number of Shares has not been reached under the foregoing clause (A), the shares of Common Stock or</w:t>
      </w:r>
    </w:p>
    <w:p>
      <w:pPr>
        <w:sectPr>
          <w:pgSz w:w="11900" w:h="16838" w:orient="portrait"/>
          <w:cols w:equalWidth="0" w:num="1">
            <w:col w:w="11024"/>
          </w:cols>
          <w:pgMar w:left="436" w:top="274" w:right="439" w:bottom="1440" w:gutter="0" w:footer="0" w:header="0"/>
        </w:sectPr>
      </w:pPr>
    </w:p>
    <w:bookmarkStart w:id="89" w:name="page90"/>
    <w:bookmarkEnd w:id="89"/>
    <w:p>
      <w:pPr>
        <w:ind w:left="4" w:right="18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securities, if any, comprised of Registrable Securities, as to which Registration has been requested pursuant to the applicable written contractual Piggy-Back Registration rights of Holders under Section 2(g)(i), on a pro rata basis, that can be sold without exceeding the Maximum Number of Shares; (C) to the extent that the Maximum Number of Shares has not been reached under the foregoing clauses (A) and (B), the shares of Common Stock or other securities that the Company desires to sell for its own account that can be sold without exceeding the Maximum Number of Shares; and</w:t>
      </w:r>
    </w:p>
    <w:p>
      <w:pPr>
        <w:spacing w:after="0" w:line="1" w:lineRule="exact"/>
        <w:rPr>
          <w:sz w:val="20"/>
          <w:szCs w:val="20"/>
          <w:color w:val="auto"/>
        </w:rPr>
      </w:pPr>
    </w:p>
    <w:p>
      <w:pPr>
        <w:ind w:left="4" w:right="140" w:hanging="4"/>
        <w:spacing w:after="0" w:line="255" w:lineRule="auto"/>
        <w:tabs>
          <w:tab w:leader="none" w:pos="299" w:val="left"/>
        </w:tabs>
        <w:numPr>
          <w:ilvl w:val="0"/>
          <w:numId w:val="84"/>
        </w:numPr>
        <w:rPr>
          <w:rFonts w:ascii="Arial" w:cs="Arial" w:eastAsia="Arial" w:hAnsi="Arial"/>
          <w:sz w:val="18"/>
          <w:szCs w:val="18"/>
          <w:color w:val="auto"/>
        </w:rPr>
      </w:pPr>
      <w:r>
        <w:rPr>
          <w:rFonts w:ascii="Arial" w:cs="Arial" w:eastAsia="Arial" w:hAnsi="Arial"/>
          <w:sz w:val="18"/>
          <w:szCs w:val="18"/>
          <w:color w:val="auto"/>
        </w:rPr>
        <w:t>to the extent that the Maximum Number of Shares has not been reached under the foregoing clauses (A), (B) and (C), the shares of Common Stock or other securities for the account of other persons that the Company is obligated to Register pursuant to written contractual arrangements with such persons, that can be sold without exceeding the Maximum Number of Shares.</w:t>
      </w:r>
    </w:p>
    <w:p>
      <w:pPr>
        <w:spacing w:after="0" w:line="82" w:lineRule="exact"/>
        <w:rPr>
          <w:sz w:val="20"/>
          <w:szCs w:val="20"/>
          <w:color w:val="auto"/>
        </w:rPr>
      </w:pPr>
    </w:p>
    <w:p>
      <w:pPr>
        <w:ind w:left="4" w:right="60" w:hanging="4"/>
        <w:spacing w:after="0" w:line="277" w:lineRule="auto"/>
        <w:tabs>
          <w:tab w:leader="none" w:pos="319"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Unlimited Piggy-Back Registration Rights</w:t>
      </w:r>
      <w:r>
        <w:rPr>
          <w:rFonts w:ascii="Arial" w:cs="Arial" w:eastAsia="Arial" w:hAnsi="Arial"/>
          <w:sz w:val="18"/>
          <w:szCs w:val="18"/>
          <w:color w:val="auto"/>
        </w:rPr>
        <w:t>. For purposes of clarity, any Registration effected pursuant to Section 2(g) hereof shall not be counted as a Registration pursuant to a Demand Registration effected under Section 2(f) hereof.</w:t>
      </w:r>
    </w:p>
    <w:p>
      <w:pPr>
        <w:spacing w:after="0" w:line="62" w:lineRule="exact"/>
        <w:rPr>
          <w:sz w:val="20"/>
          <w:szCs w:val="20"/>
          <w:color w:val="auto"/>
        </w:rPr>
      </w:pPr>
    </w:p>
    <w:p>
      <w:pPr>
        <w:ind w:left="4" w:right="600" w:hanging="4"/>
        <w:spacing w:after="0" w:line="277" w:lineRule="auto"/>
        <w:tabs>
          <w:tab w:leader="none" w:pos="184"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COMPANY OBLIGATIONS</w:t>
      </w:r>
      <w:r>
        <w:rPr>
          <w:rFonts w:ascii="Arial" w:cs="Arial" w:eastAsia="Arial" w:hAnsi="Arial"/>
          <w:sz w:val="18"/>
          <w:szCs w:val="18"/>
          <w:color w:val="auto"/>
        </w:rPr>
        <w:t>. The Company will use commercially reasonable efforts to effect the registration of the Registrable Securities in accordance with the terms hereof, and pursuant thereto the Company will, as expeditiously as possible:</w:t>
      </w:r>
    </w:p>
    <w:p>
      <w:pPr>
        <w:spacing w:after="0" w:line="62" w:lineRule="exact"/>
        <w:rPr>
          <w:sz w:val="20"/>
          <w:szCs w:val="20"/>
          <w:color w:val="auto"/>
        </w:rPr>
      </w:pPr>
    </w:p>
    <w:p>
      <w:pPr>
        <w:ind w:left="4" w:hanging="4"/>
        <w:spacing w:after="0" w:line="272" w:lineRule="auto"/>
        <w:tabs>
          <w:tab w:leader="none" w:pos="249" w:val="left"/>
        </w:tabs>
        <w:numPr>
          <w:ilvl w:val="0"/>
          <w:numId w:val="87"/>
        </w:numPr>
        <w:rPr>
          <w:rFonts w:ascii="Arial" w:cs="Arial" w:eastAsia="Arial" w:hAnsi="Arial"/>
          <w:sz w:val="17"/>
          <w:szCs w:val="17"/>
          <w:color w:val="auto"/>
        </w:rPr>
      </w:pPr>
      <w:r>
        <w:rPr>
          <w:rFonts w:ascii="Arial" w:cs="Arial" w:eastAsia="Arial" w:hAnsi="Arial"/>
          <w:sz w:val="17"/>
          <w:szCs w:val="17"/>
          <w:color w:val="auto"/>
        </w:rPr>
        <w:t>use commercially reasonable efforts to cause the Existing Registration Statement to remain continuously effective and available for the resale of the Registrable Securities covered thereby and to cause each other Registration Statement to become effective and to remain continuously effective and available for the resale of the Registrable Securities covered thereby, in each case, for a period that will terminate upon the date on which all Registrable Securities covered by such Registration Statement may be sold without restriction or limitation (including volume limitations) pursuant to Rule 144 and without the requirement to be in compliance with Rule 144(c)(1) (or any successor thereto) promulgated under the 1933 Act during any ninety (90) day period (assuming the exercise for cash of any Warrants or other exercisable securities) (the “</w:t>
      </w:r>
      <w:r>
        <w:rPr>
          <w:rFonts w:ascii="Arial" w:cs="Arial" w:eastAsia="Arial" w:hAnsi="Arial"/>
          <w:sz w:val="17"/>
          <w:szCs w:val="17"/>
          <w:b w:val="1"/>
          <w:bCs w:val="1"/>
          <w:color w:val="auto"/>
        </w:rPr>
        <w:t>Effectiveness Period</w:t>
      </w:r>
      <w:r>
        <w:rPr>
          <w:rFonts w:ascii="Arial" w:cs="Arial" w:eastAsia="Arial" w:hAnsi="Arial"/>
          <w:sz w:val="17"/>
          <w:szCs w:val="17"/>
          <w:color w:val="auto"/>
        </w:rPr>
        <w:t>”) and advise the Investors promptly in writing when the Effectiveness Period has expired;</w:t>
      </w:r>
    </w:p>
    <w:p>
      <w:pPr>
        <w:spacing w:after="0" w:line="69" w:lineRule="exact"/>
        <w:rPr>
          <w:rFonts w:ascii="Arial" w:cs="Arial" w:eastAsia="Arial" w:hAnsi="Arial"/>
          <w:sz w:val="17"/>
          <w:szCs w:val="17"/>
          <w:color w:val="auto"/>
        </w:rPr>
      </w:pPr>
    </w:p>
    <w:p>
      <w:pPr>
        <w:jc w:val="both"/>
        <w:ind w:left="4" w:hanging="4"/>
        <w:spacing w:after="0" w:line="263" w:lineRule="auto"/>
        <w:tabs>
          <w:tab w:leader="none" w:pos="259" w:val="left"/>
        </w:tabs>
        <w:numPr>
          <w:ilvl w:val="0"/>
          <w:numId w:val="87"/>
        </w:numPr>
        <w:rPr>
          <w:rFonts w:ascii="Arial" w:cs="Arial" w:eastAsia="Arial" w:hAnsi="Arial"/>
          <w:sz w:val="18"/>
          <w:szCs w:val="18"/>
          <w:color w:val="auto"/>
        </w:rPr>
      </w:pPr>
      <w:r>
        <w:rPr>
          <w:rFonts w:ascii="Arial" w:cs="Arial" w:eastAsia="Arial" w:hAnsi="Arial"/>
          <w:sz w:val="18"/>
          <w:szCs w:val="18"/>
          <w:color w:val="auto"/>
        </w:rPr>
        <w:t>prepare and file with the SEC such amendments and post-effective amendments to such Registration Statement and the related Prospectus as may be necessary to keep such Registration Statement effective for the Effectiveness Period and to comply with the provisions of the 1933 Act and the 1934 Act with respect to the distribution of all of the Registrable Securities covered thereby;</w:t>
      </w:r>
    </w:p>
    <w:p>
      <w:pPr>
        <w:spacing w:after="0" w:line="75" w:lineRule="exact"/>
        <w:rPr>
          <w:rFonts w:ascii="Arial" w:cs="Arial" w:eastAsia="Arial" w:hAnsi="Arial"/>
          <w:sz w:val="18"/>
          <w:szCs w:val="18"/>
          <w:color w:val="auto"/>
        </w:rPr>
      </w:pPr>
    </w:p>
    <w:p>
      <w:pPr>
        <w:ind w:left="244" w:hanging="244"/>
        <w:spacing w:after="0"/>
        <w:tabs>
          <w:tab w:leader="none" w:pos="244" w:val="left"/>
        </w:tabs>
        <w:numPr>
          <w:ilvl w:val="0"/>
          <w:numId w:val="87"/>
        </w:numPr>
        <w:rPr>
          <w:rFonts w:ascii="Arial" w:cs="Arial" w:eastAsia="Arial" w:hAnsi="Arial"/>
          <w:sz w:val="16"/>
          <w:szCs w:val="16"/>
          <w:color w:val="auto"/>
        </w:rPr>
      </w:pPr>
      <w:r>
        <w:rPr>
          <w:rFonts w:ascii="Arial" w:cs="Arial" w:eastAsia="Arial" w:hAnsi="Arial"/>
          <w:sz w:val="16"/>
          <w:szCs w:val="16"/>
          <w:color w:val="auto"/>
        </w:rPr>
        <w:t>provide copies to and permit the Investors to review each Registration Statement and all amendments and supplements thereto not less than five</w:t>
      </w:r>
    </w:p>
    <w:p>
      <w:pPr>
        <w:spacing w:after="0" w:line="46" w:lineRule="exact"/>
        <w:rPr>
          <w:sz w:val="20"/>
          <w:szCs w:val="20"/>
          <w:color w:val="auto"/>
        </w:rPr>
      </w:pPr>
    </w:p>
    <w:p>
      <w:pPr>
        <w:ind w:left="4" w:right="20" w:hanging="4"/>
        <w:spacing w:after="0" w:line="290" w:lineRule="auto"/>
        <w:tabs>
          <w:tab w:leader="none" w:pos="256" w:val="left"/>
        </w:tabs>
        <w:numPr>
          <w:ilvl w:val="0"/>
          <w:numId w:val="88"/>
        </w:numPr>
        <w:rPr>
          <w:rFonts w:ascii="Arial" w:cs="Arial" w:eastAsia="Arial" w:hAnsi="Arial"/>
          <w:sz w:val="16"/>
          <w:szCs w:val="16"/>
          <w:color w:val="auto"/>
        </w:rPr>
      </w:pPr>
      <w:r>
        <w:rPr>
          <w:rFonts w:ascii="Arial" w:cs="Arial" w:eastAsia="Arial" w:hAnsi="Arial"/>
          <w:sz w:val="16"/>
          <w:szCs w:val="16"/>
          <w:color w:val="auto"/>
        </w:rPr>
        <w:t xml:space="preserve">Trading Days prior to the filing of each Registration Statement and not less than one (1) Trading Day prior to the filing of any related Prospectus or any amendment or supplement thereto (except for Annual Reports on Form 10-K, Quarterly Reports on Form 10-Q and Current Reports on Form 8-K and any similar or successor reports) and not file any document to which such Investor reasonably objects in good faith (it being acknowledged and agreed that if an Investor does not object to or comment on the aforementioned documents within such five (5) Trading Day or one (1) Trading Day period, as the case may be, then the Investor shall be deemed to have consented to the use of such documents), provided that, the Company is notified of such objection in writing within the five (5) Trading Day or one (1) Trading Day period described in this </w:t>
      </w:r>
      <w:r>
        <w:rPr>
          <w:rFonts w:ascii="Arial" w:cs="Arial" w:eastAsia="Arial" w:hAnsi="Arial"/>
          <w:sz w:val="16"/>
          <w:szCs w:val="16"/>
          <w:u w:val="single" w:color="auto"/>
          <w:color w:val="auto"/>
        </w:rPr>
        <w:t>Section 3(c)</w:t>
      </w:r>
      <w:r>
        <w:rPr>
          <w:rFonts w:ascii="Arial" w:cs="Arial" w:eastAsia="Arial" w:hAnsi="Arial"/>
          <w:sz w:val="16"/>
          <w:szCs w:val="16"/>
          <w:color w:val="auto"/>
        </w:rPr>
        <w:t>, as applicable;</w:t>
      </w:r>
    </w:p>
    <w:p>
      <w:pPr>
        <w:spacing w:after="0" w:line="56" w:lineRule="exact"/>
        <w:rPr>
          <w:sz w:val="20"/>
          <w:szCs w:val="20"/>
          <w:color w:val="auto"/>
        </w:rPr>
      </w:pPr>
    </w:p>
    <w:p>
      <w:pPr>
        <w:ind w:left="4" w:right="260" w:hanging="4"/>
        <w:spacing w:after="0" w:line="273" w:lineRule="auto"/>
        <w:tabs>
          <w:tab w:leader="none" w:pos="259" w:val="left"/>
        </w:tabs>
        <w:numPr>
          <w:ilvl w:val="0"/>
          <w:numId w:val="89"/>
        </w:numPr>
        <w:rPr>
          <w:rFonts w:ascii="Arial" w:cs="Arial" w:eastAsia="Arial" w:hAnsi="Arial"/>
          <w:sz w:val="17"/>
          <w:szCs w:val="17"/>
          <w:color w:val="auto"/>
        </w:rPr>
      </w:pPr>
      <w:r>
        <w:rPr>
          <w:rFonts w:ascii="Arial" w:cs="Arial" w:eastAsia="Arial" w:hAnsi="Arial"/>
          <w:sz w:val="17"/>
          <w:szCs w:val="17"/>
          <w:color w:val="auto"/>
        </w:rPr>
        <w:t>furnish to each Investor whose Registrable Securities are included in any Registration Statement (i) promptly after the same is prepared and filed with the SEC, if requested by the Investor, one (1) copy of any Registration Statement and any amendment thereto (</w:t>
      </w:r>
      <w:r>
        <w:rPr>
          <w:rFonts w:ascii="Arial" w:cs="Arial" w:eastAsia="Arial" w:hAnsi="Arial"/>
          <w:sz w:val="17"/>
          <w:szCs w:val="17"/>
          <w:u w:val="single" w:color="auto"/>
          <w:color w:val="auto"/>
        </w:rPr>
        <w:t>provided</w:t>
      </w:r>
      <w:r>
        <w:rPr>
          <w:rFonts w:ascii="Arial" w:cs="Arial" w:eastAsia="Arial" w:hAnsi="Arial"/>
          <w:sz w:val="17"/>
          <w:szCs w:val="17"/>
          <w:color w:val="auto"/>
        </w:rPr>
        <w:t>, that the Company shall have no obligation to provide any document pursuant to this clause that is available on the SEC’s EDGAR system), each preliminary prospectus and Prospectus and each amendment or supplement thereto, and (ii) such number of copies of a Prospectus, including a preliminary prospectus, and all amendments and supplements thereto and such other documents as each Investor may reasonably request in order to facilitate the disposition of the Registrable Securities owned by such Investor that are covered by such Registration Statement;</w:t>
      </w:r>
    </w:p>
    <w:p>
      <w:pPr>
        <w:spacing w:after="0" w:line="69" w:lineRule="exact"/>
        <w:rPr>
          <w:rFonts w:ascii="Arial" w:cs="Arial" w:eastAsia="Arial" w:hAnsi="Arial"/>
          <w:sz w:val="17"/>
          <w:szCs w:val="17"/>
          <w:color w:val="auto"/>
        </w:rPr>
      </w:pPr>
    </w:p>
    <w:p>
      <w:pPr>
        <w:ind w:left="4" w:right="140" w:hanging="4"/>
        <w:spacing w:after="0" w:line="277" w:lineRule="auto"/>
        <w:tabs>
          <w:tab w:leader="none" w:pos="249" w:val="left"/>
        </w:tabs>
        <w:numPr>
          <w:ilvl w:val="0"/>
          <w:numId w:val="89"/>
        </w:numPr>
        <w:rPr>
          <w:rFonts w:ascii="Arial" w:cs="Arial" w:eastAsia="Arial" w:hAnsi="Arial"/>
          <w:sz w:val="18"/>
          <w:szCs w:val="18"/>
          <w:color w:val="auto"/>
        </w:rPr>
      </w:pPr>
      <w:r>
        <w:rPr>
          <w:rFonts w:ascii="Arial" w:cs="Arial" w:eastAsia="Arial" w:hAnsi="Arial"/>
          <w:sz w:val="18"/>
          <w:szCs w:val="18"/>
          <w:color w:val="auto"/>
        </w:rPr>
        <w:t>use commercially reasonable efforts to (i) prevent the issuance of any stop order or other suspension of effectiveness and (ii) if such order is issued, obtain the withdrawal of any such order at the earliest practical moment;</w:t>
      </w:r>
    </w:p>
    <w:p>
      <w:pPr>
        <w:sectPr>
          <w:pgSz w:w="11900" w:h="16838" w:orient="portrait"/>
          <w:cols w:equalWidth="0" w:num="1">
            <w:col w:w="11004"/>
          </w:cols>
          <w:pgMar w:left="436" w:top="274" w:right="459" w:bottom="1440" w:gutter="0" w:footer="0" w:header="0"/>
        </w:sectPr>
      </w:pPr>
    </w:p>
    <w:bookmarkStart w:id="90" w:name="page91"/>
    <w:bookmarkEnd w:id="90"/>
    <w:p>
      <w:pPr>
        <w:ind w:left="4" w:hanging="4"/>
        <w:spacing w:after="0" w:line="272" w:lineRule="auto"/>
        <w:tabs>
          <w:tab w:leader="none" w:pos="229" w:val="left"/>
        </w:tabs>
        <w:numPr>
          <w:ilvl w:val="0"/>
          <w:numId w:val="9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prior to any public offering of Registrable Securities, use commercially reasonable efforts to register or qualify or cooperate with the Investors and their counsel in connection with the registration or qualification of such Registrable Securities for the offer and sale under the securities or blue sky laws of such jurisdictions requested by the Investors and do any and all other commercially reasonable acts or things necessary or advisable to enable the distribution in such jurisdictions of the Registrable Securities covered by the Registration Statement; provided, however, that the Company shall not be required in connection therewith or as a condition thereto to (i) qualify to do business in any jurisdiction where it would not otherwise be required to qualify but for this </w:t>
      </w:r>
      <w:r>
        <w:rPr>
          <w:rFonts w:ascii="Arial" w:cs="Arial" w:eastAsia="Arial" w:hAnsi="Arial"/>
          <w:sz w:val="17"/>
          <w:szCs w:val="17"/>
          <w:u w:val="single" w:color="auto"/>
          <w:color w:val="auto"/>
        </w:rPr>
        <w:t>Section 3(f)</w:t>
      </w:r>
      <w:r>
        <w:rPr>
          <w:rFonts w:ascii="Arial" w:cs="Arial" w:eastAsia="Arial" w:hAnsi="Arial"/>
          <w:sz w:val="17"/>
          <w:szCs w:val="17"/>
          <w:color w:val="auto"/>
        </w:rPr>
        <w:t xml:space="preserve">, (ii) subject itself to general taxation in any jurisdiction where it would not otherwise be so subject but for this </w:t>
      </w:r>
      <w:r>
        <w:rPr>
          <w:rFonts w:ascii="Arial" w:cs="Arial" w:eastAsia="Arial" w:hAnsi="Arial"/>
          <w:sz w:val="17"/>
          <w:szCs w:val="17"/>
          <w:u w:val="single" w:color="auto"/>
          <w:color w:val="auto"/>
        </w:rPr>
        <w:t>Section 3(f)</w:t>
      </w:r>
      <w:r>
        <w:rPr>
          <w:rFonts w:ascii="Arial" w:cs="Arial" w:eastAsia="Arial" w:hAnsi="Arial"/>
          <w:sz w:val="17"/>
          <w:szCs w:val="17"/>
          <w:color w:val="auto"/>
        </w:rPr>
        <w:t>, or (iii) file a general consent to service of process in any such jurisdiction;</w:t>
      </w:r>
    </w:p>
    <w:p>
      <w:pPr>
        <w:spacing w:after="0" w:line="69" w:lineRule="exact"/>
        <w:rPr>
          <w:rFonts w:ascii="Arial" w:cs="Arial" w:eastAsia="Arial" w:hAnsi="Arial"/>
          <w:sz w:val="17"/>
          <w:szCs w:val="17"/>
          <w:color w:val="auto"/>
        </w:rPr>
      </w:pPr>
    </w:p>
    <w:p>
      <w:pPr>
        <w:ind w:left="4" w:right="120" w:hanging="4"/>
        <w:spacing w:after="0" w:line="277" w:lineRule="auto"/>
        <w:tabs>
          <w:tab w:leader="none" w:pos="259" w:val="left"/>
        </w:tabs>
        <w:numPr>
          <w:ilvl w:val="0"/>
          <w:numId w:val="90"/>
        </w:numPr>
        <w:rPr>
          <w:rFonts w:ascii="Arial" w:cs="Arial" w:eastAsia="Arial" w:hAnsi="Arial"/>
          <w:sz w:val="18"/>
          <w:szCs w:val="18"/>
          <w:color w:val="auto"/>
        </w:rPr>
      </w:pPr>
      <w:r>
        <w:rPr>
          <w:rFonts w:ascii="Arial" w:cs="Arial" w:eastAsia="Arial" w:hAnsi="Arial"/>
          <w:sz w:val="18"/>
          <w:szCs w:val="18"/>
          <w:color w:val="auto"/>
        </w:rPr>
        <w:t>use commercially reasonable efforts to cause all Registrable Securities covered by a Registration Statement to be listed on each securities exchange or other market on which similar securities issued by the Company are then listed or quoted;</w:t>
      </w:r>
    </w:p>
    <w:p>
      <w:pPr>
        <w:spacing w:after="0" w:line="62" w:lineRule="exact"/>
        <w:rPr>
          <w:rFonts w:ascii="Arial" w:cs="Arial" w:eastAsia="Arial" w:hAnsi="Arial"/>
          <w:sz w:val="18"/>
          <w:szCs w:val="18"/>
          <w:color w:val="auto"/>
        </w:rPr>
      </w:pPr>
    </w:p>
    <w:p>
      <w:pPr>
        <w:ind w:left="4" w:right="60" w:hanging="4"/>
        <w:spacing w:after="0" w:line="257" w:lineRule="auto"/>
        <w:tabs>
          <w:tab w:leader="none" w:pos="259" w:val="left"/>
        </w:tabs>
        <w:numPr>
          <w:ilvl w:val="0"/>
          <w:numId w:val="90"/>
        </w:numPr>
        <w:rPr>
          <w:rFonts w:ascii="Arial" w:cs="Arial" w:eastAsia="Arial" w:hAnsi="Arial"/>
          <w:sz w:val="18"/>
          <w:szCs w:val="18"/>
          <w:color w:val="auto"/>
        </w:rPr>
      </w:pPr>
      <w:r>
        <w:rPr>
          <w:rFonts w:ascii="Arial" w:cs="Arial" w:eastAsia="Arial" w:hAnsi="Arial"/>
          <w:sz w:val="18"/>
          <w:szCs w:val="18"/>
          <w:color w:val="auto"/>
        </w:rPr>
        <w:t>promptly notify the Investors, at any time prior to the end of the Effectiveness Period, upon discovery that, or upon the happening of any event as a result of which, the Prospectus includes an untrue statement of a material fact or omits to state any material fact required to be stated therein or necessary to make the statements therein not misleading in light of the circumstances then existing (a “</w:t>
      </w:r>
      <w:r>
        <w:rPr>
          <w:rFonts w:ascii="Arial" w:cs="Arial" w:eastAsia="Arial" w:hAnsi="Arial"/>
          <w:sz w:val="18"/>
          <w:szCs w:val="18"/>
          <w:b w:val="1"/>
          <w:bCs w:val="1"/>
          <w:color w:val="auto"/>
        </w:rPr>
        <w:t>Misstatement</w:t>
      </w:r>
      <w:r>
        <w:rPr>
          <w:rFonts w:ascii="Arial" w:cs="Arial" w:eastAsia="Arial" w:hAnsi="Arial"/>
          <w:sz w:val="18"/>
          <w:szCs w:val="18"/>
          <w:color w:val="auto"/>
        </w:rPr>
        <w:t>”), and promptly prepare, file with the SEC and furnish to such holder a supplement to or an amendment of such Prospectus as may be necessary so that such Prospectus shall not include such Misstatement; and</w:t>
      </w:r>
    </w:p>
    <w:p>
      <w:pPr>
        <w:spacing w:after="0" w:line="79" w:lineRule="exact"/>
        <w:rPr>
          <w:rFonts w:ascii="Arial" w:cs="Arial" w:eastAsia="Arial" w:hAnsi="Arial"/>
          <w:sz w:val="18"/>
          <w:szCs w:val="18"/>
          <w:color w:val="auto"/>
        </w:rPr>
      </w:pPr>
    </w:p>
    <w:p>
      <w:pPr>
        <w:ind w:left="4" w:hanging="4"/>
        <w:spacing w:after="0" w:line="269" w:lineRule="auto"/>
        <w:tabs>
          <w:tab w:leader="none" w:pos="219" w:val="left"/>
        </w:tabs>
        <w:numPr>
          <w:ilvl w:val="0"/>
          <w:numId w:val="90"/>
        </w:numPr>
        <w:rPr>
          <w:rFonts w:ascii="Arial" w:cs="Arial" w:eastAsia="Arial" w:hAnsi="Arial"/>
          <w:sz w:val="17"/>
          <w:szCs w:val="17"/>
          <w:color w:val="auto"/>
        </w:rPr>
      </w:pPr>
      <w:r>
        <w:rPr>
          <w:rFonts w:ascii="Arial" w:cs="Arial" w:eastAsia="Arial" w:hAnsi="Arial"/>
          <w:sz w:val="17"/>
          <w:szCs w:val="17"/>
          <w:color w:val="auto"/>
        </w:rPr>
        <w:t xml:space="preserve">otherwise use commercially reasonable efforts to comply with all applicable rules and regulations of the SEC under the 1933 Act and the 1934 Act, including, without limitation, Rule 172 under the 1933 Act, file any final Prospectus, including any supplement or amendment thereof, with the SEC pursuant to Rule 424 under the 1933 Act, promptly inform the Investors in writing if, at any time during the Effectiveness Period, the Company does not satisfy the conditions specified in Rule 172 and, as a result thereof, the Investors are required to deliver a Prospectus in connection with any disposition of Registrable Securities and take such other actions as may be reasonably necessary to facilitate the registration of the Registrable Securities hereunder; and make available to its security holders, as soon as reasonably practicable, but not later than the Availability Date (as defined below), an earnings statement covering a period of at least twelve (12) months, beginning after the effective date of each Registration Statement, which earnings statement shall satisfy the provisions of Section 11(a) of the 1933 Act, including Rule 158 promulgated thereunder (for the purpose of this </w:t>
      </w:r>
      <w:r>
        <w:rPr>
          <w:rFonts w:ascii="Arial" w:cs="Arial" w:eastAsia="Arial" w:hAnsi="Arial"/>
          <w:sz w:val="17"/>
          <w:szCs w:val="17"/>
          <w:u w:val="single" w:color="auto"/>
          <w:color w:val="auto"/>
        </w:rPr>
        <w:t>Section 3(i)</w:t>
      </w:r>
      <w:r>
        <w:rPr>
          <w:rFonts w:ascii="Arial" w:cs="Arial" w:eastAsia="Arial" w:hAnsi="Arial"/>
          <w:sz w:val="17"/>
          <w:szCs w:val="17"/>
          <w:color w:val="auto"/>
        </w:rPr>
        <w:t>, “</w:t>
      </w:r>
      <w:r>
        <w:rPr>
          <w:rFonts w:ascii="Arial" w:cs="Arial" w:eastAsia="Arial" w:hAnsi="Arial"/>
          <w:sz w:val="17"/>
          <w:szCs w:val="17"/>
          <w:b w:val="1"/>
          <w:bCs w:val="1"/>
          <w:color w:val="auto"/>
        </w:rPr>
        <w:t>Availability Date</w:t>
      </w:r>
      <w:r>
        <w:rPr>
          <w:rFonts w:ascii="Arial" w:cs="Arial" w:eastAsia="Arial" w:hAnsi="Arial"/>
          <w:sz w:val="17"/>
          <w:szCs w:val="17"/>
          <w:color w:val="auto"/>
        </w:rPr>
        <w:t>” means the 45th day following the end of the fourth fiscal quarter that includes the effective date of such Registration Statement, except that, if such fourth fiscal quarter is the last quarter of the Company’s fiscal year, “</w:t>
      </w:r>
      <w:r>
        <w:rPr>
          <w:rFonts w:ascii="Arial" w:cs="Arial" w:eastAsia="Arial" w:hAnsi="Arial"/>
          <w:sz w:val="17"/>
          <w:szCs w:val="17"/>
          <w:b w:val="1"/>
          <w:bCs w:val="1"/>
          <w:color w:val="auto"/>
        </w:rPr>
        <w:t>Availability Date</w:t>
      </w:r>
      <w:r>
        <w:rPr>
          <w:rFonts w:ascii="Arial" w:cs="Arial" w:eastAsia="Arial" w:hAnsi="Arial"/>
          <w:sz w:val="17"/>
          <w:szCs w:val="17"/>
          <w:color w:val="auto"/>
        </w:rPr>
        <w:t>” means the 90th day after the end of such fourth fiscal quarter).</w:t>
      </w:r>
    </w:p>
    <w:p>
      <w:pPr>
        <w:spacing w:after="0" w:line="73" w:lineRule="exact"/>
        <w:rPr>
          <w:rFonts w:ascii="Arial" w:cs="Arial" w:eastAsia="Arial" w:hAnsi="Arial"/>
          <w:sz w:val="17"/>
          <w:szCs w:val="17"/>
          <w:color w:val="auto"/>
        </w:rPr>
      </w:pPr>
    </w:p>
    <w:p>
      <w:pPr>
        <w:ind w:left="4" w:right="20" w:hanging="4"/>
        <w:spacing w:after="0" w:line="268" w:lineRule="auto"/>
        <w:tabs>
          <w:tab w:leader="none" w:pos="219" w:val="left"/>
        </w:tabs>
        <w:numPr>
          <w:ilvl w:val="0"/>
          <w:numId w:val="90"/>
        </w:numPr>
        <w:rPr>
          <w:rFonts w:ascii="Arial" w:cs="Arial" w:eastAsia="Arial" w:hAnsi="Arial"/>
          <w:sz w:val="17"/>
          <w:szCs w:val="17"/>
          <w:color w:val="auto"/>
        </w:rPr>
      </w:pPr>
      <w:r>
        <w:rPr>
          <w:rFonts w:ascii="Arial" w:cs="Arial" w:eastAsia="Arial" w:hAnsi="Arial"/>
          <w:sz w:val="17"/>
          <w:szCs w:val="17"/>
          <w:color w:val="auto"/>
        </w:rPr>
        <w:t>With a view to making available to the Investors the benefits of Rule 144 (or its successor rule) and any other rule or regulation of the SEC that may at any time permit the Investors to sell shares of Common Stock to the public without registration, the Company covenants and agrees to: (i) make and keep public information available, as those terms are understood and defined in Rule 144, until the earlier of (A) six (6) months after such date as all of the Registrable Securities may be sold without restriction or limitation (including volume limitations) by the holders thereof pursuant to Rule 144 or any other rule of similar effect and without the requirement to be in compliance with Rule 144(c)(1) (or any successor thereto) promulgated under the 1933 Act (assuming the exercise for cash of any Warrants or other exercisable securities) or (B) such date as all of the Registrable Securities shall have been resold pursuant to a Registration Statement or Rule 144; (ii) file with the SEC in a timely manner all reports and other documents required of the Company under the 1934 Act; (iii) prior to the filing of any Registration Statement or any amendment thereto (whether pre-effective or post-effective) and prior to the filing of any Prospectus, provide to each Investor copies of all pages thereof (if any) that reference such Investors, and (iv) furnish to each Investor upon request, as long as such Investor owns any Registrable Securities, (A) a written statement by the Company that it has complied with the reporting requirements of the 1934 Act, (B) a copy of the Company’s most recent Annual Report on Form 10-K or Quarterly Report on Form 10-Q, and (C) such other information as may be reasonably requested in order to avail such Investor of any rule or regulation of the SEC that permits the selling of any such Registrable Securities without registration.</w:t>
      </w:r>
    </w:p>
    <w:p>
      <w:pPr>
        <w:spacing w:after="0" w:line="78" w:lineRule="exact"/>
        <w:rPr>
          <w:rFonts w:ascii="Arial" w:cs="Arial" w:eastAsia="Arial" w:hAnsi="Arial"/>
          <w:sz w:val="17"/>
          <w:szCs w:val="17"/>
          <w:color w:val="auto"/>
        </w:rPr>
      </w:pPr>
    </w:p>
    <w:p>
      <w:pPr>
        <w:ind w:left="264" w:hanging="264"/>
        <w:spacing w:after="0"/>
        <w:tabs>
          <w:tab w:leader="none" w:pos="264" w:val="left"/>
        </w:tabs>
        <w:numPr>
          <w:ilvl w:val="0"/>
          <w:numId w:val="90"/>
        </w:numPr>
        <w:rPr>
          <w:rFonts w:ascii="Arial" w:cs="Arial" w:eastAsia="Arial" w:hAnsi="Arial"/>
          <w:sz w:val="16"/>
          <w:szCs w:val="16"/>
          <w:color w:val="auto"/>
        </w:rPr>
      </w:pPr>
      <w:r>
        <w:rPr>
          <w:rFonts w:ascii="Arial" w:cs="Arial" w:eastAsia="Arial" w:hAnsi="Arial"/>
          <w:sz w:val="16"/>
          <w:szCs w:val="16"/>
          <w:color w:val="auto"/>
        </w:rPr>
        <w:t>From and after the date hereof, the Company shall provide a transfer agent and registrar, which may be a single entity, for the Registrable Securities.</w:t>
      </w:r>
    </w:p>
    <w:p>
      <w:pPr>
        <w:sectPr>
          <w:pgSz w:w="11900" w:h="16838" w:orient="portrait"/>
          <w:cols w:equalWidth="0" w:num="1">
            <w:col w:w="10984"/>
          </w:cols>
          <w:pgMar w:left="436" w:top="274" w:right="479" w:bottom="1440" w:gutter="0" w:footer="0" w:header="0"/>
        </w:sectPr>
      </w:pPr>
    </w:p>
    <w:bookmarkStart w:id="91" w:name="page92"/>
    <w:bookmarkEnd w:id="91"/>
    <w:p>
      <w:pPr>
        <w:ind w:left="4" w:right="160" w:hanging="4"/>
        <w:spacing w:after="0" w:line="286" w:lineRule="auto"/>
        <w:tabs>
          <w:tab w:leader="none" w:pos="219" w:val="left"/>
        </w:tabs>
        <w:numPr>
          <w:ilvl w:val="0"/>
          <w:numId w:val="9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shall cooperate with each Investor that holds Registrable Securities being offered and the managing underwriter or underwriters with respect to an applicable Registration Statement, if any, to facilitate the timely crediting of the Registrable Securities to be offered pursuant to a Registration Statement to the applicable account (or accounts) with The Depository Trust Company through its Deposit/Withdrawal At Custodian (DWAC) system, in any such case as such Investor or the managing underwriter or underwriters, if any, may reasonably request. Within three</w:t>
      </w:r>
    </w:p>
    <w:p>
      <w:pPr>
        <w:spacing w:after="0" w:line="1" w:lineRule="exact"/>
        <w:rPr>
          <w:rFonts w:ascii="Arial" w:cs="Arial" w:eastAsia="Arial" w:hAnsi="Arial"/>
          <w:sz w:val="16"/>
          <w:szCs w:val="16"/>
          <w:color w:val="auto"/>
        </w:rPr>
      </w:pPr>
    </w:p>
    <w:p>
      <w:pPr>
        <w:ind w:left="4" w:right="320"/>
        <w:spacing w:after="0" w:line="253" w:lineRule="auto"/>
        <w:rPr>
          <w:rFonts w:ascii="Arial" w:cs="Arial" w:eastAsia="Arial" w:hAnsi="Arial"/>
          <w:sz w:val="16"/>
          <w:szCs w:val="16"/>
          <w:color w:val="auto"/>
        </w:rPr>
      </w:pPr>
      <w:r>
        <w:rPr>
          <w:rFonts w:ascii="Arial" w:cs="Arial" w:eastAsia="Arial" w:hAnsi="Arial"/>
          <w:sz w:val="18"/>
          <w:szCs w:val="18"/>
          <w:color w:val="auto"/>
        </w:rPr>
        <w:t>(3) business days after a Registration Statement which includes Registrable Securities becomes effective, the Company shall deliver, and shall cause legal counsel selected by the Company to deliver, to the transfer agent for the Registrable Securities (with copies to each Investor) an appropriate instruction and an opinion of such counsel in the form required by the transfer agent in order to issue the Registrable Securities free of restrictive legends related to registration under the Securities Act.</w:t>
      </w:r>
    </w:p>
    <w:p>
      <w:pPr>
        <w:spacing w:after="0" w:line="84" w:lineRule="exact"/>
        <w:rPr>
          <w:rFonts w:ascii="Arial" w:cs="Arial" w:eastAsia="Arial" w:hAnsi="Arial"/>
          <w:sz w:val="16"/>
          <w:szCs w:val="16"/>
          <w:color w:val="auto"/>
        </w:rPr>
      </w:pPr>
    </w:p>
    <w:p>
      <w:pPr>
        <w:ind w:left="4" w:right="100" w:hanging="4"/>
        <w:spacing w:after="0" w:line="279" w:lineRule="auto"/>
        <w:tabs>
          <w:tab w:leader="none" w:pos="309"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Company shall use its reasonable best efforts to cause all the shares of the shares of Common Stock covered by each Registration Statement to be listed on each securities exchange on which securities of the same class or series issued by the Company are then listed, if any, if the listing of such Registrable Securities is then permitted under the rules of such exchange, and, to arrange for at least two market makers to register with the Financial Industry Regulatory Authority, Inc. (“FINRA”) as such with respect to such Registrable Securities.</w:t>
      </w:r>
    </w:p>
    <w:p>
      <w:pPr>
        <w:spacing w:after="0" w:line="63" w:lineRule="exact"/>
        <w:rPr>
          <w:rFonts w:ascii="Arial" w:cs="Arial" w:eastAsia="Arial" w:hAnsi="Arial"/>
          <w:sz w:val="17"/>
          <w:szCs w:val="17"/>
          <w:color w:val="auto"/>
        </w:rPr>
      </w:pPr>
    </w:p>
    <w:p>
      <w:pPr>
        <w:ind w:left="4" w:right="120" w:hanging="4"/>
        <w:spacing w:after="0" w:line="263" w:lineRule="auto"/>
        <w:tabs>
          <w:tab w:leader="none" w:pos="259" w:val="left"/>
        </w:tabs>
        <w:numPr>
          <w:ilvl w:val="0"/>
          <w:numId w:val="91"/>
        </w:numPr>
        <w:rPr>
          <w:rFonts w:ascii="Arial" w:cs="Arial" w:eastAsia="Arial" w:hAnsi="Arial"/>
          <w:sz w:val="18"/>
          <w:szCs w:val="18"/>
          <w:color w:val="auto"/>
        </w:rPr>
      </w:pPr>
      <w:r>
        <w:rPr>
          <w:rFonts w:ascii="Arial" w:cs="Arial" w:eastAsia="Arial" w:hAnsi="Arial"/>
          <w:sz w:val="18"/>
          <w:szCs w:val="18"/>
          <w:color w:val="auto"/>
        </w:rPr>
        <w:t>At the reasonable request of an Investor, the Company shall prepare and file with the SEC such amendments (including post-effective amendments) and supplements to a Registration Statement and any prospectus used in connection with the Registration Statement as may be necessary in order to change the plan of distribution set forth in such Registration Statement.</w:t>
      </w:r>
    </w:p>
    <w:p>
      <w:pPr>
        <w:spacing w:after="0" w:line="75" w:lineRule="exact"/>
        <w:rPr>
          <w:rFonts w:ascii="Arial" w:cs="Arial" w:eastAsia="Arial" w:hAnsi="Arial"/>
          <w:sz w:val="18"/>
          <w:szCs w:val="18"/>
          <w:color w:val="auto"/>
        </w:rPr>
      </w:pPr>
    </w:p>
    <w:p>
      <w:pPr>
        <w:ind w:left="4" w:right="340" w:hanging="4"/>
        <w:spacing w:after="0" w:line="263" w:lineRule="auto"/>
        <w:tabs>
          <w:tab w:leader="none" w:pos="259" w:val="left"/>
        </w:tabs>
        <w:numPr>
          <w:ilvl w:val="0"/>
          <w:numId w:val="91"/>
        </w:numPr>
        <w:rPr>
          <w:rFonts w:ascii="Arial" w:cs="Arial" w:eastAsia="Arial" w:hAnsi="Arial"/>
          <w:sz w:val="18"/>
          <w:szCs w:val="18"/>
          <w:color w:val="auto"/>
        </w:rPr>
      </w:pPr>
      <w:r>
        <w:rPr>
          <w:rFonts w:ascii="Arial" w:cs="Arial" w:eastAsia="Arial" w:hAnsi="Arial"/>
          <w:sz w:val="18"/>
          <w:szCs w:val="18"/>
          <w:color w:val="auto"/>
        </w:rPr>
        <w:t>Subject to the limitations contained herein, the Company shall use its reasonable best efforts to take all other reasonable actions arising out of its obligations under this Agreement and necessary to facilitate the disposition by the Investors of the Registrable Securities pursuant to a Registration Statement.</w:t>
      </w:r>
    </w:p>
    <w:p>
      <w:pPr>
        <w:spacing w:after="0" w:line="76" w:lineRule="exact"/>
        <w:rPr>
          <w:sz w:val="20"/>
          <w:szCs w:val="20"/>
          <w:color w:val="auto"/>
        </w:rPr>
      </w:pPr>
    </w:p>
    <w:p>
      <w:pPr>
        <w:ind w:left="184" w:hanging="184"/>
        <w:spacing w:after="0"/>
        <w:tabs>
          <w:tab w:leader="none" w:pos="184"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OBLIGATION OF THE INVESTORS</w:t>
      </w:r>
      <w:r>
        <w:rPr>
          <w:rFonts w:ascii="Arial" w:cs="Arial" w:eastAsia="Arial" w:hAnsi="Arial"/>
          <w:sz w:val="18"/>
          <w:szCs w:val="18"/>
          <w:color w:val="auto"/>
        </w:rPr>
        <w:t>.</w:t>
      </w:r>
    </w:p>
    <w:p>
      <w:pPr>
        <w:spacing w:after="0" w:line="117" w:lineRule="exact"/>
        <w:rPr>
          <w:sz w:val="20"/>
          <w:szCs w:val="20"/>
          <w:color w:val="auto"/>
        </w:rPr>
      </w:pPr>
    </w:p>
    <w:p>
      <w:pPr>
        <w:ind w:left="4" w:right="40" w:hanging="4"/>
        <w:spacing w:after="0" w:line="267" w:lineRule="auto"/>
        <w:tabs>
          <w:tab w:leader="none" w:pos="249" w:val="left"/>
        </w:tabs>
        <w:numPr>
          <w:ilvl w:val="0"/>
          <w:numId w:val="93"/>
        </w:numPr>
        <w:rPr>
          <w:rFonts w:ascii="Arial" w:cs="Arial" w:eastAsia="Arial" w:hAnsi="Arial"/>
          <w:sz w:val="17"/>
          <w:szCs w:val="17"/>
          <w:color w:val="auto"/>
        </w:rPr>
      </w:pPr>
      <w:r>
        <w:rPr>
          <w:rFonts w:ascii="Arial" w:cs="Arial" w:eastAsia="Arial" w:hAnsi="Arial"/>
          <w:sz w:val="17"/>
          <w:szCs w:val="17"/>
          <w:color w:val="auto"/>
        </w:rPr>
        <w:t xml:space="preserve">Each Investor agrees to furnish to the Company a completed Selling Investor Questionnaire within ten (10) Trading Days after the Effective Date. At least ten (10) Trading Days prior to the first anticipated filing date of a Registration Statement for any registration under this Agreement, the Company will notify each Investor of the information the Company reasonably requires from that Investor regarding itself, the Registrable Securities held by it and the intended method of disposition of the Registrable Securities held by it, other than the information contained in the Selling Investor Questionnaire, if any. Each Investor shall furnish such information to the Company in writing promptly upon receiving such notification and, in any event, at least two (2) Trading Days prior to the applicable anticipated filing date (unless such Investor has notified the Company in writing of its election to exclude all of its Registrable Securities from such Registration Statement) and shall execute such documents in connection with such registration as the Company may reasonably request. Each Investor further agrees that it shall not be entitled to be named as a selling securityholder in the Registration Statement or use the Prospectus for offers and resales of Registrable Securities at any time, unless such Investor has returned to the Company a completed and signed Selling Investor Questionnaire and a response to any reasonable requests for further information as described in the previous sentence. If an Investor returns a Selling Investor Questionnaire or a request for further information, in either case, after its respective deadline, the Company shall use its reasonable best efforts to take such actions as are required to name such Investor as a selling security holder in the Registration Statement or any pre-effective or post-effective amendment thereto and to include (to the extent not theretofore included) in the Registration Statement the Registrable Securities identified in such late Selling Investor Questionnaire or request for further information. Each Investor acknowledges and agrees that the information in the Selling Investor Questionnaire or request for further information as described in this </w:t>
      </w:r>
      <w:r>
        <w:rPr>
          <w:rFonts w:ascii="Arial" w:cs="Arial" w:eastAsia="Arial" w:hAnsi="Arial"/>
          <w:sz w:val="17"/>
          <w:szCs w:val="17"/>
          <w:u w:val="single" w:color="auto"/>
          <w:color w:val="auto"/>
        </w:rPr>
        <w:t>Section 4(a)</w:t>
      </w:r>
      <w:r>
        <w:rPr>
          <w:rFonts w:ascii="Arial" w:cs="Arial" w:eastAsia="Arial" w:hAnsi="Arial"/>
          <w:sz w:val="17"/>
          <w:szCs w:val="17"/>
          <w:color w:val="auto"/>
        </w:rPr>
        <w:t xml:space="preserve"> will be used by the Company in the preparation of the Registration Statement and hereby consents to the inclusion of such information in the Registration Statement.</w:t>
      </w:r>
    </w:p>
    <w:p>
      <w:pPr>
        <w:spacing w:after="0" w:line="83" w:lineRule="exact"/>
        <w:rPr>
          <w:rFonts w:ascii="Arial" w:cs="Arial" w:eastAsia="Arial" w:hAnsi="Arial"/>
          <w:sz w:val="17"/>
          <w:szCs w:val="17"/>
          <w:color w:val="auto"/>
        </w:rPr>
      </w:pPr>
    </w:p>
    <w:p>
      <w:pPr>
        <w:ind w:left="264" w:hanging="264"/>
        <w:spacing w:after="0"/>
        <w:tabs>
          <w:tab w:leader="none" w:pos="264"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4" w:hanging="4"/>
        <w:spacing w:after="0" w:line="263" w:lineRule="auto"/>
        <w:tabs>
          <w:tab w:leader="none" w:pos="249" w:val="left"/>
        </w:tabs>
        <w:numPr>
          <w:ilvl w:val="0"/>
          <w:numId w:val="93"/>
        </w:numPr>
        <w:rPr>
          <w:rFonts w:ascii="Arial" w:cs="Arial" w:eastAsia="Arial" w:hAnsi="Arial"/>
          <w:sz w:val="18"/>
          <w:szCs w:val="18"/>
          <w:color w:val="auto"/>
        </w:rPr>
      </w:pPr>
      <w:r>
        <w:rPr>
          <w:rFonts w:ascii="Arial" w:cs="Arial" w:eastAsia="Arial" w:hAnsi="Arial"/>
          <w:sz w:val="18"/>
          <w:szCs w:val="18"/>
          <w:color w:val="auto"/>
        </w:rPr>
        <w:t>Each Investor, by its acceptance of the Registrable Securities, agrees to cooperate with the Company as reasonably requested by the Company in connection with the preparation and filing of a Registration Statement hereunder, unless such Investor has notified the Company in writing of its election to exclude all of its Registrable Securities from such Registration Statement.</w:t>
      </w:r>
    </w:p>
    <w:p>
      <w:pPr>
        <w:sectPr>
          <w:pgSz w:w="11900" w:h="16838" w:orient="portrait"/>
          <w:cols w:equalWidth="0" w:num="1">
            <w:col w:w="11004"/>
          </w:cols>
          <w:pgMar w:left="436" w:top="274" w:right="459" w:bottom="1440" w:gutter="0" w:footer="0" w:header="0"/>
        </w:sectPr>
      </w:pPr>
    </w:p>
    <w:bookmarkStart w:id="92" w:name="page93"/>
    <w:bookmarkEnd w:id="92"/>
    <w:p>
      <w:pPr>
        <w:ind w:left="4" w:right="22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 Each Investor agrees that, upon receipt of any notice from the Company of either (i) the commencement of an Allowed Delay pursuant to </w:t>
      </w:r>
      <w:r>
        <w:rPr>
          <w:rFonts w:ascii="Arial" w:cs="Arial" w:eastAsia="Arial" w:hAnsi="Arial"/>
          <w:sz w:val="16"/>
          <w:szCs w:val="16"/>
          <w:u w:val="single" w:color="auto"/>
          <w:color w:val="auto"/>
        </w:rPr>
        <w:t>Section 2(c)(i)</w:t>
      </w:r>
      <w:r>
        <w:rPr>
          <w:rFonts w:ascii="Arial" w:cs="Arial" w:eastAsia="Arial" w:hAnsi="Arial"/>
          <w:sz w:val="16"/>
          <w:szCs w:val="16"/>
          <w:color w:val="auto"/>
        </w:rPr>
        <w:t xml:space="preserve"> or (ii) the happening of an event pursuant to </w:t>
      </w:r>
      <w:r>
        <w:rPr>
          <w:rFonts w:ascii="Arial" w:cs="Arial" w:eastAsia="Arial" w:hAnsi="Arial"/>
          <w:sz w:val="16"/>
          <w:szCs w:val="16"/>
          <w:u w:val="single" w:color="auto"/>
          <w:color w:val="auto"/>
        </w:rPr>
        <w:t>Section 3(h)</w:t>
      </w:r>
      <w:r>
        <w:rPr>
          <w:rFonts w:ascii="Arial" w:cs="Arial" w:eastAsia="Arial" w:hAnsi="Arial"/>
          <w:sz w:val="16"/>
          <w:szCs w:val="16"/>
          <w:color w:val="auto"/>
        </w:rPr>
        <w:t xml:space="preserve"> hereof, such Investor will immediately discontinue disposition of Registrable Securities pursuant to any Registration Statement covering such Registrable Securities (but not, for the avoidance of doubt, pursuant to Rule 144 or other applicable exemption under the 1933 Act), until the Investor is advised by the Company that such dispositions may again be made pursuant to such Registration Statement; provided, for the avoidance of doubt, that the foregoing shall not restrict or otherwise affect the consummation of any disposition pursuant to a contract entered into, or order placed, by any holder prior to its receipt of such notice.</w:t>
      </w:r>
    </w:p>
    <w:p>
      <w:pPr>
        <w:spacing w:after="0" w:line="56" w:lineRule="exact"/>
        <w:rPr>
          <w:sz w:val="20"/>
          <w:szCs w:val="20"/>
          <w:color w:val="auto"/>
        </w:rPr>
      </w:pPr>
    </w:p>
    <w:p>
      <w:pPr>
        <w:ind w:left="184" w:hanging="184"/>
        <w:spacing w:after="0"/>
        <w:tabs>
          <w:tab w:leader="none" w:pos="184"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117" w:lineRule="exact"/>
        <w:rPr>
          <w:sz w:val="20"/>
          <w:szCs w:val="20"/>
          <w:color w:val="auto"/>
        </w:rPr>
      </w:pPr>
    </w:p>
    <w:p>
      <w:pPr>
        <w:ind w:left="4" w:right="120" w:hanging="4"/>
        <w:spacing w:after="0" w:line="285" w:lineRule="auto"/>
        <w:tabs>
          <w:tab w:leader="none" w:pos="249" w:val="left"/>
        </w:tabs>
        <w:numPr>
          <w:ilvl w:val="0"/>
          <w:numId w:val="95"/>
        </w:numPr>
        <w:rPr>
          <w:rFonts w:ascii="Arial" w:cs="Arial" w:eastAsia="Arial" w:hAnsi="Arial"/>
          <w:sz w:val="16"/>
          <w:szCs w:val="16"/>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Indemnification by the Company</w:t>
      </w:r>
      <w:r>
        <w:rPr>
          <w:rFonts w:ascii="Arial" w:cs="Arial" w:eastAsia="Arial" w:hAnsi="Arial"/>
          <w:sz w:val="16"/>
          <w:szCs w:val="16"/>
          <w:color w:val="auto"/>
        </w:rPr>
        <w:t>. The Company agrees to indemnify and hold harmless each Investor, and each of its officers, employees, Affiliates, directors, partners, members, managers, equityholders, attorneys, advisors and agents, and each person or entity, if any, who controls (within the meaning of Section 15 of the 1933 Act or Section 20 of the 1934 Act) each Investor (each, an “</w:t>
      </w:r>
      <w:r>
        <w:rPr>
          <w:rFonts w:ascii="Arial" w:cs="Arial" w:eastAsia="Arial" w:hAnsi="Arial"/>
          <w:sz w:val="16"/>
          <w:szCs w:val="16"/>
          <w:b w:val="1"/>
          <w:bCs w:val="1"/>
          <w:color w:val="auto"/>
        </w:rPr>
        <w:t>Investor Indemnified Party</w:t>
      </w:r>
      <w:r>
        <w:rPr>
          <w:rFonts w:ascii="Arial" w:cs="Arial" w:eastAsia="Arial" w:hAnsi="Arial"/>
          <w:sz w:val="16"/>
          <w:szCs w:val="16"/>
          <w:color w:val="auto"/>
        </w:rPr>
        <w:t>”), to the fullest extent permitted by applicable law, from and against any expenses, losses, judgments, actions, claims, proceedings (whether commenced or threatened), damages, liabilities or costs (including, without limitation, reasonable attorneys’ fees), whether joint or several (collectively, “</w:t>
      </w:r>
      <w:r>
        <w:rPr>
          <w:rFonts w:ascii="Arial" w:cs="Arial" w:eastAsia="Arial" w:hAnsi="Arial"/>
          <w:sz w:val="16"/>
          <w:szCs w:val="16"/>
          <w:b w:val="1"/>
          <w:bCs w:val="1"/>
          <w:color w:val="auto"/>
        </w:rPr>
        <w:t>Losses</w:t>
      </w:r>
      <w:r>
        <w:rPr>
          <w:rFonts w:ascii="Arial" w:cs="Arial" w:eastAsia="Arial" w:hAnsi="Arial"/>
          <w:sz w:val="16"/>
          <w:szCs w:val="16"/>
          <w:color w:val="auto"/>
        </w:rPr>
        <w:t xml:space="preserve">”), as incurred, arising out of or based upon any Misstatement contained in any Registration Statement under which the sale of such Registrable Securities was registered under the 1933 Act, any preliminary Prospectus, final Prospectus or summary Prospectus contained in such Registration Statement, any amendment or supplement to such Registration Statement, preliminary Prospectus, final Prospectus or summary Prospectus, or any free writing prospectus relating to such Registration Statement, or any violation by the Company of the 1933 Act or any rule or regulation promulgated thereunder applicable to the Company or any state securities (or Blue Sky) law, rule or regulation and relating to action or inaction required of the Company in connection with any such Registration; and the Company shall promptly reimburse the Investor Indemnified Party for any reasonable, customary and documented out-of-pocket legal and any other expenses incurred, as incurred, by such Investor Indemnified Party in connection with investigating and defending against any such Losses or as a result of its participation in any investigation or defense, including as a witness or deponent, of any claim arising from or in connection with this Agreement or any Registration Statement, except, with respect to any Investor of Registrable Securities, to the extent such Investor is adjudicated pursuant to a final, non-appealable judgment of a court of competent jurisdiction to be liable to indemnify the Company for such Losses pursuant to </w:t>
      </w:r>
      <w:r>
        <w:rPr>
          <w:rFonts w:ascii="Arial" w:cs="Arial" w:eastAsia="Arial" w:hAnsi="Arial"/>
          <w:sz w:val="16"/>
          <w:szCs w:val="16"/>
          <w:u w:val="single" w:color="auto"/>
          <w:color w:val="auto"/>
        </w:rPr>
        <w:t>Section 5(b)</w:t>
      </w:r>
      <w:r>
        <w:rPr>
          <w:rFonts w:ascii="Arial" w:cs="Arial" w:eastAsia="Arial" w:hAnsi="Arial"/>
          <w:sz w:val="16"/>
          <w:szCs w:val="16"/>
          <w:color w:val="auto"/>
        </w:rPr>
        <w:t>.</w:t>
      </w:r>
    </w:p>
    <w:p>
      <w:pPr>
        <w:spacing w:after="0" w:line="68" w:lineRule="exact"/>
        <w:rPr>
          <w:rFonts w:ascii="Arial" w:cs="Arial" w:eastAsia="Arial" w:hAnsi="Arial"/>
          <w:sz w:val="16"/>
          <w:szCs w:val="16"/>
          <w:color w:val="auto"/>
        </w:rPr>
      </w:pPr>
    </w:p>
    <w:p>
      <w:pPr>
        <w:ind w:left="4" w:hanging="4"/>
        <w:spacing w:after="0" w:line="287" w:lineRule="auto"/>
        <w:tabs>
          <w:tab w:leader="none" w:pos="259" w:val="left"/>
        </w:tabs>
        <w:numPr>
          <w:ilvl w:val="0"/>
          <w:numId w:val="95"/>
        </w:numPr>
        <w:rPr>
          <w:rFonts w:ascii="Arial" w:cs="Arial" w:eastAsia="Arial" w:hAnsi="Arial"/>
          <w:sz w:val="16"/>
          <w:szCs w:val="16"/>
          <w:color w:val="auto"/>
        </w:rPr>
      </w:pPr>
      <w:r>
        <w:rPr>
          <w:rFonts w:ascii="Arial" w:cs="Arial" w:eastAsia="Arial" w:hAnsi="Arial"/>
          <w:sz w:val="16"/>
          <w:szCs w:val="16"/>
          <w:u w:val="single" w:color="auto"/>
          <w:color w:val="auto"/>
        </w:rPr>
        <w:t>Indemnification by Investors</w:t>
      </w:r>
      <w:r>
        <w:rPr>
          <w:rFonts w:ascii="Arial" w:cs="Arial" w:eastAsia="Arial" w:hAnsi="Arial"/>
          <w:sz w:val="16"/>
          <w:szCs w:val="16"/>
          <w:color w:val="auto"/>
        </w:rPr>
        <w:t>. Each Selling Investor will, in the event that any Registration is being effected under the 1933 Act pursuant to this Agreement of any Registrable Securities held by such Investor and the Company has required all Selling Investors to provide such an undertaking on the same terms, indemnify and hold harmless the Company, each of its directors and officers and each Underwriter (if any), and each other Selling Investor and each other person, if any, who controls another Selling Investor or such underwriter within the meaning of the 1933 Act, against any Losses, insofar as such Losses arise out of or are based upon any Misstatement contained in any Registration Statement under which the sale of such Registrable Securities was Registered under the 1933 Act, any preliminary Prospectus, final Prospectus or summary Prospectus contained in the Registration Statement, or any amendment or supplement thereto, if the Misstatement was made in reliance upon and in conformity with information furnished in writing to the Company by such Selling Investor expressly for use therein, and shall reimburse the Company, its directors and officers, and each other Selling Investor for any reasonable, customary and documented out-of-pocket legal or other expenses incurred by any of them in connection with investigation or defending any such Loss. Each Selling Investor’s indemnification obligations hereunder shall be several and not joint and shall be proportional to and limited to the amount of any net proceeds (after payment of any underwriting fees, discounts, commissions or taxes) actually received by such Selling Investor in connection with the sale of Registrable Securities under a Registration Statement from which such Losses arise.</w:t>
      </w:r>
    </w:p>
    <w:p>
      <w:pPr>
        <w:spacing w:after="0" w:line="59" w:lineRule="exact"/>
        <w:rPr>
          <w:rFonts w:ascii="Arial" w:cs="Arial" w:eastAsia="Arial" w:hAnsi="Arial"/>
          <w:sz w:val="16"/>
          <w:szCs w:val="16"/>
          <w:color w:val="auto"/>
        </w:rPr>
      </w:pPr>
    </w:p>
    <w:p>
      <w:pPr>
        <w:ind w:left="4" w:right="20" w:hanging="4"/>
        <w:spacing w:after="0" w:line="311" w:lineRule="auto"/>
        <w:tabs>
          <w:tab w:leader="none" w:pos="248" w:val="left"/>
        </w:tabs>
        <w:numPr>
          <w:ilvl w:val="0"/>
          <w:numId w:val="95"/>
        </w:numPr>
        <w:rPr>
          <w:rFonts w:ascii="Arial" w:cs="Arial" w:eastAsia="Arial" w:hAnsi="Arial"/>
          <w:sz w:val="16"/>
          <w:szCs w:val="16"/>
          <w:color w:val="auto"/>
        </w:rPr>
      </w:pPr>
      <w:r>
        <w:rPr>
          <w:rFonts w:ascii="Arial" w:cs="Arial" w:eastAsia="Arial" w:hAnsi="Arial"/>
          <w:sz w:val="16"/>
          <w:szCs w:val="16"/>
          <w:u w:val="single" w:color="auto"/>
          <w:color w:val="auto"/>
        </w:rPr>
        <w:t>Conduct of Indemnification Proceedings</w:t>
      </w:r>
      <w:r>
        <w:rPr>
          <w:rFonts w:ascii="Arial" w:cs="Arial" w:eastAsia="Arial" w:hAnsi="Arial"/>
          <w:sz w:val="16"/>
          <w:szCs w:val="16"/>
          <w:color w:val="auto"/>
        </w:rPr>
        <w:t xml:space="preserve">. Promptly after receipt by any person of any notice of any Loss in respect of which indemnity may be sought pursuant to </w:t>
      </w:r>
      <w:r>
        <w:rPr>
          <w:rFonts w:ascii="Arial" w:cs="Arial" w:eastAsia="Arial" w:hAnsi="Arial"/>
          <w:sz w:val="16"/>
          <w:szCs w:val="16"/>
          <w:u w:val="single" w:color="auto"/>
          <w:color w:val="auto"/>
        </w:rPr>
        <w:t>Section 5(a)</w:t>
      </w:r>
      <w:r>
        <w:rPr>
          <w:rFonts w:ascii="Arial" w:cs="Arial" w:eastAsia="Arial" w:hAnsi="Arial"/>
          <w:sz w:val="16"/>
          <w:szCs w:val="16"/>
          <w:color w:val="auto"/>
        </w:rPr>
        <w:t xml:space="preserve"> or 5</w:t>
      </w:r>
      <w:r>
        <w:rPr>
          <w:rFonts w:ascii="Arial" w:cs="Arial" w:eastAsia="Arial" w:hAnsi="Arial"/>
          <w:sz w:val="16"/>
          <w:szCs w:val="16"/>
          <w:u w:val="single" w:color="auto"/>
          <w:color w:val="auto"/>
        </w:rPr>
        <w:t>(b)</w:t>
      </w:r>
      <w:r>
        <w:rPr>
          <w:rFonts w:ascii="Arial" w:cs="Arial" w:eastAsia="Arial" w:hAnsi="Arial"/>
          <w:sz w:val="16"/>
          <w:szCs w:val="16"/>
          <w:color w:val="auto"/>
        </w:rPr>
        <w:t>, such person (the “</w:t>
      </w:r>
      <w:r>
        <w:rPr>
          <w:rFonts w:ascii="Arial" w:cs="Arial" w:eastAsia="Arial" w:hAnsi="Arial"/>
          <w:sz w:val="16"/>
          <w:szCs w:val="16"/>
          <w:b w:val="1"/>
          <w:bCs w:val="1"/>
          <w:color w:val="auto"/>
        </w:rPr>
        <w:t>Indemnified Party</w:t>
      </w:r>
      <w:r>
        <w:rPr>
          <w:rFonts w:ascii="Arial" w:cs="Arial" w:eastAsia="Arial" w:hAnsi="Arial"/>
          <w:sz w:val="16"/>
          <w:szCs w:val="16"/>
          <w:color w:val="auto"/>
        </w:rPr>
        <w:t>”) shall, if a claim in respect thereof is to be made against any other person for indemnification hereunder, notify such other person (the “</w:t>
      </w:r>
      <w:r>
        <w:rPr>
          <w:rFonts w:ascii="Arial" w:cs="Arial" w:eastAsia="Arial" w:hAnsi="Arial"/>
          <w:sz w:val="16"/>
          <w:szCs w:val="16"/>
          <w:b w:val="1"/>
          <w:bCs w:val="1"/>
          <w:color w:val="auto"/>
        </w:rPr>
        <w:t>Indemnifying Party</w:t>
      </w:r>
      <w:r>
        <w:rPr>
          <w:rFonts w:ascii="Arial" w:cs="Arial" w:eastAsia="Arial" w:hAnsi="Arial"/>
          <w:sz w:val="16"/>
          <w:szCs w:val="16"/>
          <w:color w:val="auto"/>
        </w:rPr>
        <w:t xml:space="preserve">”) in writing of the Loss;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failure by the</w:t>
      </w:r>
    </w:p>
    <w:p>
      <w:pPr>
        <w:sectPr>
          <w:pgSz w:w="11900" w:h="16838" w:orient="portrait"/>
          <w:cols w:equalWidth="0" w:num="1">
            <w:col w:w="11004"/>
          </w:cols>
          <w:pgMar w:left="436" w:top="274" w:right="459" w:bottom="1440" w:gutter="0" w:footer="0" w:header="0"/>
        </w:sectPr>
      </w:pPr>
    </w:p>
    <w:bookmarkStart w:id="93" w:name="page94"/>
    <w:bookmarkEnd w:id="93"/>
    <w:p>
      <w:pPr>
        <w:ind w:left="4"/>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Indemnified Party to notify the Indemnifying Party shall not relieve the Indemnifying Party from any liability which the Indemnifying Party may have to such Indemnified Party under this Section 5, except and solely to the extent the Indemnifying Party is actually and materially prejudiced by such failure, and shall not relieve the Company of any liability to the Indemnified Party otherwise pursuant to this Agreement. If the Indemnified Party is seeking indemnification with respect to any claim or action brought against the Indemnified Party, then the Indemnifying Party shall be entitled to participate in such claim or action, and, to the extent that it wishes, jointly with all other Indemnifying Parties, to assume control of the defense thereof with counsel reasonably satisfactory to the Indemnified Party. After notice from the Indemnifying Party to the Indemnified Party of its election to assume control of the defense of such claim or action, the Indemnifying Party shall not be liable to the Indemnified Party for any legal or other expenses subsequently incurred by the Indemnified Party in connection with the defense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any action in which both the Indemnified Party and the Indemnifying Party are named as defendants, the Indemnified Party shall have the right to employ separate counsel (but no more than one such separate counsel, in addition to local counsel) to represent the Indemnified Party and its controlling persons who may be subject to liability arising out of any claim in respect of which indemnity may be sought by the Indemnified Party against the Indemnifying Party, with the reasonable and documented fees and expenses of such counsel to be paid by such Indemnifying Party if, based upon the opinion of counsel of such Indemnified Party, representation of both parties by the same counsel would be inappropriate due to actual or potential differing interests between them. No Indemnifying Party shall, without the prior written consent of the Indemnified Party, consent to entry of judgment or effect any settlement of any claim or pending or threatened proceeding in respect of any Losses for which the Indemnified Party seeks indemnification hereunder if such settlement or judgment includes any non-monetary remedies binding on the Indemnified Party, requires an admission of fault or culpability on the part of the Indemnified Party or does not include an unconditional release from all liability of the Indemnified Party in respect of such Losses.</w:t>
      </w:r>
    </w:p>
    <w:p>
      <w:pPr>
        <w:spacing w:after="0" w:line="66" w:lineRule="exact"/>
        <w:rPr>
          <w:sz w:val="20"/>
          <w:szCs w:val="20"/>
          <w:color w:val="auto"/>
        </w:rPr>
      </w:pPr>
    </w:p>
    <w:p>
      <w:pPr>
        <w:ind w:left="4" w:right="40" w:hanging="4"/>
        <w:spacing w:after="0" w:line="267" w:lineRule="auto"/>
        <w:tabs>
          <w:tab w:leader="none" w:pos="259" w:val="left"/>
        </w:tabs>
        <w:numPr>
          <w:ilvl w:val="0"/>
          <w:numId w:val="96"/>
        </w:numPr>
        <w:rPr>
          <w:rFonts w:ascii="Arial" w:cs="Arial" w:eastAsia="Arial" w:hAnsi="Arial"/>
          <w:sz w:val="17"/>
          <w:szCs w:val="17"/>
          <w:color w:val="auto"/>
        </w:rPr>
      </w:pPr>
      <w:r>
        <w:rPr>
          <w:rFonts w:ascii="Arial" w:cs="Arial" w:eastAsia="Arial" w:hAnsi="Arial"/>
          <w:sz w:val="17"/>
          <w:szCs w:val="17"/>
          <w:u w:val="single" w:color="auto"/>
          <w:color w:val="auto"/>
        </w:rPr>
        <w:t>Contribution</w:t>
      </w:r>
      <w:r>
        <w:rPr>
          <w:rFonts w:ascii="Arial" w:cs="Arial" w:eastAsia="Arial" w:hAnsi="Arial"/>
          <w:sz w:val="17"/>
          <w:szCs w:val="17"/>
          <w:color w:val="auto"/>
        </w:rPr>
        <w:t xml:space="preserve">. If the indemnification provided for in the foregoing </w:t>
      </w:r>
      <w:r>
        <w:rPr>
          <w:rFonts w:ascii="Arial" w:cs="Arial" w:eastAsia="Arial" w:hAnsi="Arial"/>
          <w:sz w:val="17"/>
          <w:szCs w:val="17"/>
          <w:u w:val="single" w:color="auto"/>
          <w:color w:val="auto"/>
        </w:rPr>
        <w:t>Sections 5(a)</w:t>
      </w:r>
      <w:r>
        <w:rPr>
          <w:rFonts w:ascii="Arial" w:cs="Arial" w:eastAsia="Arial" w:hAnsi="Arial"/>
          <w:sz w:val="17"/>
          <w:szCs w:val="17"/>
          <w:color w:val="auto"/>
        </w:rPr>
        <w:t xml:space="preserve"> and 5</w:t>
      </w:r>
      <w:r>
        <w:rPr>
          <w:rFonts w:ascii="Arial" w:cs="Arial" w:eastAsia="Arial" w:hAnsi="Arial"/>
          <w:sz w:val="17"/>
          <w:szCs w:val="17"/>
          <w:u w:val="single" w:color="auto"/>
          <w:color w:val="auto"/>
        </w:rPr>
        <w:t>(b)</w:t>
      </w:r>
      <w:r>
        <w:rPr>
          <w:rFonts w:ascii="Arial" w:cs="Arial" w:eastAsia="Arial" w:hAnsi="Arial"/>
          <w:sz w:val="17"/>
          <w:szCs w:val="17"/>
          <w:color w:val="auto"/>
        </w:rPr>
        <w:t xml:space="preserve"> is unavailable to any Indemnified Party in respect of any Loss referred to herein, then each such Indemnifying Party, in lieu of indemnifying such Indemnified Party, shall contribute to the amount paid or payable by such Indemnified Party as a result of such Loss in such proportion as is appropriate to reflect the relative fault of the Indemnified Parties and the Indemnifying Parties in connection with the actions or omissions which resulted in such Loss. The relative fault of any Indemnified Party and any Indemnifying Party shall be determined by reference to, among other things, whether the Misstatement relates to information supplied by such Indemnified Party or such Indemnifying Party (in the case of an Investor, such Misstatement was made in reliance upon and in conformity with information furnished in writing to the Company by such Investor expressly for use therein) and the parties’ relative intent, knowledge, access to information and opportunity to correct or prevent such Misstatement. The parties hereto agree that it would not be just and equitable if contribution pursuant to this </w:t>
      </w:r>
      <w:r>
        <w:rPr>
          <w:rFonts w:ascii="Arial" w:cs="Arial" w:eastAsia="Arial" w:hAnsi="Arial"/>
          <w:sz w:val="17"/>
          <w:szCs w:val="17"/>
          <w:u w:val="single" w:color="auto"/>
          <w:color w:val="auto"/>
        </w:rPr>
        <w:t>Section 5(d)</w:t>
      </w:r>
      <w:r>
        <w:rPr>
          <w:rFonts w:ascii="Arial" w:cs="Arial" w:eastAsia="Arial" w:hAnsi="Arial"/>
          <w:sz w:val="17"/>
          <w:szCs w:val="17"/>
          <w:color w:val="auto"/>
        </w:rPr>
        <w:t xml:space="preserve"> were determined by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allocation or by any other method of allocation which does not take account of the equitable considerations referred to in this </w:t>
      </w:r>
      <w:r>
        <w:rPr>
          <w:rFonts w:ascii="Arial" w:cs="Arial" w:eastAsia="Arial" w:hAnsi="Arial"/>
          <w:sz w:val="17"/>
          <w:szCs w:val="17"/>
          <w:u w:val="single" w:color="auto"/>
          <w:color w:val="auto"/>
        </w:rPr>
        <w:t>Section 5(d)</w:t>
      </w:r>
      <w:r>
        <w:rPr>
          <w:rFonts w:ascii="Arial" w:cs="Arial" w:eastAsia="Arial" w:hAnsi="Arial"/>
          <w:sz w:val="17"/>
          <w:szCs w:val="17"/>
          <w:color w:val="auto"/>
        </w:rPr>
        <w:t xml:space="preserve">. The amount paid or payable by an Indemnified Party as a result of any Loss referred to in this paragraph shall be deemed to include, subject to the limitations set forth above, any legal or other expenses incurred by such Indemnified Party in connection with investigating or defending any such action or claim. Notwithstanding the provisions of this </w:t>
      </w:r>
      <w:r>
        <w:rPr>
          <w:rFonts w:ascii="Arial" w:cs="Arial" w:eastAsia="Arial" w:hAnsi="Arial"/>
          <w:sz w:val="17"/>
          <w:szCs w:val="17"/>
          <w:u w:val="single" w:color="auto"/>
          <w:color w:val="auto"/>
        </w:rPr>
        <w:t>Section 5(d)</w:t>
      </w:r>
      <w:r>
        <w:rPr>
          <w:rFonts w:ascii="Arial" w:cs="Arial" w:eastAsia="Arial" w:hAnsi="Arial"/>
          <w:sz w:val="17"/>
          <w:szCs w:val="17"/>
          <w:color w:val="auto"/>
        </w:rPr>
        <w:t>, no Investor shall be required to contribute any amount in excess of the dollar amount of the net proceeds (after payment of any underwriting fees, discounts, commissions or taxes) actually received by such Investor from the sale of Registrable Securities which gave rise to such contribution obligation, less the aggregate amount of any damages or other amounts such Investor has otherwise been required to pay (pursuant to Section 5(b) otherwise) as a result of the Misstatement. No person guilty of fraudulent misrepresentation (within the meaning of Section 11(f) of the 1933 Act) shall be entitled to contribution from any person who was not guilty of such fraudulent misrepresentation.</w:t>
      </w:r>
    </w:p>
    <w:p>
      <w:pPr>
        <w:spacing w:after="0" w:line="83" w:lineRule="exact"/>
        <w:rPr>
          <w:sz w:val="20"/>
          <w:szCs w:val="20"/>
          <w:color w:val="auto"/>
        </w:rPr>
      </w:pPr>
    </w:p>
    <w:p>
      <w:pPr>
        <w:ind w:left="4"/>
        <w:spacing w:after="0"/>
        <w:rPr>
          <w:sz w:val="20"/>
          <w:szCs w:val="20"/>
          <w:color w:val="auto"/>
        </w:rPr>
      </w:pPr>
      <w:r>
        <w:rPr>
          <w:rFonts w:ascii="Arial" w:cs="Arial" w:eastAsia="Arial" w:hAnsi="Arial"/>
          <w:sz w:val="18"/>
          <w:szCs w:val="18"/>
          <w:color w:val="auto"/>
        </w:rPr>
        <w:t>6. MISCELLANEOUS.</w:t>
      </w:r>
    </w:p>
    <w:p>
      <w:pPr>
        <w:spacing w:after="0" w:line="117" w:lineRule="exact"/>
        <w:rPr>
          <w:sz w:val="20"/>
          <w:szCs w:val="20"/>
          <w:color w:val="auto"/>
        </w:rPr>
      </w:pPr>
    </w:p>
    <w:p>
      <w:pPr>
        <w:ind w:left="244" w:hanging="244"/>
        <w:spacing w:after="0"/>
        <w:tabs>
          <w:tab w:leader="none" w:pos="244"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Effective Date</w:t>
      </w:r>
      <w:r>
        <w:rPr>
          <w:rFonts w:ascii="Arial" w:cs="Arial" w:eastAsia="Arial" w:hAnsi="Arial"/>
          <w:sz w:val="18"/>
          <w:szCs w:val="18"/>
          <w:color w:val="auto"/>
        </w:rPr>
        <w:t>. This Agreement shall be effective as of the Effective Date.</w:t>
      </w:r>
    </w:p>
    <w:p>
      <w:pPr>
        <w:spacing w:after="0" w:line="117" w:lineRule="exact"/>
        <w:rPr>
          <w:rFonts w:ascii="Arial" w:cs="Arial" w:eastAsia="Arial" w:hAnsi="Arial"/>
          <w:sz w:val="18"/>
          <w:szCs w:val="18"/>
          <w:color w:val="auto"/>
        </w:rPr>
      </w:pPr>
    </w:p>
    <w:p>
      <w:pPr>
        <w:ind w:left="4" w:right="40" w:hanging="4"/>
        <w:spacing w:after="0" w:line="275" w:lineRule="auto"/>
        <w:tabs>
          <w:tab w:leader="none" w:pos="259" w:val="left"/>
        </w:tabs>
        <w:numPr>
          <w:ilvl w:val="0"/>
          <w:numId w:val="97"/>
        </w:numPr>
        <w:rPr>
          <w:rFonts w:ascii="Arial" w:cs="Arial" w:eastAsia="Arial" w:hAnsi="Arial"/>
          <w:sz w:val="17"/>
          <w:szCs w:val="17"/>
          <w:color w:val="auto"/>
        </w:rPr>
      </w:pPr>
      <w:r>
        <w:rPr>
          <w:rFonts w:ascii="Arial" w:cs="Arial" w:eastAsia="Arial" w:hAnsi="Arial"/>
          <w:sz w:val="17"/>
          <w:szCs w:val="17"/>
          <w:u w:val="single" w:color="auto"/>
          <w:color w:val="auto"/>
        </w:rPr>
        <w:t>Amendments and Waivers</w:t>
      </w:r>
      <w:r>
        <w:rPr>
          <w:rFonts w:ascii="Arial" w:cs="Arial" w:eastAsia="Arial" w:hAnsi="Arial"/>
          <w:sz w:val="17"/>
          <w:szCs w:val="17"/>
          <w:color w:val="auto"/>
        </w:rPr>
        <w:t>. This Agreement may be amended only by a writing signed by the Company and the Required Investors. The Company may take any action herein prohibited, or omit to perform any act herein required to be performed by it, only if the Company shall have obtained the written consent to such amendment, action or omission to act, of the Required Investors. Notwithstanding the foregoing, this Agreement may not be amended and the observance of any term of this Agreement may not be waived with respect to any Investor without the written consent of such Investor unless such amendment or waiver applies to all Investors in the same fashion.</w:t>
      </w:r>
    </w:p>
    <w:p>
      <w:pPr>
        <w:sectPr>
          <w:pgSz w:w="11900" w:h="16838" w:orient="portrait"/>
          <w:cols w:equalWidth="0" w:num="1">
            <w:col w:w="11004"/>
          </w:cols>
          <w:pgMar w:left="436" w:top="274" w:right="459" w:bottom="1440" w:gutter="0" w:footer="0" w:header="0"/>
        </w:sectPr>
      </w:pPr>
    </w:p>
    <w:bookmarkStart w:id="94" w:name="page95"/>
    <w:bookmarkEnd w:id="94"/>
    <w:p>
      <w:pPr>
        <w:ind w:left="4" w:right="200" w:hanging="4"/>
        <w:spacing w:after="0" w:line="286" w:lineRule="auto"/>
        <w:tabs>
          <w:tab w:leader="none" w:pos="248" w:val="left"/>
        </w:tabs>
        <w:numPr>
          <w:ilvl w:val="0"/>
          <w:numId w:val="98"/>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Notices</w:t>
      </w:r>
      <w:r>
        <w:rPr>
          <w:rFonts w:ascii="Arial" w:cs="Arial" w:eastAsia="Arial" w:hAnsi="Arial"/>
          <w:sz w:val="17"/>
          <w:szCs w:val="17"/>
          <w:color w:val="auto"/>
        </w:rPr>
        <w:t>. Any notices, consents, waivers or other communications required or permitted to be given under the terms of this Agreement must be in writing and will be deemed to have been delivered upon receipt, when delivered personally or by a nationally recognized overnight delivery service or by e-mail, in each case properly addressed to the party to receive the same. The addresses for such communications shall be:</w:t>
      </w:r>
    </w:p>
    <w:p>
      <w:pPr>
        <w:spacing w:after="0" w:line="57" w:lineRule="exact"/>
        <w:rPr>
          <w:sz w:val="20"/>
          <w:szCs w:val="20"/>
          <w:color w:val="auto"/>
        </w:rPr>
      </w:pPr>
    </w:p>
    <w:p>
      <w:pPr>
        <w:ind w:left="4"/>
        <w:spacing w:after="0"/>
        <w:rPr>
          <w:sz w:val="20"/>
          <w:szCs w:val="20"/>
          <w:color w:val="auto"/>
        </w:rPr>
      </w:pPr>
      <w:r>
        <w:rPr>
          <w:rFonts w:ascii="Arial" w:cs="Arial" w:eastAsia="Arial" w:hAnsi="Arial"/>
          <w:sz w:val="18"/>
          <w:szCs w:val="18"/>
          <w:color w:val="auto"/>
        </w:rPr>
        <w:t>If to the Company:</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Larimar Therapeutics, Inc.</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Three Bala Plaza East, Suite 506,</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Bala Cynwyd, PA 19004</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Attention: Dr. Carole Ben-Maimon, M.D.</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Email: cbenmaimon@larimartx.com</w:t>
      </w:r>
    </w:p>
    <w:p>
      <w:pPr>
        <w:spacing w:after="0" w:line="103" w:lineRule="exact"/>
        <w:rPr>
          <w:sz w:val="20"/>
          <w:szCs w:val="20"/>
          <w:color w:val="auto"/>
        </w:rPr>
      </w:pPr>
    </w:p>
    <w:p>
      <w:pPr>
        <w:ind w:left="4"/>
        <w:spacing w:after="0"/>
        <w:rPr>
          <w:sz w:val="20"/>
          <w:szCs w:val="20"/>
          <w:color w:val="auto"/>
        </w:rPr>
      </w:pPr>
      <w:r>
        <w:rPr>
          <w:rFonts w:ascii="Arial" w:cs="Arial" w:eastAsia="Arial" w:hAnsi="Arial"/>
          <w:sz w:val="18"/>
          <w:szCs w:val="18"/>
          <w:color w:val="auto"/>
        </w:rPr>
        <w:t>With copy (which shall not constitute notice) to:</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Troutman Pepper Hamilton Sanders LLP</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3000 Two Logan Square</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Philadelphia, PA 19103-2799</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Attention: Rachael M. Bushey and Jennifer Porter</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Email: Rachael.Bushey@troutman.com; Jennifer.Porter@troutman.com</w:t>
      </w:r>
    </w:p>
    <w:p>
      <w:pPr>
        <w:spacing w:after="0" w:line="211" w:lineRule="exact"/>
        <w:rPr>
          <w:sz w:val="20"/>
          <w:szCs w:val="20"/>
          <w:color w:val="auto"/>
        </w:rPr>
      </w:pPr>
    </w:p>
    <w:p>
      <w:pPr>
        <w:ind w:left="4" w:right="20"/>
        <w:spacing w:after="0" w:line="255" w:lineRule="auto"/>
        <w:rPr>
          <w:sz w:val="20"/>
          <w:szCs w:val="20"/>
          <w:color w:val="auto"/>
        </w:rPr>
      </w:pPr>
      <w:r>
        <w:rPr>
          <w:rFonts w:ascii="Arial" w:cs="Arial" w:eastAsia="Arial" w:hAnsi="Arial"/>
          <w:sz w:val="18"/>
          <w:szCs w:val="18"/>
          <w:color w:val="auto"/>
        </w:rPr>
        <w:t>If to an Investor, to it at the address set forth under such Investor’s name on its signature page hereto, or, in the case of an Investor or any other party named above, at such other address or to the attention of such other Person as the recipient party has specified by written notice given to each other party five (5) days prior to the effectiveness of such change. Written confirmation of receipt (i) given by the recipient of such notice, consent, waiver or other communication; (ii) provided by affidavit of personal delivery by a delivery service selected by the Company; or (iii) provided by a nationally recognized overnight delivery service shall be rebuttable evidence of personal service, deposit with a nationally recognized overnight delivery service or electronic transmission.</w:t>
      </w:r>
    </w:p>
    <w:p>
      <w:pPr>
        <w:spacing w:after="0" w:line="84" w:lineRule="exact"/>
        <w:rPr>
          <w:sz w:val="20"/>
          <w:szCs w:val="20"/>
          <w:color w:val="auto"/>
        </w:rPr>
      </w:pPr>
    </w:p>
    <w:p>
      <w:pPr>
        <w:ind w:left="4" w:hanging="4"/>
        <w:spacing w:after="0" w:line="269" w:lineRule="auto"/>
        <w:tabs>
          <w:tab w:leader="none" w:pos="259" w:val="left"/>
        </w:tabs>
        <w:numPr>
          <w:ilvl w:val="0"/>
          <w:numId w:val="99"/>
        </w:numPr>
        <w:rPr>
          <w:rFonts w:ascii="Arial" w:cs="Arial" w:eastAsia="Arial" w:hAnsi="Arial"/>
          <w:sz w:val="17"/>
          <w:szCs w:val="17"/>
          <w:color w:val="auto"/>
        </w:rPr>
      </w:pPr>
      <w:r>
        <w:rPr>
          <w:rFonts w:ascii="Arial" w:cs="Arial" w:eastAsia="Arial" w:hAnsi="Arial"/>
          <w:sz w:val="17"/>
          <w:szCs w:val="17"/>
          <w:u w:val="single" w:color="auto"/>
          <w:color w:val="auto"/>
        </w:rPr>
        <w:t>Assignments and Transfers by Investors</w:t>
      </w:r>
      <w:r>
        <w:rPr>
          <w:rFonts w:ascii="Arial" w:cs="Arial" w:eastAsia="Arial" w:hAnsi="Arial"/>
          <w:sz w:val="17"/>
          <w:szCs w:val="17"/>
          <w:color w:val="auto"/>
        </w:rPr>
        <w:t>. The provisions of this Agreement shall be binding upon and inure to the benefit of the Investors and their respective successors and assigns. An Investor may transfer or assign, in whole or from time to time in part, to one or more persons its rights hereunder in connection with the transfer of Registrable Securities (or Pre-Funded Warrants or other securities directly or indirectly exercisable or exchangeable for, or convertible into, Registrable Securities) by such Investor to such person, provided that such Investor complies with all laws applicable thereto, and provides written notice of assignment to the Company promptly after such assignment is effected, and such person agrees in writing to be bound by all of the provisions contained herein in respect of an Investor. In the event that the Company receives written notice from an Investor that it has transferred all or any portion of its Registrable Securities (or its Pre-Funded Warrants or other securities directly or indirectly exercisable or exchangeable for, or convertible into, Registrable Securities) pursuant to this Section 6(d), the Company shall, within ten (10) days, file any amendments or supplements necessary to keep a Registration Statement current, effective and available for the resale of all of the Registrable Securities pursuant to Rule 415 under the Securities Act.</w:t>
      </w:r>
    </w:p>
    <w:p>
      <w:pPr>
        <w:spacing w:after="0" w:line="77" w:lineRule="exact"/>
        <w:rPr>
          <w:rFonts w:ascii="Arial" w:cs="Arial" w:eastAsia="Arial" w:hAnsi="Arial"/>
          <w:sz w:val="17"/>
          <w:szCs w:val="17"/>
          <w:color w:val="auto"/>
        </w:rPr>
      </w:pPr>
    </w:p>
    <w:p>
      <w:pPr>
        <w:ind w:left="4" w:right="120" w:hanging="4"/>
        <w:spacing w:after="0" w:line="272" w:lineRule="auto"/>
        <w:tabs>
          <w:tab w:leader="none" w:pos="248" w:val="left"/>
        </w:tabs>
        <w:numPr>
          <w:ilvl w:val="0"/>
          <w:numId w:val="99"/>
        </w:numPr>
        <w:rPr>
          <w:rFonts w:ascii="Arial" w:cs="Arial" w:eastAsia="Arial" w:hAnsi="Arial"/>
          <w:sz w:val="17"/>
          <w:szCs w:val="17"/>
          <w:color w:val="auto"/>
        </w:rPr>
      </w:pPr>
      <w:r>
        <w:rPr>
          <w:rFonts w:ascii="Arial" w:cs="Arial" w:eastAsia="Arial" w:hAnsi="Arial"/>
          <w:sz w:val="17"/>
          <w:szCs w:val="17"/>
          <w:u w:val="single" w:color="auto"/>
          <w:color w:val="auto"/>
        </w:rPr>
        <w:t>Assignments and Transfers by the Company</w:t>
      </w:r>
      <w:r>
        <w:rPr>
          <w:rFonts w:ascii="Arial" w:cs="Arial" w:eastAsia="Arial" w:hAnsi="Arial"/>
          <w:sz w:val="17"/>
          <w:szCs w:val="17"/>
          <w:color w:val="auto"/>
        </w:rPr>
        <w:t>. This Agreement may not be assigned by the Company (whether by operation of law or otherwise) without the prior written consent of the Required Investors; provided, however, that in the event that the Company is a party to a merger, consolidation, share exchange or similar business combination transaction in which the Common Stock is converted into the equity securities of another Person, from and after the effective time of such transaction, such Person shall, by virtue of such transaction, be deemed to have assumed the obligations of the Company hereunder, the term “Company” shall be deemed to refer to such Person and the term “Registrable Securities” shall be deemed to include the securities received by the Investors in connection with such transaction unless such securities are otherwise freely tradable without limitation or restriction by the Investors after giving effect to such transaction.</w:t>
      </w:r>
    </w:p>
    <w:p>
      <w:pPr>
        <w:sectPr>
          <w:pgSz w:w="11900" w:h="16838" w:orient="portrait"/>
          <w:cols w:equalWidth="0" w:num="1">
            <w:col w:w="11024"/>
          </w:cols>
          <w:pgMar w:left="436" w:top="274" w:right="439" w:bottom="1440" w:gutter="0" w:footer="0" w:header="0"/>
        </w:sectPr>
      </w:pPr>
    </w:p>
    <w:bookmarkStart w:id="95" w:name="page96"/>
    <w:bookmarkEnd w:id="95"/>
    <w:p>
      <w:pPr>
        <w:ind w:left="4" w:right="20" w:hanging="4"/>
        <w:spacing w:after="0" w:line="269" w:lineRule="auto"/>
        <w:tabs>
          <w:tab w:leader="none" w:pos="229" w:val="left"/>
        </w:tabs>
        <w:numPr>
          <w:ilvl w:val="0"/>
          <w:numId w:val="100"/>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Benefits of the Agreement</w:t>
      </w:r>
      <w:r>
        <w:rPr>
          <w:rFonts w:ascii="Arial" w:cs="Arial" w:eastAsia="Arial" w:hAnsi="Arial"/>
          <w:sz w:val="17"/>
          <w:szCs w:val="17"/>
          <w:color w:val="auto"/>
        </w:rPr>
        <w:t>. The terms and conditions of this Agreement shall inure to the benefit of and be binding upon the respective permitted successors and assigns of the parties.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 (including Section 5 hereof). A Person is deemed to hold, and be a holder of, shares of Common Stock or other Registrable Securities whenever such Person owns of record or beneficially through a “street name” holder such shares of Common Stock or other Registrable Securities (or the Pre-Funded Warrants or other securities upon exercise, conversion or exchange of which such Registrable Securities are directly or indirectly issuable, without giving effect to any limitations on exercise, conversion or exchange of the Pre-Funded or other securities), and solely for purposes hereof, Registrable Securities shall be deemed outstanding to the extent they are directly or indirectly issuable upon conversion of the Pre-Funded Warrants or other outstanding securities, Registrable Securities, without giving effect to any limits on exercise, conversion or exchange of the Pre-Funded Warrants or other securities.</w:t>
      </w:r>
    </w:p>
    <w:p>
      <w:pPr>
        <w:spacing w:after="0" w:line="77" w:lineRule="exact"/>
        <w:rPr>
          <w:rFonts w:ascii="Arial" w:cs="Arial" w:eastAsia="Arial" w:hAnsi="Arial"/>
          <w:sz w:val="17"/>
          <w:szCs w:val="17"/>
          <w:color w:val="auto"/>
        </w:rPr>
      </w:pPr>
    </w:p>
    <w:p>
      <w:pPr>
        <w:ind w:left="4" w:hanging="4"/>
        <w:spacing w:after="0" w:line="254" w:lineRule="auto"/>
        <w:tabs>
          <w:tab w:leader="none" w:pos="259"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Counterparts; Execution</w:t>
      </w:r>
      <w:r>
        <w:rPr>
          <w:rFonts w:ascii="Arial" w:cs="Arial" w:eastAsia="Arial" w:hAnsi="Arial"/>
          <w:sz w:val="18"/>
          <w:szCs w:val="18"/>
          <w:color w:val="auto"/>
        </w:rPr>
        <w:t>. This Agreement may be executed in two or more counterparts, each of which shall be deemed an original, but all of which together shall constitute one and the same instrument. A PDF or other reproduction of this Agreement may be executed by one or more parties hereto, and an executed copy of this Agreement may be delivered by one or more parties hereto by e-mail or other electronic transmission device pursuant to which the signature of or on behalf of such party can be seen, and such execution and delivery shall be considered legal, valid, binding and effective for all purposes. The parties hereto hereby agree that no party shall raise the execution of a PDF or other reproduction of this Agreement, or the fact that any signature or document was transmitted or communicated by e-mail or other electronic transmission device, as a defense to the formation of this Agreement.</w:t>
      </w:r>
    </w:p>
    <w:p>
      <w:pPr>
        <w:spacing w:after="0" w:line="86" w:lineRule="exact"/>
        <w:rPr>
          <w:rFonts w:ascii="Arial" w:cs="Arial" w:eastAsia="Arial" w:hAnsi="Arial"/>
          <w:sz w:val="18"/>
          <w:szCs w:val="18"/>
          <w:color w:val="auto"/>
        </w:rPr>
      </w:pPr>
    </w:p>
    <w:p>
      <w:pPr>
        <w:ind w:left="264" w:hanging="264"/>
        <w:spacing w:after="0"/>
        <w:tabs>
          <w:tab w:leader="none" w:pos="264" w:val="left"/>
        </w:tabs>
        <w:numPr>
          <w:ilvl w:val="0"/>
          <w:numId w:val="100"/>
        </w:numPr>
        <w:rPr>
          <w:rFonts w:ascii="Arial" w:cs="Arial" w:eastAsia="Arial" w:hAnsi="Arial"/>
          <w:sz w:val="16"/>
          <w:szCs w:val="16"/>
          <w:color w:val="auto"/>
        </w:rPr>
      </w:pPr>
      <w:r>
        <w:rPr>
          <w:rFonts w:ascii="Arial" w:cs="Arial" w:eastAsia="Arial" w:hAnsi="Arial"/>
          <w:sz w:val="16"/>
          <w:szCs w:val="16"/>
          <w:u w:val="single" w:color="auto"/>
          <w:color w:val="auto"/>
        </w:rPr>
        <w:t>Headings</w:t>
      </w:r>
      <w:r>
        <w:rPr>
          <w:rFonts w:ascii="Arial" w:cs="Arial" w:eastAsia="Arial" w:hAnsi="Arial"/>
          <w:sz w:val="16"/>
          <w:szCs w:val="16"/>
          <w:color w:val="auto"/>
        </w:rPr>
        <w:t>. The headings of this Agreement are for convenience of reference and shall not form part of, or affect the interpretation of, this Agreement.</w:t>
      </w:r>
    </w:p>
    <w:p>
      <w:pPr>
        <w:spacing w:after="0" w:line="140" w:lineRule="exact"/>
        <w:rPr>
          <w:rFonts w:ascii="Arial" w:cs="Arial" w:eastAsia="Arial" w:hAnsi="Arial"/>
          <w:sz w:val="16"/>
          <w:szCs w:val="16"/>
          <w:color w:val="auto"/>
        </w:rPr>
      </w:pPr>
    </w:p>
    <w:p>
      <w:pPr>
        <w:ind w:left="4" w:right="60" w:hanging="4"/>
        <w:spacing w:after="0" w:line="279" w:lineRule="auto"/>
        <w:tabs>
          <w:tab w:leader="none" w:pos="219" w:val="left"/>
        </w:tabs>
        <w:numPr>
          <w:ilvl w:val="0"/>
          <w:numId w:val="100"/>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this Agreement shall be invalid or unenforceable in any jurisdiction, such invalidity or unenforceability shall not affect the validity or enforceability of the remainder of this Agreement in that jurisdiction or the validity or enforceability of any provision of this Agreement in any other jurisdiction.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63" w:lineRule="exact"/>
        <w:rPr>
          <w:rFonts w:ascii="Arial" w:cs="Arial" w:eastAsia="Arial" w:hAnsi="Arial"/>
          <w:sz w:val="17"/>
          <w:szCs w:val="17"/>
          <w:color w:val="auto"/>
        </w:rPr>
      </w:pPr>
    </w:p>
    <w:p>
      <w:pPr>
        <w:ind w:left="4" w:right="760" w:hanging="4"/>
        <w:spacing w:after="0" w:line="342" w:lineRule="auto"/>
        <w:tabs>
          <w:tab w:leader="none" w:pos="219" w:val="left"/>
        </w:tabs>
        <w:numPr>
          <w:ilvl w:val="0"/>
          <w:numId w:val="100"/>
        </w:numPr>
        <w:rPr>
          <w:rFonts w:ascii="Arial" w:cs="Arial" w:eastAsia="Arial" w:hAnsi="Arial"/>
          <w:sz w:val="16"/>
          <w:szCs w:val="16"/>
          <w:color w:val="auto"/>
        </w:rPr>
      </w:pPr>
      <w:r>
        <w:rPr>
          <w:rFonts w:ascii="Arial" w:cs="Arial" w:eastAsia="Arial" w:hAnsi="Arial"/>
          <w:sz w:val="16"/>
          <w:szCs w:val="16"/>
          <w:u w:val="single" w:color="auto"/>
          <w:color w:val="auto"/>
        </w:rPr>
        <w:t>Further Assurances</w:t>
      </w:r>
      <w:r>
        <w:rPr>
          <w:rFonts w:ascii="Arial" w:cs="Arial" w:eastAsia="Arial" w:hAnsi="Arial"/>
          <w:sz w:val="16"/>
          <w:szCs w:val="16"/>
          <w:color w:val="auto"/>
        </w:rPr>
        <w:t>. The parties shall execute and deliver all such further instruments and documents and take all such other actions as may reasonably be required to carry out the transactions contemplated hereby and to evidence the fulfillment of the agreements herein contained.</w:t>
      </w:r>
    </w:p>
    <w:p>
      <w:pPr>
        <w:spacing w:after="0" w:line="15" w:lineRule="exact"/>
        <w:rPr>
          <w:rFonts w:ascii="Arial" w:cs="Arial" w:eastAsia="Arial" w:hAnsi="Arial"/>
          <w:sz w:val="16"/>
          <w:szCs w:val="16"/>
          <w:color w:val="auto"/>
        </w:rPr>
      </w:pPr>
    </w:p>
    <w:p>
      <w:pPr>
        <w:ind w:left="4" w:right="240" w:hanging="4"/>
        <w:spacing w:after="0" w:line="277" w:lineRule="auto"/>
        <w:tabs>
          <w:tab w:leader="none" w:pos="259"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No Strict Construction</w:t>
      </w:r>
      <w:r>
        <w:rPr>
          <w:rFonts w:ascii="Arial" w:cs="Arial" w:eastAsia="Arial" w:hAnsi="Arial"/>
          <w:sz w:val="18"/>
          <w:szCs w:val="18"/>
          <w:color w:val="auto"/>
        </w:rPr>
        <w:t>. The language used in this Agreement will be deemed to be the language chosen by the parties thereto express their mutual intent, and no rules of strict construction will be applied against any party.</w:t>
      </w:r>
    </w:p>
    <w:p>
      <w:pPr>
        <w:spacing w:after="0" w:line="62" w:lineRule="exact"/>
        <w:rPr>
          <w:rFonts w:ascii="Arial" w:cs="Arial" w:eastAsia="Arial" w:hAnsi="Arial"/>
          <w:sz w:val="18"/>
          <w:szCs w:val="18"/>
          <w:color w:val="auto"/>
        </w:rPr>
      </w:pPr>
    </w:p>
    <w:p>
      <w:pPr>
        <w:ind w:left="4" w:right="20" w:hanging="4"/>
        <w:spacing w:after="0" w:line="263" w:lineRule="auto"/>
        <w:tabs>
          <w:tab w:leader="none" w:pos="219"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is intended by the parties as a final expression of their agreement and intended to be a complete and exclusive statement of the agreement and understanding of the parties hereto in respect of the subject matter contained herein. This Agreement supersedes all prior agreements and understandings between the parties with respect to such subject matter.</w:t>
      </w:r>
    </w:p>
    <w:p>
      <w:pPr>
        <w:spacing w:after="0" w:line="75" w:lineRule="exact"/>
        <w:rPr>
          <w:rFonts w:ascii="Arial" w:cs="Arial" w:eastAsia="Arial" w:hAnsi="Arial"/>
          <w:sz w:val="18"/>
          <w:szCs w:val="18"/>
          <w:color w:val="auto"/>
        </w:rPr>
      </w:pPr>
    </w:p>
    <w:p>
      <w:pPr>
        <w:ind w:left="4" w:right="20" w:hanging="4"/>
        <w:spacing w:after="0" w:line="271" w:lineRule="auto"/>
        <w:tabs>
          <w:tab w:leader="none" w:pos="309" w:val="left"/>
        </w:tabs>
        <w:numPr>
          <w:ilvl w:val="0"/>
          <w:numId w:val="100"/>
        </w:numPr>
        <w:rPr>
          <w:rFonts w:ascii="Arial" w:cs="Arial" w:eastAsia="Arial" w:hAnsi="Arial"/>
          <w:sz w:val="17"/>
          <w:szCs w:val="17"/>
          <w:color w:val="auto"/>
        </w:rPr>
      </w:pPr>
      <w:r>
        <w:rPr>
          <w:rFonts w:ascii="Arial" w:cs="Arial" w:eastAsia="Arial" w:hAnsi="Arial"/>
          <w:sz w:val="17"/>
          <w:szCs w:val="17"/>
          <w:u w:val="single" w:color="auto"/>
          <w:color w:val="auto"/>
        </w:rPr>
        <w:t>Governing Law; Consent to Jurisdiction; Waiver of Jury Trial</w:t>
      </w:r>
      <w:r>
        <w:rPr>
          <w:rFonts w:ascii="Arial" w:cs="Arial" w:eastAsia="Arial" w:hAnsi="Arial"/>
          <w:sz w:val="17"/>
          <w:szCs w:val="17"/>
          <w:color w:val="auto"/>
        </w:rPr>
        <w:t>. All questions concerning the construction, validity, enforcement and interpretation of this Agreement shall be governed by the internal laws of the State of Delaware, without giving effect to any choice of law or conflict of law provision or rule (whether of the State of Delaware or any other jurisdiction) that would cause the application of the laws of any jurisdiction other than the State of Delaware. Each party hereby irrevocably submits to the exclusive jurisdiction of the courts of the State of Delaware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w:t>
      </w:r>
    </w:p>
    <w:p>
      <w:pPr>
        <w:sectPr>
          <w:pgSz w:w="11900" w:h="16838" w:orient="portrait"/>
          <w:cols w:equalWidth="0" w:num="1">
            <w:col w:w="11004"/>
          </w:cols>
          <w:pgMar w:left="436" w:top="274" w:right="459" w:bottom="1440" w:gutter="0" w:footer="0" w:header="0"/>
        </w:sectPr>
      </w:pPr>
    </w:p>
    <w:bookmarkStart w:id="96" w:name="page97"/>
    <w:bookmarkEnd w:id="96"/>
    <w:p>
      <w:pPr>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suit, action or proceeding by mailing a copy thereof to such party at the address for such notices to it under this Agreement and agrees that such service shall constitute good and sufficient service of process and notice thereof. Nothing contained herein shall be deemed to limit in any way any right to serve process in any manner permitted by law. EACH OF THE PARTIES HERETO IRREVOCABLY WAIVES ANY RIGHT TO REQUEST A TRIAL BY JURY FOR THE ADJUDICATION OF ANY DISPUTE HEREUNDER OR IN CONNECTION HEREWITH OR ARISING OUT OF THIS AGREEMENT AND REPRESENTS THAT COUNSEL HAS BEEN CONSULTED SPECIFICALLY AS TO THIS WAIVER.</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intentionally left blank]</w:t>
      </w:r>
    </w:p>
    <w:p>
      <w:pPr>
        <w:sectPr>
          <w:pgSz w:w="11900" w:h="16838" w:orient="portrait"/>
          <w:cols w:equalWidth="0" w:num="1">
            <w:col w:w="10980"/>
          </w:cols>
          <w:pgMar w:left="440" w:top="274" w:right="479" w:bottom="1440" w:gutter="0" w:footer="0" w:header="0"/>
        </w:sectPr>
      </w:pPr>
    </w:p>
    <w:bookmarkStart w:id="97" w:name="page98"/>
    <w:bookmarkEnd w:id="97"/>
    <w:p>
      <w:pPr>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Arial" w:cs="Arial" w:eastAsia="Arial" w:hAnsi="Arial"/>
          <w:sz w:val="18"/>
          <w:szCs w:val="18"/>
          <w:color w:val="auto"/>
        </w:rPr>
        <w:t>, the parties have executed this Agreement or caused their duly authorized officers to execute this Agreement as of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first above written.</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COMPANY: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LARIMAR THERAPEUTICS,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Carole S. Ben-Maimon, M.D.</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President and Chief Executive Officer</w:t>
      </w:r>
    </w:p>
    <w:p>
      <w:pPr>
        <w:sectPr>
          <w:pgSz w:w="11900" w:h="16838" w:orient="portrait"/>
          <w:cols w:equalWidth="0" w:num="1">
            <w:col w:w="10900"/>
          </w:cols>
          <w:pgMar w:left="440" w:top="270" w:right="559" w:bottom="1440" w:gutter="0" w:footer="0" w:header="0"/>
        </w:sectPr>
      </w:pPr>
    </w:p>
    <w:bookmarkStart w:id="98" w:name="page99"/>
    <w:bookmarkEnd w:id="98"/>
    <w:p>
      <w:pPr>
        <w:jc w:val="center"/>
        <w:ind w:right="14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INVESTOR</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308610</wp:posOffset>
            </wp:positionV>
            <wp:extent cx="27946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of 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288925</wp:posOffset>
            </wp:positionV>
            <wp:extent cx="27946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288925</wp:posOffset>
            </wp:positionV>
            <wp:extent cx="27946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Name of Signing Party (Please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288925</wp:posOffset>
            </wp:positionV>
            <wp:extent cx="27946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520"/>
        <w:spacing w:after="0"/>
        <w:rPr>
          <w:sz w:val="20"/>
          <w:szCs w:val="20"/>
          <w:color w:val="auto"/>
        </w:rPr>
      </w:pPr>
      <w:r>
        <w:rPr>
          <w:rFonts w:ascii="Arial" w:cs="Arial" w:eastAsia="Arial" w:hAnsi="Arial"/>
          <w:sz w:val="16"/>
          <w:szCs w:val="16"/>
          <w:color w:val="auto"/>
        </w:rPr>
        <w:t>Title of Signing Party (Please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303530</wp:posOffset>
            </wp:positionV>
            <wp:extent cx="27946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Tax ID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288925</wp:posOffset>
            </wp:positionV>
            <wp:extent cx="27946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Date Signed</w:t>
      </w:r>
    </w:p>
    <w:p>
      <w:pPr>
        <w:sectPr>
          <w:pgSz w:w="11900" w:h="16838" w:orient="portrait"/>
          <w:cols w:equalWidth="0" w:num="1">
            <w:col w:w="9140"/>
          </w:cols>
          <w:pgMar w:left="1440" w:top="270" w:right="1319" w:bottom="1440" w:gutter="0" w:footer="0" w:header="0"/>
        </w:sectPr>
      </w:pPr>
    </w:p>
    <w:bookmarkStart w:id="99" w:name="page100"/>
    <w:bookmarkEnd w:id="9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selling stockholders, which as used herein includes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selling stockholders may use any one or more of the following methods when disposing of shares or interests therein:</w:t>
      </w:r>
    </w:p>
    <w:p>
      <w:pPr>
        <w:spacing w:after="0" w:line="131" w:lineRule="exact"/>
        <w:rPr>
          <w:sz w:val="20"/>
          <w:szCs w:val="20"/>
          <w:color w:val="auto"/>
        </w:rPr>
      </w:pPr>
    </w:p>
    <w:p>
      <w:pPr>
        <w:ind w:left="720" w:hanging="279"/>
        <w:spacing w:after="0"/>
        <w:tabs>
          <w:tab w:leader="none" w:pos="7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117" w:lineRule="exact"/>
        <w:rPr>
          <w:rFonts w:ascii="Arial" w:cs="Arial" w:eastAsia="Arial" w:hAnsi="Arial"/>
          <w:sz w:val="18"/>
          <w:szCs w:val="18"/>
          <w:color w:val="auto"/>
        </w:rPr>
      </w:pPr>
    </w:p>
    <w:p>
      <w:pPr>
        <w:ind w:left="720" w:right="160" w:hanging="279"/>
        <w:spacing w:after="0" w:line="277" w:lineRule="auto"/>
        <w:tabs>
          <w:tab w:leader="none" w:pos="7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shares as agent, but may position and resell a portion of the block as principal to facilitate the transaction;</w:t>
      </w:r>
    </w:p>
    <w:p>
      <w:pPr>
        <w:spacing w:after="0" w:line="62" w:lineRule="exact"/>
        <w:rPr>
          <w:rFonts w:ascii="Arial" w:cs="Arial" w:eastAsia="Arial" w:hAnsi="Arial"/>
          <w:sz w:val="18"/>
          <w:szCs w:val="18"/>
          <w:color w:val="auto"/>
        </w:rPr>
      </w:pPr>
    </w:p>
    <w:p>
      <w:pPr>
        <w:ind w:left="720" w:hanging="279"/>
        <w:spacing w:after="0"/>
        <w:tabs>
          <w:tab w:leader="none" w:pos="7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117" w:lineRule="exact"/>
        <w:rPr>
          <w:rFonts w:ascii="Arial" w:cs="Arial" w:eastAsia="Arial" w:hAnsi="Arial"/>
          <w:sz w:val="18"/>
          <w:szCs w:val="18"/>
          <w:color w:val="auto"/>
        </w:rPr>
      </w:pPr>
    </w:p>
    <w:p>
      <w:pPr>
        <w:ind w:left="720" w:hanging="279"/>
        <w:spacing w:after="0"/>
        <w:tabs>
          <w:tab w:leader="none" w:pos="7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117" w:lineRule="exact"/>
        <w:rPr>
          <w:rFonts w:ascii="Arial" w:cs="Arial" w:eastAsia="Arial" w:hAnsi="Arial"/>
          <w:sz w:val="18"/>
          <w:szCs w:val="18"/>
          <w:color w:val="auto"/>
        </w:rPr>
      </w:pPr>
    </w:p>
    <w:p>
      <w:pPr>
        <w:ind w:left="720" w:hanging="279"/>
        <w:spacing w:after="0"/>
        <w:tabs>
          <w:tab w:leader="none" w:pos="7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117" w:lineRule="exact"/>
        <w:rPr>
          <w:rFonts w:ascii="Arial" w:cs="Arial" w:eastAsia="Arial" w:hAnsi="Arial"/>
          <w:sz w:val="18"/>
          <w:szCs w:val="18"/>
          <w:color w:val="auto"/>
        </w:rPr>
      </w:pPr>
    </w:p>
    <w:p>
      <w:pPr>
        <w:ind w:left="720" w:hanging="279"/>
        <w:spacing w:after="0"/>
        <w:tabs>
          <w:tab w:leader="none" w:pos="7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short sales effected after the date the registration statement of which this prospectus is a part is declared effective by the SEC;</w:t>
      </w:r>
    </w:p>
    <w:p>
      <w:pPr>
        <w:spacing w:after="0" w:line="117" w:lineRule="exact"/>
        <w:rPr>
          <w:rFonts w:ascii="Arial" w:cs="Arial" w:eastAsia="Arial" w:hAnsi="Arial"/>
          <w:sz w:val="18"/>
          <w:szCs w:val="18"/>
          <w:color w:val="auto"/>
        </w:rPr>
      </w:pPr>
    </w:p>
    <w:p>
      <w:pPr>
        <w:ind w:left="720" w:hanging="279"/>
        <w:spacing w:after="0"/>
        <w:tabs>
          <w:tab w:leader="none" w:pos="7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117" w:lineRule="exact"/>
        <w:rPr>
          <w:rFonts w:ascii="Arial" w:cs="Arial" w:eastAsia="Arial" w:hAnsi="Arial"/>
          <w:sz w:val="18"/>
          <w:szCs w:val="18"/>
          <w:color w:val="auto"/>
        </w:rPr>
      </w:pPr>
    </w:p>
    <w:p>
      <w:pPr>
        <w:ind w:left="720" w:hanging="279"/>
        <w:spacing w:after="0"/>
        <w:tabs>
          <w:tab w:leader="none" w:pos="7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broker-dealers may agree with the selling stockholders to sell a specified number of such shares at a stipulated price per share;</w:t>
      </w:r>
    </w:p>
    <w:p>
      <w:pPr>
        <w:spacing w:after="0" w:line="117" w:lineRule="exact"/>
        <w:rPr>
          <w:rFonts w:ascii="Arial" w:cs="Arial" w:eastAsia="Arial" w:hAnsi="Arial"/>
          <w:sz w:val="18"/>
          <w:szCs w:val="18"/>
          <w:color w:val="auto"/>
        </w:rPr>
      </w:pPr>
    </w:p>
    <w:p>
      <w:pPr>
        <w:ind w:left="720" w:hanging="279"/>
        <w:spacing w:after="0"/>
        <w:tabs>
          <w:tab w:leader="none" w:pos="7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 combination of any such methods of sale; and</w:t>
      </w:r>
    </w:p>
    <w:p>
      <w:pPr>
        <w:spacing w:after="0" w:line="117" w:lineRule="exact"/>
        <w:rPr>
          <w:rFonts w:ascii="Arial" w:cs="Arial" w:eastAsia="Arial" w:hAnsi="Arial"/>
          <w:sz w:val="18"/>
          <w:szCs w:val="18"/>
          <w:color w:val="auto"/>
        </w:rPr>
      </w:pPr>
    </w:p>
    <w:p>
      <w:pPr>
        <w:ind w:left="720" w:hanging="279"/>
        <w:spacing w:after="0"/>
        <w:tabs>
          <w:tab w:leader="none" w:pos="7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other method permitted by applicable law.</w:t>
      </w:r>
    </w:p>
    <w:p>
      <w:pPr>
        <w:spacing w:after="0" w:line="225" w:lineRule="exact"/>
        <w:rPr>
          <w:sz w:val="20"/>
          <w:szCs w:val="20"/>
          <w:color w:val="auto"/>
        </w:rPr>
      </w:pPr>
    </w:p>
    <w:p>
      <w:pPr>
        <w:jc w:val="both"/>
        <w:ind w:right="40"/>
        <w:spacing w:after="0" w:line="286" w:lineRule="auto"/>
        <w:rPr>
          <w:sz w:val="20"/>
          <w:szCs w:val="20"/>
          <w:color w:val="auto"/>
        </w:rPr>
      </w:pPr>
      <w:r>
        <w:rPr>
          <w:rFonts w:ascii="Arial" w:cs="Arial" w:eastAsia="Arial" w:hAnsi="Arial"/>
          <w:sz w:val="16"/>
          <w:szCs w:val="16"/>
          <w:color w:val="auto"/>
        </w:rPr>
        <w:t>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or supplement to this prospectus under Rule 424(b)(3) or other applicable provision of the 1933 Act amending the list of selling stockholders to include the pledgee, transferee or other successors in interest as selling stockholders under this prospectus.</w:t>
      </w:r>
    </w:p>
    <w:p>
      <w:pPr>
        <w:spacing w:after="0" w:line="1" w:lineRule="exact"/>
        <w:rPr>
          <w:sz w:val="20"/>
          <w:szCs w:val="20"/>
          <w:color w:val="auto"/>
        </w:rPr>
      </w:pPr>
    </w:p>
    <w:p>
      <w:pPr>
        <w:ind w:right="760"/>
        <w:spacing w:after="0" w:line="260" w:lineRule="auto"/>
        <w:rPr>
          <w:sz w:val="20"/>
          <w:szCs w:val="20"/>
          <w:color w:val="auto"/>
        </w:rPr>
      </w:pPr>
      <w:r>
        <w:rPr>
          <w:rFonts w:ascii="Arial" w:cs="Arial" w:eastAsia="Arial" w:hAnsi="Arial"/>
          <w:sz w:val="18"/>
          <w:szCs w:val="18"/>
          <w:color w:val="auto"/>
        </w:rPr>
        <w:t>The selling stockholders also may transfer the shares of common stock in other circumstances, in which case the transferees, pledgees or other successors in interest will be the selling beneficial owners for purposes of this prospectus.</w:t>
      </w:r>
    </w:p>
    <w:p>
      <w:pPr>
        <w:spacing w:after="0" w:line="18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connection with the sale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(supplemented or amended as necessary to reflect such transaction).</w:t>
      </w:r>
    </w:p>
    <w:p>
      <w:pPr>
        <w:sectPr>
          <w:pgSz w:w="11900" w:h="16838" w:orient="portrait"/>
          <w:cols w:equalWidth="0" w:num="1">
            <w:col w:w="11000"/>
          </w:cols>
          <w:pgMar w:left="440" w:top="270" w:right="459" w:bottom="1440" w:gutter="0" w:footer="0" w:header="0"/>
        </w:sectPr>
      </w:pPr>
    </w:p>
    <w:bookmarkStart w:id="100" w:name="page101"/>
    <w:bookmarkEnd w:id="100"/>
    <w:p>
      <w:pPr>
        <w:ind w:left="4"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this offering.</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17"/>
          <w:szCs w:val="17"/>
          <w:color w:val="auto"/>
        </w:rPr>
        <w:t>The selling stockholders also may resell all or a portion of the shares in open market transactions in reliance upon Rule 144 under the 1933 Act</w:t>
      </w:r>
    </w:p>
    <w:p>
      <w:pPr>
        <w:spacing w:after="0" w:line="237" w:lineRule="exact"/>
        <w:rPr>
          <w:sz w:val="20"/>
          <w:szCs w:val="20"/>
          <w:color w:val="auto"/>
        </w:rPr>
      </w:pPr>
    </w:p>
    <w:p>
      <w:pPr>
        <w:ind w:left="4" w:right="20"/>
        <w:spacing w:after="0" w:line="273" w:lineRule="auto"/>
        <w:rPr>
          <w:sz w:val="20"/>
          <w:szCs w:val="20"/>
          <w:color w:val="auto"/>
        </w:rPr>
      </w:pPr>
      <w:r>
        <w:rPr>
          <w:rFonts w:ascii="Arial" w:cs="Arial" w:eastAsia="Arial" w:hAnsi="Arial"/>
          <w:sz w:val="17"/>
          <w:szCs w:val="17"/>
          <w:color w:val="auto"/>
        </w:rPr>
        <w:t>The selling stockholders and any underwriters, broker-dealers or agents that participate in the sale of the common stock or interests therein may be deemed to be “underwriters” within the meaning of Section 2(11) of the 1933 Act. Any discounts, commissions, concessions or profit they earn on any resale of the shares may be underwriting discounts and commissions under the 1933 Act. To the extent required, the shares of our common stock to be sold, the names of the selling stockholders, the respective purchase prices and public offering prices, the names of any agents, dealer or underwriter, any applicable commissions or discounts with respect to a particular offer will be set forth in an accompanying prospectus supplement or, if appropriate, a post-effective amendment to the registration statement that includes this prospectus.</w:t>
      </w:r>
    </w:p>
    <w:p>
      <w:pPr>
        <w:spacing w:after="0" w:line="178" w:lineRule="exact"/>
        <w:rPr>
          <w:sz w:val="20"/>
          <w:szCs w:val="20"/>
          <w:color w:val="auto"/>
        </w:rPr>
      </w:pPr>
    </w:p>
    <w:p>
      <w:pPr>
        <w:ind w:left="4"/>
        <w:spacing w:after="0" w:line="273" w:lineRule="auto"/>
        <w:rPr>
          <w:sz w:val="20"/>
          <w:szCs w:val="20"/>
          <w:color w:val="auto"/>
        </w:rPr>
      </w:pPr>
      <w:r>
        <w:rPr>
          <w:rFonts w:ascii="Arial" w:cs="Arial" w:eastAsia="Arial" w:hAnsi="Arial"/>
          <w:sz w:val="17"/>
          <w:szCs w:val="17"/>
          <w:color w:val="auto"/>
        </w:rPr>
        <w:t>In order to comply with the securities laws of some states, if applicable, the common stock may be sold in these jurisdictions only through registered or licensed brokers or dealers. We have advised the selling stockholders that the anti-manipulation rules of Regulation M under the 1934 Act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any prospectus delivery requirements of the 1933 Act. The selling stockholders may indemnify any broker-dealer that participates in transactions involving the sale of the shares against certain liabilities, including liabilities arising under the 1933 Act.</w:t>
      </w:r>
    </w:p>
    <w:p>
      <w:pPr>
        <w:spacing w:after="0" w:line="178" w:lineRule="exact"/>
        <w:rPr>
          <w:sz w:val="20"/>
          <w:szCs w:val="20"/>
          <w:color w:val="auto"/>
        </w:rPr>
      </w:pPr>
    </w:p>
    <w:p>
      <w:pPr>
        <w:ind w:left="4" w:right="80"/>
        <w:spacing w:after="0" w:line="277" w:lineRule="auto"/>
        <w:rPr>
          <w:sz w:val="20"/>
          <w:szCs w:val="20"/>
          <w:color w:val="auto"/>
        </w:rPr>
      </w:pPr>
      <w:r>
        <w:rPr>
          <w:rFonts w:ascii="Arial" w:cs="Arial" w:eastAsia="Arial" w:hAnsi="Arial"/>
          <w:sz w:val="18"/>
          <w:szCs w:val="18"/>
          <w:color w:val="auto"/>
        </w:rPr>
        <w:t>We have agreed to indemnify the selling stockholders against liabilities, including liabilities under the 1933 Act and state securities laws, relating to the registration of the shares offered by this prospectus.</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6"/>
          <w:szCs w:val="16"/>
          <w:color w:val="auto"/>
        </w:rPr>
        <w:t>We have agreed with the selling stockholders to keep the registration statement of which this prospectus constitutes a part effective until the earlier of</w:t>
      </w:r>
    </w:p>
    <w:p>
      <w:pPr>
        <w:spacing w:after="0" w:line="46" w:lineRule="exact"/>
        <w:rPr>
          <w:sz w:val="20"/>
          <w:szCs w:val="20"/>
          <w:color w:val="auto"/>
        </w:rPr>
      </w:pPr>
    </w:p>
    <w:p>
      <w:pPr>
        <w:ind w:left="264" w:hanging="264"/>
        <w:spacing w:after="0"/>
        <w:tabs>
          <w:tab w:leader="none" w:pos="264" w:val="left"/>
        </w:tabs>
        <w:numPr>
          <w:ilvl w:val="0"/>
          <w:numId w:val="102"/>
        </w:numPr>
        <w:rPr>
          <w:rFonts w:ascii="Arial" w:cs="Arial" w:eastAsia="Arial" w:hAnsi="Arial"/>
          <w:sz w:val="16"/>
          <w:szCs w:val="16"/>
          <w:color w:val="auto"/>
        </w:rPr>
      </w:pPr>
      <w:r>
        <w:rPr>
          <w:rFonts w:ascii="Arial" w:cs="Arial" w:eastAsia="Arial" w:hAnsi="Arial"/>
          <w:sz w:val="16"/>
          <w:szCs w:val="16"/>
          <w:color w:val="auto"/>
        </w:rPr>
        <w:t>such time as all of the shares covered by this prospectus have been disposed of pursuant to and in accordance with such registration statement or</w:t>
      </w:r>
    </w:p>
    <w:p>
      <w:pPr>
        <w:spacing w:after="0" w:line="32" w:lineRule="exact"/>
        <w:rPr>
          <w:rFonts w:ascii="Arial" w:cs="Arial" w:eastAsia="Arial" w:hAnsi="Arial"/>
          <w:sz w:val="16"/>
          <w:szCs w:val="16"/>
          <w:color w:val="auto"/>
        </w:rPr>
      </w:pPr>
    </w:p>
    <w:p>
      <w:pPr>
        <w:ind w:left="4" w:right="20" w:hanging="4"/>
        <w:spacing w:after="0" w:line="260" w:lineRule="auto"/>
        <w:tabs>
          <w:tab w:leader="none" w:pos="259"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date on which all of the shares may be sold by the selling stockholders without restriction (including any current public information requirement) pursuant to Rule 144 of the 1933 Act.</w:t>
      </w:r>
    </w:p>
    <w:sectPr>
      <w:pgSz w:w="11900" w:h="16838" w:orient="portrait"/>
      <w:cols w:equalWidth="0" w:num="1">
        <w:col w:w="10984"/>
      </w:cols>
      <w:pgMar w:left="436" w:top="2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A1DEAA"/>
    <w:multiLevelType w:val="hybridMultilevel"/>
    <w:lvl w:ilvl="0">
      <w:lvlJc w:val="left"/>
      <w:lvlText w:val="☐"/>
      <w:numFmt w:val="bullet"/>
      <w:start w:val="1"/>
    </w:lvl>
  </w:abstractNum>
  <w:abstractNum w:abstractNumId="1">
    <w:nsid w:val="75C6C33A"/>
    <w:multiLevelType w:val="hybridMultilevel"/>
    <w:lvl w:ilvl="0">
      <w:lvlJc w:val="left"/>
      <w:lvlText w:val="%1."/>
      <w:numFmt w:val="decimal"/>
      <w:start w:val="1"/>
    </w:lvl>
    <w:lvl w:ilvl="1">
      <w:lvlJc w:val="left"/>
      <w:lvlText w:val="(%2)"/>
      <w:numFmt w:val="lowerLetter"/>
      <w:start w:val="1"/>
    </w:lvl>
  </w:abstractNum>
  <w:abstractNum w:abstractNumId="2">
    <w:nsid w:val="12E685FB"/>
    <w:multiLevelType w:val="hybridMultilevel"/>
    <w:lvl w:ilvl="0">
      <w:lvlJc w:val="left"/>
      <w:lvlText w:val="(%1)"/>
      <w:numFmt w:val="lowerLetter"/>
      <w:start w:val="2"/>
    </w:lvl>
  </w:abstractNum>
  <w:abstractNum w:abstractNumId="3">
    <w:nsid w:val="70C6A529"/>
    <w:multiLevelType w:val="hybridMultilevel"/>
    <w:lvl w:ilvl="0">
      <w:lvlJc w:val="left"/>
      <w:lvlText w:val="%1"/>
      <w:numFmt w:val="upperLetter"/>
      <w:start w:val="1"/>
    </w:lvl>
    <w:lvl w:ilvl="1">
      <w:lvlJc w:val="left"/>
      <w:lvlText w:val="(%2)"/>
      <w:numFmt w:val="lowerLetter"/>
      <w:start w:val="3"/>
    </w:lvl>
  </w:abstractNum>
  <w:abstractNum w:abstractNumId="4">
    <w:nsid w:val="520EEDD1"/>
    <w:multiLevelType w:val="hybridMultilevel"/>
    <w:lvl w:ilvl="0">
      <w:lvlJc w:val="left"/>
      <w:lvlText w:val="(%1)"/>
      <w:numFmt w:val="upperLetter"/>
      <w:start w:val="1"/>
    </w:lvl>
    <w:lvl w:ilvl="1">
      <w:lvlJc w:val="left"/>
      <w:lvlText w:val="(%2)"/>
      <w:numFmt w:val="lowerLetter"/>
      <w:start w:val="4"/>
    </w:lvl>
  </w:abstractNum>
  <w:abstractNum w:abstractNumId="5">
    <w:nsid w:val="374A3FE6"/>
    <w:multiLevelType w:val="hybridMultilevel"/>
    <w:lvl w:ilvl="0">
      <w:lvlJc w:val="left"/>
      <w:lvlText w:val="(%1)"/>
      <w:numFmt w:val="lowerLetter"/>
      <w:start w:val="5"/>
    </w:lvl>
  </w:abstractNum>
  <w:abstractNum w:abstractNumId="6">
    <w:nsid w:val="4F4EF005"/>
    <w:multiLevelType w:val="hybridMultilevel"/>
    <w:lvl w:ilvl="0">
      <w:lvlJc w:val="left"/>
      <w:lvlText w:val="(%1)"/>
      <w:numFmt w:val="lowerLetter"/>
      <w:start w:val="7"/>
    </w:lvl>
    <w:lvl w:ilvl="1">
      <w:lvlJc w:val="left"/>
      <w:lvlText w:val="(%2)"/>
      <w:numFmt w:val="decimal"/>
      <w:start w:val="1"/>
    </w:lvl>
  </w:abstractNum>
  <w:abstractNum w:abstractNumId="7">
    <w:nsid w:val="23F9C13C"/>
    <w:multiLevelType w:val="hybridMultilevel"/>
    <w:lvl w:ilvl="0">
      <w:lvlJc w:val="left"/>
      <w:lvlText w:val="%1"/>
      <w:numFmt w:val="decimal"/>
      <w:start w:val="1"/>
    </w:lvl>
    <w:lvl w:ilvl="1">
      <w:lvlJc w:val="left"/>
      <w:lvlText w:val="(%2)"/>
      <w:numFmt w:val="decimal"/>
      <w:start w:val="2"/>
    </w:lvl>
  </w:abstractNum>
  <w:abstractNum w:abstractNumId="8">
    <w:nsid w:val="649BB77C"/>
    <w:multiLevelType w:val="hybridMultilevel"/>
    <w:lvl w:ilvl="0">
      <w:lvlJc w:val="left"/>
      <w:lvlText w:val="%1."/>
      <w:numFmt w:val="decimal"/>
      <w:start w:val="2"/>
    </w:lvl>
    <w:lvl w:ilvl="1">
      <w:lvlJc w:val="left"/>
      <w:lvlText w:val="%2"/>
      <w:numFmt w:val="decimal"/>
      <w:start w:val="1"/>
    </w:lvl>
  </w:abstractNum>
  <w:abstractNum w:abstractNumId="9">
    <w:nsid w:val="275AC794"/>
    <w:multiLevelType w:val="hybridMultilevel"/>
    <w:lvl w:ilvl="0">
      <w:lvlJc w:val="left"/>
      <w:lvlText w:val="%1."/>
      <w:numFmt w:val="decimal"/>
      <w:start w:val="4"/>
    </w:lvl>
    <w:lvl w:ilvl="1">
      <w:lvlJc w:val="left"/>
      <w:lvlText w:val="(%2)"/>
      <w:numFmt w:val="lowerLetter"/>
      <w:start w:val="1"/>
    </w:lvl>
  </w:abstractNum>
  <w:abstractNum w:abstractNumId="10">
    <w:nsid w:val="39386575"/>
    <w:multiLevelType w:val="hybridMultilevel"/>
    <w:lvl w:ilvl="0">
      <w:lvlJc w:val="left"/>
      <w:lvlText w:val="%1."/>
      <w:numFmt w:val="decimal"/>
      <w:start w:val="5"/>
    </w:lvl>
  </w:abstractNum>
  <w:abstractNum w:abstractNumId="11">
    <w:nsid w:val="1CF10FD8"/>
    <w:multiLevelType w:val="hybridMultilevel"/>
    <w:lvl w:ilvl="0">
      <w:lvlJc w:val="left"/>
      <w:lvlText w:val="%1."/>
      <w:numFmt w:val="decimal"/>
      <w:start w:val="7"/>
    </w:lvl>
    <w:lvl w:ilvl="1">
      <w:lvlJc w:val="left"/>
      <w:lvlText w:val="(%2)"/>
      <w:numFmt w:val="lowerLetter"/>
      <w:start w:val="1"/>
    </w:lvl>
  </w:abstractNum>
  <w:abstractNum w:abstractNumId="12">
    <w:nsid w:val="180115BE"/>
    <w:multiLevelType w:val="hybridMultilevel"/>
    <w:lvl w:ilvl="0">
      <w:lvlJc w:val="left"/>
      <w:lvlText w:val="%1"/>
      <w:numFmt w:val="decimal"/>
      <w:start w:val="1"/>
    </w:lvl>
    <w:lvl w:ilvl="1">
      <w:lvlJc w:val="left"/>
      <w:lvlText w:val="(%2)"/>
      <w:numFmt w:val="lowerLetter"/>
      <w:start w:val="2"/>
    </w:lvl>
  </w:abstractNum>
  <w:abstractNum w:abstractNumId="13">
    <w:nsid w:val="235BA861"/>
    <w:multiLevelType w:val="hybridMultilevel"/>
    <w:lvl w:ilvl="0">
      <w:lvlJc w:val="left"/>
      <w:lvlText w:val="(%1)"/>
      <w:numFmt w:val="decimal"/>
      <w:start w:val="6"/>
    </w:lvl>
    <w:lvl w:ilvl="1">
      <w:lvlJc w:val="left"/>
      <w:lvlText w:val="%2"/>
      <w:numFmt w:val="lowerLetter"/>
      <w:start w:val="1"/>
    </w:lvl>
  </w:abstractNum>
  <w:abstractNum w:abstractNumId="14">
    <w:nsid w:val="47398C89"/>
    <w:multiLevelType w:val="hybridMultilevel"/>
    <w:lvl w:ilvl="0">
      <w:lvlJc w:val="left"/>
      <w:lvlText w:val="%1"/>
      <w:numFmt w:val="upperLetter"/>
      <w:start w:val="1"/>
    </w:lvl>
    <w:lvl w:ilvl="1">
      <w:lvlJc w:val="left"/>
      <w:lvlText w:val="%2."/>
      <w:numFmt w:val="decimal"/>
      <w:start w:val="8"/>
    </w:lvl>
    <w:lvl w:ilvl="2">
      <w:lvlJc w:val="left"/>
      <w:lvlText w:val="(%3)"/>
      <w:numFmt w:val="lowerLetter"/>
      <w:start w:val="1"/>
    </w:lvl>
  </w:abstractNum>
  <w:abstractNum w:abstractNumId="15">
    <w:nsid w:val="354FE9F9"/>
    <w:multiLevelType w:val="hybridMultilevel"/>
    <w:lvl w:ilvl="0">
      <w:lvlJc w:val="left"/>
      <w:lvlText w:val="(%1)"/>
      <w:numFmt w:val="upperLetter"/>
      <w:start w:val="3"/>
    </w:lvl>
    <w:lvl w:ilvl="1">
      <w:lvlJc w:val="left"/>
      <w:lvlText w:val="%2"/>
      <w:numFmt w:val="decimal"/>
      <w:start w:val="1"/>
    </w:lvl>
    <w:lvl w:ilvl="2">
      <w:lvlJc w:val="left"/>
      <w:lvlText w:val="%3"/>
      <w:numFmt w:val="lowerLetter"/>
      <w:start w:val="1"/>
    </w:lvl>
  </w:abstractNum>
  <w:abstractNum w:abstractNumId="16">
    <w:nsid w:val="15B5AF5C"/>
    <w:multiLevelType w:val="hybridMultilevel"/>
    <w:lvl w:ilvl="0">
      <w:lvlJc w:val="left"/>
      <w:lvlText w:val="%1"/>
      <w:numFmt w:val="lowerLetter"/>
      <w:start w:val="1"/>
    </w:lvl>
    <w:lvl w:ilvl="1">
      <w:lvlJc w:val="left"/>
      <w:lvlText w:val="%2."/>
      <w:numFmt w:val="decimal"/>
      <w:start w:val="10"/>
    </w:lvl>
  </w:abstractNum>
  <w:abstractNum w:abstractNumId="17">
    <w:nsid w:val="741226BB"/>
    <w:multiLevelType w:val="hybridMultilevel"/>
    <w:lvl w:ilvl="0">
      <w:lvlJc w:val="left"/>
      <w:lvlText w:val="(%1)"/>
      <w:numFmt w:val="lowerLetter"/>
      <w:start w:val="1"/>
    </w:lvl>
    <w:lvl w:ilvl="1">
      <w:lvlJc w:val="left"/>
      <w:lvlText w:val="%2."/>
      <w:numFmt w:val="decimal"/>
      <w:start w:val="13"/>
    </w:lvl>
  </w:abstractNum>
  <w:abstractNum w:abstractNumId="18">
    <w:nsid w:val="D34B6A8"/>
    <w:multiLevelType w:val="hybridMultilevel"/>
    <w:lvl w:ilvl="0">
      <w:lvlJc w:val="left"/>
      <w:lvlText w:val="%1."/>
      <w:numFmt w:val="decimal"/>
      <w:start w:val="14"/>
    </w:lvl>
    <w:lvl w:ilvl="1">
      <w:lvlJc w:val="left"/>
      <w:lvlText w:val="(%2)"/>
      <w:numFmt w:val="lowerLetter"/>
      <w:start w:val="1"/>
    </w:lvl>
  </w:abstractNum>
  <w:abstractNum w:abstractNumId="19">
    <w:nsid w:val="10233C99"/>
    <w:multiLevelType w:val="hybridMultilevel"/>
    <w:lvl w:ilvl="0">
      <w:lvlJc w:val="left"/>
      <w:lvlText w:val="(%1)"/>
      <w:numFmt w:val="lowerLetter"/>
      <w:start w:val="3"/>
    </w:lvl>
  </w:abstractNum>
  <w:abstractNum w:abstractNumId="20">
    <w:nsid w:val="3F6AB60F"/>
    <w:multiLevelType w:val="hybridMultilevel"/>
    <w:lvl w:ilvl="0">
      <w:lvlJc w:val="left"/>
      <w:lvlText w:val="(%1)"/>
      <w:numFmt w:val="lowerLetter"/>
      <w:start w:val="8"/>
    </w:lvl>
  </w:abstractNum>
  <w:abstractNum w:abstractNumId="21">
    <w:nsid w:val="61574095"/>
    <w:multiLevelType w:val="hybridMultilevel"/>
    <w:lvl w:ilvl="0">
      <w:lvlJc w:val="left"/>
      <w:lvlText w:val="%1."/>
      <w:numFmt w:val="decimal"/>
      <w:start w:val="1"/>
    </w:lvl>
  </w:abstractNum>
  <w:abstractNum w:abstractNumId="22">
    <w:nsid w:val="7E0C57B1"/>
    <w:multiLevelType w:val="hybridMultilevel"/>
    <w:lvl w:ilvl="0">
      <w:lvlJc w:val="left"/>
      <w:lvlText w:val="%1."/>
      <w:numFmt w:val="decimal"/>
      <w:start w:val="1"/>
    </w:lvl>
  </w:abstractNum>
  <w:abstractNum w:abstractNumId="23">
    <w:nsid w:val="77AE35EB"/>
    <w:multiLevelType w:val="hybridMultilevel"/>
    <w:lvl w:ilvl="0">
      <w:lvlJc w:val="left"/>
      <w:lvlText w:val="(%1)"/>
      <w:numFmt w:val="decimal"/>
      <w:start w:val="2"/>
    </w:lvl>
  </w:abstractNum>
  <w:abstractNum w:abstractNumId="24">
    <w:nsid w:val="579BE4F1"/>
    <w:multiLevelType w:val="hybridMultilevel"/>
    <w:lvl w:ilvl="0">
      <w:lvlJc w:val="left"/>
      <w:lvlText w:val="(%1)"/>
      <w:numFmt w:val="lowerLetter"/>
      <w:start w:val="1"/>
    </w:lvl>
    <w:lvl w:ilvl="1">
      <w:lvlJc w:val="left"/>
      <w:lvlText w:val="(%2)"/>
      <w:numFmt w:val="lowerRoman"/>
      <w:start w:val="1"/>
    </w:lvl>
  </w:abstractNum>
  <w:abstractNum w:abstractNumId="25">
    <w:nsid w:val="310C50B3"/>
    <w:multiLevelType w:val="hybridMultilevel"/>
    <w:lvl w:ilvl="0">
      <w:lvlJc w:val="left"/>
      <w:lvlText w:val="(%1)"/>
      <w:numFmt w:val="lowerLetter"/>
      <w:start w:val="1"/>
    </w:lvl>
    <w:lvl w:ilvl="1">
      <w:lvlJc w:val="left"/>
      <w:lvlText w:val="(%2)"/>
      <w:numFmt w:val="lowerLetter"/>
      <w:start w:val="9"/>
    </w:lvl>
  </w:abstractNum>
  <w:abstractNum w:abstractNumId="26">
    <w:nsid w:val="5FF87E05"/>
    <w:multiLevelType w:val="hybridMultilevel"/>
    <w:lvl w:ilvl="0">
      <w:lvlJc w:val="left"/>
      <w:lvlText w:val="%1"/>
      <w:numFmt w:val="lowerLetter"/>
      <w:start w:val="1"/>
    </w:lvl>
    <w:lvl w:ilvl="1">
      <w:lvlJc w:val="left"/>
      <w:lvlText w:val="(%2)"/>
      <w:numFmt w:val="lowerRoman"/>
      <w:start w:val="2"/>
    </w:lvl>
  </w:abstractNum>
  <w:abstractNum w:abstractNumId="27">
    <w:nsid w:val="2F305DEF"/>
    <w:multiLevelType w:val="hybridMultilevel"/>
    <w:lvl w:ilvl="0">
      <w:lvlJc w:val="left"/>
      <w:lvlText w:val="(%1)"/>
      <w:numFmt w:val="lowerLetter"/>
      <w:start w:val="2"/>
    </w:lvl>
    <w:lvl w:ilvl="1">
      <w:lvlJc w:val="left"/>
      <w:lvlText w:val="(%2)"/>
      <w:numFmt w:val="lowerRoman"/>
      <w:start w:val="1"/>
    </w:lvl>
  </w:abstractNum>
  <w:abstractNum w:abstractNumId="28">
    <w:nsid w:val="25A70BF7"/>
    <w:multiLevelType w:val="hybridMultilevel"/>
    <w:lvl w:ilvl="0">
      <w:lvlJc w:val="left"/>
      <w:lvlText w:val="(%1)"/>
      <w:numFmt w:val="lowerLetter"/>
      <w:start w:val="1"/>
    </w:lvl>
  </w:abstractNum>
  <w:abstractNum w:abstractNumId="29">
    <w:nsid w:val="1DBABF00"/>
    <w:multiLevelType w:val="hybridMultilevel"/>
    <w:lvl w:ilvl="0">
      <w:lvlJc w:val="left"/>
      <w:lvlText w:val="(%1)"/>
      <w:numFmt w:val="lowerLetter"/>
      <w:start w:val="1"/>
    </w:lvl>
  </w:abstractNum>
  <w:abstractNum w:abstractNumId="30">
    <w:nsid w:val="4AD084E9"/>
    <w:multiLevelType w:val="hybridMultilevel"/>
    <w:lvl w:ilvl="0">
      <w:lvlJc w:val="left"/>
      <w:lvlText w:val="(%1)"/>
      <w:numFmt w:val="lowerLetter"/>
      <w:start w:val="2"/>
    </w:lvl>
  </w:abstractNum>
  <w:abstractNum w:abstractNumId="31">
    <w:nsid w:val="1F48EAA1"/>
    <w:multiLevelType w:val="hybridMultilevel"/>
    <w:lvl w:ilvl="0">
      <w:lvlJc w:val="left"/>
      <w:lvlText w:val="%1"/>
      <w:numFmt w:val="lowerRoman"/>
      <w:start w:val="1"/>
    </w:lvl>
    <w:lvl w:ilvl="1">
      <w:lvlJc w:val="left"/>
      <w:lvlText w:val="(%2)"/>
      <w:numFmt w:val="lowerLetter"/>
      <w:start w:val="1"/>
    </w:lvl>
  </w:abstractNum>
  <w:abstractNum w:abstractNumId="32">
    <w:nsid w:val="1381823A"/>
    <w:multiLevelType w:val="hybridMultilevel"/>
    <w:lvl w:ilvl="0">
      <w:lvlJc w:val="left"/>
      <w:lvlText w:val="(%1)"/>
      <w:numFmt w:val="lowerRoman"/>
      <w:start w:val="2"/>
    </w:lvl>
    <w:lvl w:ilvl="1">
      <w:lvlJc w:val="left"/>
      <w:lvlText w:val="%2"/>
      <w:numFmt w:val="lowerLetter"/>
      <w:start w:val="1"/>
    </w:lvl>
  </w:abstractNum>
  <w:abstractNum w:abstractNumId="33">
    <w:nsid w:val="5DB70AE5"/>
    <w:multiLevelType w:val="hybridMultilevel"/>
    <w:lvl w:ilvl="0">
      <w:lvlJc w:val="left"/>
      <w:lvlText w:val="(%1)"/>
      <w:numFmt w:val="lowerRoman"/>
      <w:start w:val="4"/>
    </w:lvl>
    <w:lvl w:ilvl="1">
      <w:lvlJc w:val="left"/>
      <w:lvlText w:val="(%2)"/>
      <w:numFmt w:val="lowerLetter"/>
      <w:start w:val="2"/>
    </w:lvl>
  </w:abstractNum>
  <w:abstractNum w:abstractNumId="34">
    <w:nsid w:val="100F8FCA"/>
    <w:multiLevelType w:val="hybridMultilevel"/>
    <w:lvl w:ilvl="0">
      <w:lvlJc w:val="left"/>
      <w:lvlText w:val="(%1)"/>
      <w:numFmt w:val="lowerLetter"/>
      <w:start w:val="1"/>
    </w:lvl>
  </w:abstractNum>
  <w:abstractNum w:abstractNumId="35">
    <w:nsid w:val="6590700B"/>
    <w:multiLevelType w:val="hybridMultilevel"/>
    <w:lvl w:ilvl="0">
      <w:lvlJc w:val="left"/>
      <w:lvlText w:val="(%1)"/>
      <w:numFmt w:val="lowerLetter"/>
      <w:start w:val="2"/>
    </w:lvl>
  </w:abstractNum>
  <w:abstractNum w:abstractNumId="36">
    <w:nsid w:val="15014ACB"/>
    <w:multiLevelType w:val="hybridMultilevel"/>
    <w:lvl w:ilvl="0">
      <w:lvlJc w:val="left"/>
      <w:lvlText w:val="(%1)"/>
      <w:numFmt w:val="lowerLetter"/>
      <w:start w:val="1"/>
    </w:lvl>
  </w:abstractNum>
  <w:abstractNum w:abstractNumId="37">
    <w:nsid w:val="5F5E7FD0"/>
    <w:multiLevelType w:val="hybridMultilevel"/>
    <w:lvl w:ilvl="0">
      <w:lvlJc w:val="left"/>
      <w:lvlText w:val="(%1)"/>
      <w:numFmt w:val="lowerLetter"/>
      <w:start w:val="4"/>
    </w:lvl>
  </w:abstractNum>
  <w:abstractNum w:abstractNumId="38">
    <w:nsid w:val="98A3148"/>
    <w:multiLevelType w:val="hybridMultilevel"/>
    <w:lvl w:ilvl="0">
      <w:lvlJc w:val="left"/>
      <w:lvlText w:val="%1"/>
      <w:numFmt w:val="lowerLetter"/>
      <w:start w:val="1"/>
    </w:lvl>
    <w:lvl w:ilvl="1">
      <w:lvlJc w:val="left"/>
      <w:lvlText w:val="(%2)"/>
      <w:numFmt w:val="lowerLetter"/>
      <w:start w:val="1"/>
    </w:lvl>
  </w:abstractNum>
  <w:abstractNum w:abstractNumId="39">
    <w:nsid w:val="799D0247"/>
    <w:multiLevelType w:val="hybridMultilevel"/>
    <w:lvl w:ilvl="0">
      <w:lvlJc w:val="left"/>
      <w:lvlText w:val="(%1)"/>
      <w:numFmt w:val="lowerLetter"/>
      <w:start w:val="61"/>
    </w:lvl>
    <w:lvl w:ilvl="1">
      <w:lvlJc w:val="left"/>
      <w:lvlText w:val="(%2)"/>
      <w:numFmt w:val="lowerLetter"/>
      <w:start w:val="3"/>
    </w:lvl>
  </w:abstractNum>
  <w:abstractNum w:abstractNumId="40">
    <w:nsid w:val="6B94764"/>
    <w:multiLevelType w:val="hybridMultilevel"/>
    <w:lvl w:ilvl="0">
      <w:lvlJc w:val="left"/>
      <w:lvlText w:val="%1"/>
      <w:numFmt w:val="lowerRoman"/>
      <w:start w:val="1"/>
    </w:lvl>
    <w:lvl w:ilvl="1">
      <w:lvlJc w:val="left"/>
      <w:lvlText w:val="(%2)"/>
      <w:numFmt w:val="lowerLetter"/>
      <w:start w:val="1"/>
    </w:lvl>
  </w:abstractNum>
  <w:abstractNum w:abstractNumId="41">
    <w:nsid w:val="42C296BD"/>
    <w:multiLevelType w:val="hybridMultilevel"/>
    <w:lvl w:ilvl="0">
      <w:lvlJc w:val="left"/>
      <w:lvlText w:val="(%1)"/>
      <w:numFmt w:val="lowerRoman"/>
      <w:start w:val="4"/>
    </w:lvl>
    <w:lvl w:ilvl="1">
      <w:lvlJc w:val="left"/>
      <w:lvlText w:val="%2"/>
      <w:numFmt w:val="lowerLetter"/>
      <w:start w:val="1"/>
    </w:lvl>
  </w:abstractNum>
  <w:abstractNum w:abstractNumId="42">
    <w:nsid w:val="168E121F"/>
    <w:multiLevelType w:val="hybridMultilevel"/>
    <w:lvl w:ilvl="0">
      <w:lvlJc w:val="left"/>
      <w:lvlText w:val="(%1)"/>
      <w:numFmt w:val="lowerLetter"/>
      <w:start w:val="2"/>
    </w:lvl>
  </w:abstractNum>
  <w:abstractNum w:abstractNumId="43">
    <w:nsid w:val="1EBA5D23"/>
    <w:multiLevelType w:val="hybridMultilevel"/>
    <w:lvl w:ilvl="0">
      <w:lvlJc w:val="left"/>
      <w:lvlText w:val="%1"/>
      <w:numFmt w:val="lowerLetter"/>
      <w:start w:val="1"/>
    </w:lvl>
    <w:lvl w:ilvl="1">
      <w:lvlJc w:val="left"/>
      <w:lvlText w:val="(%2)"/>
      <w:numFmt w:val="lowerLetter"/>
      <w:start w:val="3"/>
    </w:lvl>
  </w:abstractNum>
  <w:abstractNum w:abstractNumId="44">
    <w:nsid w:val="661E3F1E"/>
    <w:multiLevelType w:val="hybridMultilevel"/>
    <w:lvl w:ilvl="0">
      <w:lvlJc w:val="left"/>
      <w:lvlText w:val="(%1)"/>
      <w:numFmt w:val="lowerLetter"/>
      <w:start w:val="61"/>
    </w:lvl>
    <w:lvl w:ilvl="1">
      <w:lvlJc w:val="left"/>
      <w:lvlText w:val="%2"/>
      <w:numFmt w:val="lowerLetter"/>
      <w:start w:val="1"/>
    </w:lvl>
  </w:abstractNum>
  <w:abstractNum w:abstractNumId="45">
    <w:nsid w:val="5DC79EA8"/>
    <w:multiLevelType w:val="hybridMultilevel"/>
    <w:lvl w:ilvl="0">
      <w:lvlJc w:val="left"/>
      <w:lvlText w:val="(%1)"/>
      <w:numFmt w:val="lowerLetter"/>
      <w:start w:val="4"/>
    </w:lvl>
  </w:abstractNum>
  <w:abstractNum w:abstractNumId="46">
    <w:nsid w:val="540A471C"/>
    <w:multiLevelType w:val="hybridMultilevel"/>
    <w:lvl w:ilvl="0">
      <w:lvlJc w:val="left"/>
      <w:lvlText w:val="(%1)"/>
      <w:numFmt w:val="lowerLetter"/>
      <w:start w:val="1"/>
    </w:lvl>
  </w:abstractNum>
  <w:abstractNum w:abstractNumId="47">
    <w:nsid w:val="7BD3EE7B"/>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48">
    <w:nsid w:val="51D9C564"/>
    <w:multiLevelType w:val="hybridMultilevel"/>
    <w:lvl w:ilvl="0">
      <w:lvlJc w:val="left"/>
      <w:lvlText w:val="%1"/>
      <w:numFmt w:val="lowerLetter"/>
      <w:start w:val="1"/>
    </w:lvl>
    <w:lvl w:ilvl="1">
      <w:lvlJc w:val="left"/>
      <w:lvlText w:val="(%2)"/>
      <w:numFmt w:val="lowerLetter"/>
      <w:start w:val="35"/>
    </w:lvl>
  </w:abstractNum>
  <w:abstractNum w:abstractNumId="49">
    <w:nsid w:val="613EFDC5"/>
    <w:multiLevelType w:val="hybridMultilevel"/>
    <w:lvl w:ilvl="0">
      <w:lvlJc w:val="left"/>
      <w:lvlText w:val="(%1)"/>
      <w:numFmt w:val="lowerLetter"/>
      <w:start w:val="2"/>
    </w:lvl>
    <w:lvl w:ilvl="1">
      <w:lvlJc w:val="left"/>
      <w:lvlText w:val="(%2)"/>
      <w:numFmt w:val="lowerLetter"/>
      <w:start w:val="9"/>
    </w:lvl>
  </w:abstractNum>
  <w:abstractNum w:abstractNumId="50">
    <w:nsid w:val="BF72B14"/>
    <w:multiLevelType w:val="hybridMultilevel"/>
    <w:lvl w:ilvl="0">
      <w:lvlJc w:val="left"/>
      <w:lvlText w:val="%1"/>
      <w:numFmt w:val="decimal"/>
      <w:start w:val="1"/>
    </w:lvl>
    <w:lvl w:ilvl="1">
      <w:lvlJc w:val="left"/>
      <w:lvlText w:val="(%2)"/>
      <w:numFmt w:val="lowerRoman"/>
      <w:start w:val="2"/>
    </w:lvl>
  </w:abstractNum>
  <w:abstractNum w:abstractNumId="51">
    <w:nsid w:val="11447B73"/>
    <w:multiLevelType w:val="hybridMultilevel"/>
    <w:lvl w:ilvl="0">
      <w:lvlJc w:val="left"/>
      <w:lvlText w:val="(%1)"/>
      <w:numFmt w:val="decimal"/>
      <w:start w:val="3"/>
    </w:lvl>
    <w:lvl w:ilvl="1">
      <w:lvlJc w:val="left"/>
      <w:lvlText w:val="%2"/>
      <w:numFmt w:val="lowerRoman"/>
      <w:start w:val="1"/>
    </w:lvl>
  </w:abstractNum>
  <w:abstractNum w:abstractNumId="52">
    <w:nsid w:val="42963E5A"/>
    <w:multiLevelType w:val="hybridMultilevel"/>
    <w:lvl w:ilvl="0">
      <w:lvlJc w:val="left"/>
      <w:lvlText w:val="%1"/>
      <w:numFmt w:val="decimal"/>
      <w:start w:val="1"/>
    </w:lvl>
    <w:lvl w:ilvl="1">
      <w:lvlJc w:val="left"/>
      <w:lvlText w:val="(%2)"/>
      <w:numFmt w:val="lowerLetter"/>
      <w:start w:val="4"/>
    </w:lvl>
  </w:abstractNum>
  <w:abstractNum w:abstractNumId="53">
    <w:nsid w:val="A0382C5"/>
    <w:multiLevelType w:val="hybridMultilevel"/>
    <w:lvl w:ilvl="0">
      <w:lvlJc w:val="left"/>
      <w:lvlText w:val="(%1)"/>
      <w:numFmt w:val="decimal"/>
      <w:start w:val="5"/>
    </w:lvl>
    <w:lvl w:ilvl="1">
      <w:lvlJc w:val="left"/>
      <w:lvlText w:val="%2"/>
      <w:numFmt w:val="lowerLetter"/>
      <w:start w:val="1"/>
    </w:lvl>
  </w:abstractNum>
  <w:abstractNum w:abstractNumId="54">
    <w:nsid w:val="8F2B15E"/>
    <w:multiLevelType w:val="hybridMultilevel"/>
    <w:lvl w:ilvl="0">
      <w:lvlJc w:val="left"/>
      <w:lvlText w:val="(%1)"/>
      <w:numFmt w:val="decimal"/>
      <w:start w:val="10"/>
    </w:lvl>
    <w:lvl w:ilvl="1">
      <w:lvlJc w:val="left"/>
      <w:lvlText w:val="%2"/>
      <w:numFmt w:val="lowerLetter"/>
      <w:start w:val="1"/>
    </w:lvl>
  </w:abstractNum>
  <w:abstractNum w:abstractNumId="55">
    <w:nsid w:val="1A32234B"/>
    <w:multiLevelType w:val="hybridMultilevel"/>
    <w:lvl w:ilvl="0">
      <w:lvlJc w:val="left"/>
      <w:lvlText w:val="(%1)"/>
      <w:numFmt w:val="lowerLetter"/>
      <w:start w:val="5"/>
    </w:lvl>
  </w:abstractNum>
  <w:abstractNum w:abstractNumId="56">
    <w:nsid w:val="3B0FD379"/>
    <w:multiLevelType w:val="hybridMultilevel"/>
    <w:lvl w:ilvl="0">
      <w:lvlJc w:val="left"/>
      <w:lvlText w:val="%1."/>
      <w:numFmt w:val="decimal"/>
      <w:start w:val="3"/>
    </w:lvl>
    <w:lvl w:ilvl="1">
      <w:lvlJc w:val="left"/>
      <w:lvlText w:val="(%2)"/>
      <w:numFmt w:val="lowerLetter"/>
      <w:start w:val="1"/>
    </w:lvl>
  </w:abstractNum>
  <w:abstractNum w:abstractNumId="57">
    <w:nsid w:val="68EB2F63"/>
    <w:multiLevelType w:val="hybridMultilevel"/>
    <w:lvl w:ilvl="0">
      <w:lvlJc w:val="left"/>
      <w:lvlText w:val="(%1)"/>
      <w:numFmt w:val="lowerLetter"/>
      <w:start w:val="5"/>
    </w:lvl>
  </w:abstractNum>
  <w:abstractNum w:abstractNumId="58">
    <w:nsid w:val="4962813B"/>
    <w:multiLevelType w:val="hybridMultilevel"/>
    <w:lvl w:ilvl="0">
      <w:lvlJc w:val="left"/>
      <w:lvlText w:val="%1"/>
      <w:numFmt w:val="upperLetter"/>
      <w:start w:val="1"/>
    </w:lvl>
    <w:lvl w:ilvl="1">
      <w:lvlJc w:val="left"/>
      <w:lvlText w:val="(%2)"/>
      <w:numFmt w:val="lowerLetter"/>
      <w:start w:val="10"/>
    </w:lvl>
  </w:abstractNum>
  <w:abstractNum w:abstractNumId="59">
    <w:nsid w:val="60B6DF70"/>
    <w:multiLevelType w:val="hybridMultilevel"/>
    <w:lvl w:ilvl="0">
      <w:lvlJc w:val="left"/>
      <w:lvlText w:val="(%1)"/>
      <w:numFmt w:val="upperLetter"/>
      <w:start w:val="2"/>
    </w:lvl>
    <w:lvl w:ilvl="1">
      <w:lvlJc w:val="left"/>
      <w:lvlText w:val="%2"/>
      <w:numFmt w:val="lowerLetter"/>
      <w:start w:val="1"/>
    </w:lvl>
  </w:abstractNum>
  <w:abstractNum w:abstractNumId="60">
    <w:nsid w:val="6A5EE64"/>
    <w:multiLevelType w:val="hybridMultilevel"/>
    <w:lvl w:ilvl="0">
      <w:lvlJc w:val="left"/>
      <w:lvlText w:val="%1."/>
      <w:numFmt w:val="decimal"/>
      <w:start w:val="4"/>
    </w:lvl>
    <w:lvl w:ilvl="1">
      <w:lvlJc w:val="left"/>
      <w:lvlText w:val="(%2)"/>
      <w:numFmt w:val="lowerLetter"/>
      <w:start w:val="1"/>
    </w:lvl>
  </w:abstractNum>
  <w:abstractNum w:abstractNumId="61">
    <w:nsid w:val="14330624"/>
    <w:multiLevelType w:val="hybridMultilevel"/>
    <w:lvl w:ilvl="0">
      <w:lvlJc w:val="left"/>
      <w:lvlText w:val="%1"/>
      <w:numFmt w:val="decimal"/>
      <w:start w:val="1"/>
    </w:lvl>
    <w:lvl w:ilvl="1">
      <w:lvlJc w:val="left"/>
      <w:lvlText w:val="(%2)"/>
      <w:numFmt w:val="lowerLetter"/>
      <w:start w:val="3"/>
    </w:lvl>
  </w:abstractNum>
  <w:abstractNum w:abstractNumId="62">
    <w:nsid w:val="7FFFCA11"/>
    <w:multiLevelType w:val="hybridMultilevel"/>
    <w:lvl w:ilvl="0">
      <w:lvlJc w:val="left"/>
      <w:lvlText w:val="%1."/>
      <w:numFmt w:val="decimal"/>
      <w:start w:val="5"/>
    </w:lvl>
    <w:lvl w:ilvl="1">
      <w:lvlJc w:val="left"/>
      <w:lvlText w:val="(%2)"/>
      <w:numFmt w:val="lowerLetter"/>
      <w:start w:val="1"/>
    </w:lvl>
  </w:abstractNum>
  <w:abstractNum w:abstractNumId="63">
    <w:nsid w:val="1A27709E"/>
    <w:multiLevelType w:val="hybridMultilevel"/>
    <w:lvl w:ilvl="0">
      <w:lvlJc w:val="left"/>
      <w:lvlText w:val="(%1)"/>
      <w:numFmt w:val="lowerLetter"/>
      <w:start w:val="2"/>
    </w:lvl>
  </w:abstractNum>
  <w:abstractNum w:abstractNumId="64">
    <w:nsid w:val="71EA1109"/>
    <w:multiLevelType w:val="hybridMultilevel"/>
    <w:lvl w:ilvl="0">
      <w:lvlJc w:val="left"/>
      <w:lvlText w:val="%1"/>
      <w:numFmt w:val="decimal"/>
      <w:start w:val="1"/>
    </w:lvl>
    <w:lvl w:ilvl="1">
      <w:lvlJc w:val="left"/>
      <w:lvlText w:val="(%2)"/>
      <w:numFmt w:val="lowerLetter"/>
      <w:start w:val="4"/>
    </w:lvl>
  </w:abstractNum>
  <w:abstractNum w:abstractNumId="65">
    <w:nsid w:val="100F59DC"/>
    <w:multiLevelType w:val="hybridMultilevel"/>
    <w:lvl w:ilvl="0">
      <w:lvlJc w:val="left"/>
      <w:lvlText w:val="%1."/>
      <w:numFmt w:val="decimal"/>
      <w:start w:val="6"/>
    </w:lvl>
    <w:lvl w:ilvl="1">
      <w:lvlJc w:val="left"/>
      <w:lvlText w:val="(%2)"/>
      <w:numFmt w:val="lowerLetter"/>
      <w:start w:val="1"/>
    </w:lvl>
  </w:abstractNum>
  <w:abstractNum w:abstractNumId="66">
    <w:nsid w:val="7FB7E0AA"/>
    <w:multiLevelType w:val="hybridMultilevel"/>
    <w:lvl w:ilvl="0">
      <w:lvlJc w:val="left"/>
      <w:lvlText w:val="(%1)"/>
      <w:numFmt w:val="lowerLetter"/>
      <w:start w:val="4"/>
    </w:lvl>
  </w:abstractNum>
  <w:abstractNum w:abstractNumId="67">
    <w:nsid w:val="6EB5BD4"/>
    <w:multiLevelType w:val="hybridMultilevel"/>
    <w:lvl w:ilvl="0">
      <w:lvlJc w:val="left"/>
      <w:lvlText w:val="(%1)"/>
      <w:numFmt w:val="lowerLetter"/>
      <w:start w:val="10"/>
    </w:lvl>
  </w:abstractNum>
  <w:abstractNum w:abstractNumId="68">
    <w:nsid w:val="6F6DD9AC"/>
    <w:multiLevelType w:val="hybridMultilevel"/>
    <w:lvl w:ilvl="0">
      <w:lvlJc w:val="left"/>
      <w:lvlText w:val="•"/>
      <w:numFmt w:val="bullet"/>
      <w:start w:val="1"/>
    </w:lvl>
  </w:abstractNum>
  <w:abstractNum w:abstractNumId="69">
    <w:nsid w:val="94211F2"/>
    <w:multiLevelType w:val="hybridMultilevel"/>
    <w:lvl w:ilvl="0">
      <w:lvlJc w:val="left"/>
      <w:lvlText w:val="(%1)"/>
      <w:numFmt w:val="decimal"/>
      <w:start w:val="1"/>
    </w:lvl>
  </w:abstractNum>
  <w:abstractNum w:abstractNumId="70">
    <w:nsid w:val="885E1B"/>
    <w:multiLevelType w:val="hybridMultilevel"/>
    <w:lvl w:ilvl="0">
      <w:lvlJc w:val="left"/>
      <w:lvlText w:val="(%1)"/>
      <w:numFmt w:val="lowerRoman"/>
      <w:start w:val="3"/>
    </w:lvl>
  </w:abstractNum>
  <w:abstractNum w:abstractNumId="71">
    <w:nsid w:val="76272110"/>
    <w:multiLevelType w:val="hybridMultilevel"/>
    <w:lvl w:ilvl="0">
      <w:lvlJc w:val="left"/>
      <w:lvlText w:val="%1."/>
      <w:numFmt w:val="decimal"/>
      <w:start w:val="2"/>
    </w:lvl>
  </w:abstractNum>
  <w:abstractNum w:abstractNumId="72">
    <w:nsid w:val="4C04A8AF"/>
    <w:multiLevelType w:val="hybridMultilevel"/>
    <w:lvl w:ilvl="0">
      <w:lvlJc w:val="left"/>
      <w:lvlText w:val="(%1)"/>
      <w:numFmt w:val="lowerRoman"/>
      <w:start w:val="1"/>
    </w:lvl>
  </w:abstractNum>
  <w:abstractNum w:abstractNumId="73">
    <w:nsid w:val="1716703B"/>
    <w:multiLevelType w:val="hybridMultilevel"/>
    <w:lvl w:ilvl="0">
      <w:lvlJc w:val="left"/>
      <w:lvlText w:val="(%1)"/>
      <w:numFmt w:val="lowerLetter"/>
      <w:start w:val="2"/>
    </w:lvl>
  </w:abstractNum>
  <w:abstractNum w:abstractNumId="74">
    <w:nsid w:val="14E17E33"/>
    <w:multiLevelType w:val="hybridMultilevel"/>
    <w:lvl w:ilvl="0">
      <w:lvlJc w:val="left"/>
      <w:lvlText w:val="(%1)"/>
      <w:numFmt w:val="lowerRoman"/>
      <w:start w:val="1"/>
    </w:lvl>
  </w:abstractNum>
  <w:abstractNum w:abstractNumId="75">
    <w:nsid w:val="3222E7CD"/>
    <w:multiLevelType w:val="hybridMultilevel"/>
    <w:lvl w:ilvl="0">
      <w:lvlJc w:val="left"/>
      <w:lvlText w:val="(%1)"/>
      <w:numFmt w:val="lowerRoman"/>
      <w:start w:val="2"/>
    </w:lvl>
  </w:abstractNum>
  <w:abstractNum w:abstractNumId="76">
    <w:nsid w:val="74DE0EE3"/>
    <w:multiLevelType w:val="hybridMultilevel"/>
    <w:lvl w:ilvl="0">
      <w:lvlJc w:val="left"/>
      <w:lvlText w:val="(%1)"/>
      <w:numFmt w:val="lowerLetter"/>
      <w:start w:val="4"/>
    </w:lvl>
  </w:abstractNum>
  <w:abstractNum w:abstractNumId="77">
    <w:nsid w:val="68EBC550"/>
    <w:multiLevelType w:val="hybridMultilevel"/>
    <w:lvl w:ilvl="0">
      <w:lvlJc w:val="left"/>
      <w:lvlText w:val="(%1)"/>
      <w:numFmt w:val="lowerLetter"/>
      <w:start w:val="5"/>
    </w:lvl>
  </w:abstractNum>
  <w:abstractNum w:abstractNumId="78">
    <w:nsid w:val="2DF6D648"/>
    <w:multiLevelType w:val="hybridMultilevel"/>
    <w:lvl w:ilvl="0">
      <w:lvlJc w:val="left"/>
      <w:lvlText w:val="(%1)"/>
      <w:numFmt w:val="lowerRoman"/>
      <w:start w:val="1"/>
    </w:lvl>
  </w:abstractNum>
  <w:abstractNum w:abstractNumId="79">
    <w:nsid w:val="46B7D447"/>
    <w:multiLevelType w:val="hybridMultilevel"/>
    <w:lvl w:ilvl="0">
      <w:lvlJc w:val="left"/>
      <w:lvlText w:val="(%1)"/>
      <w:numFmt w:val="lowerRoman"/>
      <w:start w:val="3"/>
    </w:lvl>
  </w:abstractNum>
  <w:abstractNum w:abstractNumId="80">
    <w:nsid w:val="4A2AC315"/>
    <w:multiLevelType w:val="hybridMultilevel"/>
    <w:lvl w:ilvl="0">
      <w:lvlJc w:val="left"/>
      <w:lvlText w:val="(%1)"/>
      <w:numFmt w:val="lowerLetter"/>
      <w:start w:val="7"/>
    </w:lvl>
  </w:abstractNum>
  <w:abstractNum w:abstractNumId="81">
    <w:nsid w:val="39EE015C"/>
    <w:multiLevelType w:val="hybridMultilevel"/>
    <w:lvl w:ilvl="0">
      <w:lvlJc w:val="left"/>
      <w:lvlText w:val="(%1)"/>
      <w:numFmt w:val="lowerRoman"/>
      <w:start w:val="1"/>
    </w:lvl>
  </w:abstractNum>
  <w:abstractNum w:abstractNumId="82">
    <w:nsid w:val="57FC4FBB"/>
    <w:multiLevelType w:val="hybridMultilevel"/>
    <w:lvl w:ilvl="0">
      <w:lvlJc w:val="left"/>
      <w:lvlText w:val="(%1)"/>
      <w:numFmt w:val="decimal"/>
      <w:start w:val="1"/>
    </w:lvl>
  </w:abstractNum>
  <w:abstractNum w:abstractNumId="83">
    <w:nsid w:val="CC1016F"/>
    <w:multiLevelType w:val="hybridMultilevel"/>
    <w:lvl w:ilvl="0">
      <w:lvlJc w:val="left"/>
      <w:lvlText w:val="(%1)"/>
      <w:numFmt w:val="upperLetter"/>
      <w:start w:val="4"/>
    </w:lvl>
  </w:abstractNum>
  <w:abstractNum w:abstractNumId="84">
    <w:nsid w:val="43F18422"/>
    <w:multiLevelType w:val="hybridMultilevel"/>
    <w:lvl w:ilvl="0">
      <w:lvlJc w:val="left"/>
      <w:lvlText w:val="(%1)"/>
      <w:numFmt w:val="lowerRoman"/>
      <w:start w:val="3"/>
    </w:lvl>
  </w:abstractNum>
  <w:abstractNum w:abstractNumId="85">
    <w:nsid w:val="60EF0119"/>
    <w:multiLevelType w:val="hybridMultilevel"/>
    <w:lvl w:ilvl="0">
      <w:lvlJc w:val="left"/>
      <w:lvlText w:val="%1."/>
      <w:numFmt w:val="decimal"/>
      <w:start w:val="3"/>
    </w:lvl>
  </w:abstractNum>
  <w:abstractNum w:abstractNumId="86">
    <w:nsid w:val="26F324BA"/>
    <w:multiLevelType w:val="hybridMultilevel"/>
    <w:lvl w:ilvl="0">
      <w:lvlJc w:val="left"/>
      <w:lvlText w:val="(%1)"/>
      <w:numFmt w:val="lowerLetter"/>
      <w:start w:val="1"/>
    </w:lvl>
  </w:abstractNum>
  <w:abstractNum w:abstractNumId="87">
    <w:nsid w:val="7F01579B"/>
    <w:multiLevelType w:val="hybridMultilevel"/>
    <w:lvl w:ilvl="0">
      <w:lvlJc w:val="left"/>
      <w:lvlText w:val="(%1)"/>
      <w:numFmt w:val="decimal"/>
      <w:start w:val="5"/>
    </w:lvl>
  </w:abstractNum>
  <w:abstractNum w:abstractNumId="88">
    <w:nsid w:val="49DA307D"/>
    <w:multiLevelType w:val="hybridMultilevel"/>
    <w:lvl w:ilvl="0">
      <w:lvlJc w:val="left"/>
      <w:lvlText w:val="(%1)"/>
      <w:numFmt w:val="lowerLetter"/>
      <w:start w:val="4"/>
    </w:lvl>
  </w:abstractNum>
  <w:abstractNum w:abstractNumId="89">
    <w:nsid w:val="7055A5F5"/>
    <w:multiLevelType w:val="hybridMultilevel"/>
    <w:lvl w:ilvl="0">
      <w:lvlJc w:val="left"/>
      <w:lvlText w:val="(%1)"/>
      <w:numFmt w:val="lowerLetter"/>
      <w:start w:val="6"/>
    </w:lvl>
  </w:abstractNum>
  <w:abstractNum w:abstractNumId="90">
    <w:nsid w:val="5FB8370B"/>
    <w:multiLevelType w:val="hybridMultilevel"/>
    <w:lvl w:ilvl="0">
      <w:lvlJc w:val="left"/>
      <w:lvlText w:val="(%1)"/>
      <w:numFmt w:val="lowerLetter"/>
      <w:start w:val="12"/>
    </w:lvl>
  </w:abstractNum>
  <w:abstractNum w:abstractNumId="91">
    <w:nsid w:val="50801EE1"/>
    <w:multiLevelType w:val="hybridMultilevel"/>
    <w:lvl w:ilvl="0">
      <w:lvlJc w:val="left"/>
      <w:lvlText w:val="%1."/>
      <w:numFmt w:val="decimal"/>
      <w:start w:val="4"/>
    </w:lvl>
  </w:abstractNum>
  <w:abstractNum w:abstractNumId="92">
    <w:nsid w:val="488AC1A"/>
    <w:multiLevelType w:val="hybridMultilevel"/>
    <w:lvl w:ilvl="0">
      <w:lvlJc w:val="left"/>
      <w:lvlText w:val="(%1)"/>
      <w:numFmt w:val="lowerLetter"/>
      <w:start w:val="1"/>
    </w:lvl>
  </w:abstractNum>
  <w:abstractNum w:abstractNumId="93">
    <w:nsid w:val="5FB8011C"/>
    <w:multiLevelType w:val="hybridMultilevel"/>
    <w:lvl w:ilvl="0">
      <w:lvlJc w:val="left"/>
      <w:lvlText w:val="%1."/>
      <w:numFmt w:val="decimal"/>
      <w:start w:val="5"/>
    </w:lvl>
  </w:abstractNum>
  <w:abstractNum w:abstractNumId="94">
    <w:nsid w:val="6AA78F7F"/>
    <w:multiLevelType w:val="hybridMultilevel"/>
    <w:lvl w:ilvl="0">
      <w:lvlJc w:val="left"/>
      <w:lvlText w:val="(%1)"/>
      <w:numFmt w:val="lowerLetter"/>
      <w:start w:val="1"/>
    </w:lvl>
  </w:abstractNum>
  <w:abstractNum w:abstractNumId="95">
    <w:nsid w:val="7672BD23"/>
    <w:multiLevelType w:val="hybridMultilevel"/>
    <w:lvl w:ilvl="0">
      <w:lvlJc w:val="left"/>
      <w:lvlText w:val="(%1)"/>
      <w:numFmt w:val="lowerLetter"/>
      <w:start w:val="4"/>
    </w:lvl>
  </w:abstractNum>
  <w:abstractNum w:abstractNumId="96">
    <w:nsid w:val="6FC75AF8"/>
    <w:multiLevelType w:val="hybridMultilevel"/>
    <w:lvl w:ilvl="0">
      <w:lvlJc w:val="left"/>
      <w:lvlText w:val="(%1)"/>
      <w:numFmt w:val="lowerLetter"/>
      <w:start w:val="1"/>
    </w:lvl>
  </w:abstractNum>
  <w:abstractNum w:abstractNumId="97">
    <w:nsid w:val="6A5F7029"/>
    <w:multiLevelType w:val="hybridMultilevel"/>
    <w:lvl w:ilvl="0">
      <w:lvlJc w:val="left"/>
      <w:lvlText w:val="(%1)"/>
      <w:numFmt w:val="lowerLetter"/>
      <w:start w:val="3"/>
    </w:lvl>
  </w:abstractNum>
  <w:abstractNum w:abstractNumId="98">
    <w:nsid w:val="7D5E18F8"/>
    <w:multiLevelType w:val="hybridMultilevel"/>
    <w:lvl w:ilvl="0">
      <w:lvlJc w:val="left"/>
      <w:lvlText w:val="(%1)"/>
      <w:numFmt w:val="lowerLetter"/>
      <w:start w:val="4"/>
    </w:lvl>
  </w:abstractNum>
  <w:abstractNum w:abstractNumId="99">
    <w:nsid w:val="5F3534A4"/>
    <w:multiLevelType w:val="hybridMultilevel"/>
    <w:lvl w:ilvl="0">
      <w:lvlJc w:val="left"/>
      <w:lvlText w:val="(%1)"/>
      <w:numFmt w:val="lowerLetter"/>
      <w:start w:val="6"/>
    </w:lvl>
  </w:abstractNum>
  <w:abstractNum w:abstractNumId="100">
    <w:nsid w:val="73A1821B"/>
    <w:multiLevelType w:val="hybridMultilevel"/>
    <w:lvl w:ilvl="0">
      <w:lvlJc w:val="left"/>
      <w:lvlText w:val="•"/>
      <w:numFmt w:val="bullet"/>
      <w:start w:val="1"/>
    </w:lvl>
  </w:abstractNum>
  <w:abstractNum w:abstractNumId="101">
    <w:nsid w:val="7DE6771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2021-05-21T08:32:10Z</dcterms:created>
  <dcterms:modified xsi:type="dcterms:W3CDTF">2021-05-21T08:32:10Z</dcterms:modified>
</cp:coreProperties>
</file>