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6776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77672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500"/>
            <w:col w:w="8760"/>
          </w:cols>
          <w:pgMar w:left="240" w:top="222" w:right="139" w:bottom="674"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Peter</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ATLAS VENTURE FUND VII,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 FIRST STREET, SUITE 303</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8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7"/>
                <w:szCs w:val="17"/>
                <w:color w:val="0000FF"/>
              </w:rPr>
              <w:t>CAMBRIDGE   MA</w:t>
            </w:r>
          </w:p>
        </w:tc>
        <w:tc>
          <w:tcPr>
            <w:tcW w:w="920" w:type="dxa"/>
            <w:vAlign w:val="bottom"/>
          </w:tcPr>
          <w:p>
            <w:pPr>
              <w:jc w:val="right"/>
              <w:spacing w:after="0"/>
              <w:rPr>
                <w:sz w:val="20"/>
                <w:szCs w:val="20"/>
                <w:color w:val="auto"/>
              </w:rPr>
            </w:pPr>
            <w:r>
              <w:rPr>
                <w:rFonts w:ascii="Arial" w:cs="Arial" w:eastAsia="Arial" w:hAnsi="Arial"/>
                <w:sz w:val="17"/>
                <w:szCs w:val="17"/>
                <w:color w:val="0000FF"/>
              </w:rPr>
              <w:t>02141</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ZAFGEN,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ZFGN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90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0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9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900" w:type="dxa"/>
            <w:vAlign w:val="bottom"/>
          </w:tcPr>
          <w:p>
            <w:pPr>
              <w:ind w:left="62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900" w:type="dxa"/>
            <w:vAlign w:val="bottom"/>
          </w:tcPr>
          <w:p>
            <w:pPr>
              <w:ind w:left="620"/>
              <w:spacing w:after="0" w:line="109" w:lineRule="exact"/>
              <w:rPr>
                <w:sz w:val="20"/>
                <w:szCs w:val="20"/>
                <w:color w:val="auto"/>
              </w:rPr>
            </w:pPr>
            <w:r>
              <w:rPr>
                <w:rFonts w:ascii="Arial" w:cs="Arial" w:eastAsia="Arial" w:hAnsi="Arial"/>
                <w:sz w:val="12"/>
                <w:szCs w:val="12"/>
                <w:color w:val="auto"/>
              </w:rPr>
              <w:t>below)</w:t>
            </w:r>
          </w:p>
        </w:tc>
        <w:tc>
          <w:tcPr>
            <w:tcW w:w="1540" w:type="dxa"/>
            <w:vAlign w:val="bottom"/>
          </w:tcPr>
          <w:p>
            <w:pPr>
              <w:ind w:left="36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0"/>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19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gridSpan w:val="3"/>
          </w:tcPr>
          <w:p>
            <w:pPr>
              <w:ind w:left="60"/>
              <w:spacing w:after="0"/>
              <w:rPr>
                <w:sz w:val="20"/>
                <w:szCs w:val="20"/>
                <w:color w:val="auto"/>
              </w:rPr>
            </w:pPr>
            <w:r>
              <w:rPr>
                <w:rFonts w:ascii="Arial" w:cs="Arial" w:eastAsia="Arial" w:hAnsi="Arial"/>
                <w:sz w:val="17"/>
                <w:szCs w:val="17"/>
                <w:color w:val="0000FF"/>
              </w:rPr>
              <w:t>06/24/2014</w:t>
            </w:r>
          </w:p>
        </w:tc>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44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40" w:type="dxa"/>
            <w:vAlign w:val="bottom"/>
            <w:gridSpan w:val="2"/>
          </w:tcPr>
          <w:p>
            <w:pPr>
              <w:ind w:left="6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280" w:space="720"/>
            <w:col w:w="7520"/>
          </w:cols>
          <w:pgMar w:left="240" w:top="222" w:right="139" w:bottom="674" w:gutter="0" w:footer="0" w:header="0"/>
          <w:type w:val="continuous"/>
        </w:sectPr>
      </w:pPr>
    </w:p>
    <w:p>
      <w:pPr>
        <w:spacing w:after="0" w:line="2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gridSpan w:val="2"/>
          </w:tcPr>
          <w:p>
            <w:pPr>
              <w:ind w:left="880"/>
              <w:spacing w:after="0" w:line="126"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0"/>
                <w:szCs w:val="10"/>
                <w:color w:val="auto"/>
              </w:rPr>
            </w:pPr>
          </w:p>
        </w:tc>
        <w:tc>
          <w:tcPr>
            <w:tcW w:w="10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8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1"/>
                <w:szCs w:val="11"/>
                <w:color w:val="auto"/>
              </w:rPr>
            </w:pPr>
          </w:p>
        </w:tc>
        <w:tc>
          <w:tcPr>
            <w:tcW w:w="5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vMerge w:val="restart"/>
          </w:tcPr>
          <w:p>
            <w:pPr>
              <w:jc w:val="right"/>
              <w:ind w:right="215"/>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900" w:type="dxa"/>
            <w:vAlign w:val="bottom"/>
            <w:gridSpan w:val="3"/>
            <w:vMerge w:val="restart"/>
          </w:tcPr>
          <w:p>
            <w:pPr>
              <w:jc w:val="right"/>
              <w:ind w:right="101"/>
              <w:spacing w:after="0"/>
              <w:rPr>
                <w:sz w:val="20"/>
                <w:szCs w:val="20"/>
                <w:color w:val="auto"/>
              </w:rPr>
            </w:pPr>
            <w:r>
              <w:rPr>
                <w:rFonts w:ascii="Arial" w:cs="Arial" w:eastAsia="Arial" w:hAnsi="Arial"/>
                <w:sz w:val="17"/>
                <w:szCs w:val="17"/>
                <w:color w:val="0000FF"/>
              </w:rPr>
              <w:t>06/24/2014</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75"/>
              <w:spacing w:after="0"/>
              <w:rPr>
                <w:sz w:val="20"/>
                <w:szCs w:val="20"/>
                <w:color w:val="auto"/>
              </w:rPr>
            </w:pPr>
            <w:r>
              <w:rPr>
                <w:rFonts w:ascii="Arial" w:cs="Arial" w:eastAsia="Arial" w:hAnsi="Arial"/>
                <w:sz w:val="17"/>
                <w:szCs w:val="17"/>
                <w:color w:val="0000FF"/>
                <w:w w:val="91"/>
              </w:rPr>
              <w:t>759,236</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60" w:type="dxa"/>
            <w:vAlign w:val="bottom"/>
            <w:vMerge w:val="restart"/>
          </w:tcPr>
          <w:p>
            <w:pPr>
              <w:jc w:val="right"/>
              <w:ind w:right="195"/>
              <w:spacing w:after="0"/>
              <w:rPr>
                <w:sz w:val="20"/>
                <w:szCs w:val="20"/>
                <w:color w:val="auto"/>
              </w:rPr>
            </w:pPr>
            <w:r>
              <w:rPr>
                <w:rFonts w:ascii="Arial" w:cs="Arial" w:eastAsia="Arial" w:hAnsi="Arial"/>
                <w:sz w:val="11"/>
                <w:szCs w:val="11"/>
                <w:color w:val="008000"/>
              </w:rPr>
              <w:t>(1)</w:t>
            </w:r>
          </w:p>
        </w:tc>
        <w:tc>
          <w:tcPr>
            <w:tcW w:w="1600" w:type="dxa"/>
            <w:vAlign w:val="bottom"/>
            <w:gridSpan w:val="3"/>
            <w:vMerge w:val="restart"/>
          </w:tcPr>
          <w:p>
            <w:pPr>
              <w:jc w:val="center"/>
              <w:ind w:right="362"/>
              <w:spacing w:after="0"/>
              <w:rPr>
                <w:sz w:val="20"/>
                <w:szCs w:val="20"/>
                <w:color w:val="auto"/>
              </w:rPr>
            </w:pPr>
            <w:r>
              <w:rPr>
                <w:rFonts w:ascii="Arial" w:cs="Arial" w:eastAsia="Arial" w:hAnsi="Arial"/>
                <w:sz w:val="17"/>
                <w:szCs w:val="17"/>
                <w:color w:val="0000FF"/>
                <w:w w:val="87"/>
              </w:rPr>
              <w:t>759,236</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(5)</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900" w:type="dxa"/>
            <w:vAlign w:val="bottom"/>
            <w:gridSpan w:val="3"/>
            <w:vMerge w:val="restart"/>
          </w:tcPr>
          <w:p>
            <w:pPr>
              <w:jc w:val="right"/>
              <w:ind w:right="101"/>
              <w:spacing w:after="0"/>
              <w:rPr>
                <w:sz w:val="20"/>
                <w:szCs w:val="20"/>
                <w:color w:val="auto"/>
              </w:rPr>
            </w:pPr>
            <w:r>
              <w:rPr>
                <w:rFonts w:ascii="Arial" w:cs="Arial" w:eastAsia="Arial" w:hAnsi="Arial"/>
                <w:sz w:val="17"/>
                <w:szCs w:val="17"/>
                <w:color w:val="0000FF"/>
              </w:rPr>
              <w:t>06/24/2014</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75"/>
              <w:spacing w:after="0"/>
              <w:rPr>
                <w:sz w:val="20"/>
                <w:szCs w:val="20"/>
                <w:color w:val="auto"/>
              </w:rPr>
            </w:pPr>
            <w:r>
              <w:rPr>
                <w:rFonts w:ascii="Arial" w:cs="Arial" w:eastAsia="Arial" w:hAnsi="Arial"/>
                <w:sz w:val="17"/>
                <w:szCs w:val="17"/>
                <w:color w:val="0000FF"/>
                <w:w w:val="89"/>
              </w:rPr>
              <w:t>2,810,709</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60" w:type="dxa"/>
            <w:vAlign w:val="bottom"/>
            <w:vMerge w:val="restart"/>
          </w:tcPr>
          <w:p>
            <w:pPr>
              <w:jc w:val="right"/>
              <w:ind w:right="195"/>
              <w:spacing w:after="0"/>
              <w:rPr>
                <w:sz w:val="20"/>
                <w:szCs w:val="20"/>
                <w:color w:val="auto"/>
              </w:rPr>
            </w:pPr>
            <w:r>
              <w:rPr>
                <w:rFonts w:ascii="Arial" w:cs="Arial" w:eastAsia="Arial" w:hAnsi="Arial"/>
                <w:sz w:val="11"/>
                <w:szCs w:val="11"/>
                <w:color w:val="008000"/>
              </w:rPr>
              <w:t>(2)</w:t>
            </w:r>
          </w:p>
        </w:tc>
        <w:tc>
          <w:tcPr>
            <w:tcW w:w="1600" w:type="dxa"/>
            <w:vAlign w:val="bottom"/>
            <w:gridSpan w:val="3"/>
            <w:vMerge w:val="restart"/>
          </w:tcPr>
          <w:p>
            <w:pPr>
              <w:jc w:val="center"/>
              <w:ind w:right="362"/>
              <w:spacing w:after="0"/>
              <w:rPr>
                <w:sz w:val="20"/>
                <w:szCs w:val="20"/>
                <w:color w:val="auto"/>
              </w:rPr>
            </w:pPr>
            <w:r>
              <w:rPr>
                <w:rFonts w:ascii="Arial" w:cs="Arial" w:eastAsia="Arial" w:hAnsi="Arial"/>
                <w:sz w:val="17"/>
                <w:szCs w:val="17"/>
                <w:color w:val="0000FF"/>
                <w:w w:val="87"/>
              </w:rPr>
              <w:t>3,569,945</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(5)</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900" w:type="dxa"/>
            <w:vAlign w:val="bottom"/>
            <w:gridSpan w:val="3"/>
            <w:vMerge w:val="restart"/>
          </w:tcPr>
          <w:p>
            <w:pPr>
              <w:jc w:val="right"/>
              <w:ind w:right="101"/>
              <w:spacing w:after="0"/>
              <w:rPr>
                <w:sz w:val="20"/>
                <w:szCs w:val="20"/>
                <w:color w:val="auto"/>
              </w:rPr>
            </w:pPr>
            <w:r>
              <w:rPr>
                <w:rFonts w:ascii="Arial" w:cs="Arial" w:eastAsia="Arial" w:hAnsi="Arial"/>
                <w:sz w:val="17"/>
                <w:szCs w:val="17"/>
                <w:color w:val="0000FF"/>
              </w:rPr>
              <w:t>06/24/2014</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75"/>
              <w:spacing w:after="0"/>
              <w:rPr>
                <w:sz w:val="20"/>
                <w:szCs w:val="20"/>
                <w:color w:val="auto"/>
              </w:rPr>
            </w:pPr>
            <w:r>
              <w:rPr>
                <w:rFonts w:ascii="Arial" w:cs="Arial" w:eastAsia="Arial" w:hAnsi="Arial"/>
                <w:sz w:val="17"/>
                <w:szCs w:val="17"/>
                <w:color w:val="0000FF"/>
                <w:w w:val="89"/>
              </w:rPr>
              <w:t>1,315,859</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60" w:type="dxa"/>
            <w:vAlign w:val="bottom"/>
            <w:vMerge w:val="restart"/>
          </w:tcPr>
          <w:p>
            <w:pPr>
              <w:jc w:val="right"/>
              <w:ind w:right="195"/>
              <w:spacing w:after="0"/>
              <w:rPr>
                <w:sz w:val="20"/>
                <w:szCs w:val="20"/>
                <w:color w:val="auto"/>
              </w:rPr>
            </w:pPr>
            <w:r>
              <w:rPr>
                <w:rFonts w:ascii="Arial" w:cs="Arial" w:eastAsia="Arial" w:hAnsi="Arial"/>
                <w:sz w:val="11"/>
                <w:szCs w:val="11"/>
                <w:color w:val="008000"/>
              </w:rPr>
              <w:t>(3)</w:t>
            </w:r>
          </w:p>
        </w:tc>
        <w:tc>
          <w:tcPr>
            <w:tcW w:w="1600" w:type="dxa"/>
            <w:vAlign w:val="bottom"/>
            <w:gridSpan w:val="3"/>
            <w:vMerge w:val="restart"/>
          </w:tcPr>
          <w:p>
            <w:pPr>
              <w:jc w:val="center"/>
              <w:ind w:right="362"/>
              <w:spacing w:after="0"/>
              <w:rPr>
                <w:sz w:val="20"/>
                <w:szCs w:val="20"/>
                <w:color w:val="auto"/>
              </w:rPr>
            </w:pPr>
            <w:r>
              <w:rPr>
                <w:rFonts w:ascii="Arial" w:cs="Arial" w:eastAsia="Arial" w:hAnsi="Arial"/>
                <w:sz w:val="17"/>
                <w:szCs w:val="17"/>
                <w:color w:val="0000FF"/>
                <w:w w:val="87"/>
              </w:rPr>
              <w:t>4,885,804</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(5)</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900" w:type="dxa"/>
            <w:vAlign w:val="bottom"/>
            <w:gridSpan w:val="3"/>
            <w:vMerge w:val="restart"/>
          </w:tcPr>
          <w:p>
            <w:pPr>
              <w:jc w:val="right"/>
              <w:ind w:right="101"/>
              <w:spacing w:after="0"/>
              <w:rPr>
                <w:sz w:val="20"/>
                <w:szCs w:val="20"/>
                <w:color w:val="auto"/>
              </w:rPr>
            </w:pPr>
            <w:r>
              <w:rPr>
                <w:rFonts w:ascii="Arial" w:cs="Arial" w:eastAsia="Arial" w:hAnsi="Arial"/>
                <w:sz w:val="17"/>
                <w:szCs w:val="17"/>
                <w:color w:val="0000FF"/>
              </w:rPr>
              <w:t>06/24/2014</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75"/>
              <w:spacing w:after="0"/>
              <w:rPr>
                <w:sz w:val="20"/>
                <w:szCs w:val="20"/>
                <w:color w:val="auto"/>
              </w:rPr>
            </w:pPr>
            <w:r>
              <w:rPr>
                <w:rFonts w:ascii="Arial" w:cs="Arial" w:eastAsia="Arial" w:hAnsi="Arial"/>
                <w:sz w:val="17"/>
                <w:szCs w:val="17"/>
                <w:color w:val="0000FF"/>
                <w:w w:val="91"/>
              </w:rPr>
              <w:t>746,926</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60" w:type="dxa"/>
            <w:vAlign w:val="bottom"/>
            <w:vMerge w:val="restart"/>
          </w:tcPr>
          <w:p>
            <w:pPr>
              <w:jc w:val="right"/>
              <w:ind w:right="195"/>
              <w:spacing w:after="0"/>
              <w:rPr>
                <w:sz w:val="20"/>
                <w:szCs w:val="20"/>
                <w:color w:val="auto"/>
              </w:rPr>
            </w:pPr>
            <w:r>
              <w:rPr>
                <w:rFonts w:ascii="Arial" w:cs="Arial" w:eastAsia="Arial" w:hAnsi="Arial"/>
                <w:sz w:val="11"/>
                <w:szCs w:val="11"/>
                <w:color w:val="008000"/>
              </w:rPr>
              <w:t>(4)</w:t>
            </w:r>
          </w:p>
        </w:tc>
        <w:tc>
          <w:tcPr>
            <w:tcW w:w="1600" w:type="dxa"/>
            <w:vAlign w:val="bottom"/>
            <w:gridSpan w:val="3"/>
            <w:vMerge w:val="restart"/>
          </w:tcPr>
          <w:p>
            <w:pPr>
              <w:jc w:val="center"/>
              <w:ind w:right="362"/>
              <w:spacing w:after="0"/>
              <w:rPr>
                <w:sz w:val="20"/>
                <w:szCs w:val="20"/>
                <w:color w:val="auto"/>
              </w:rPr>
            </w:pPr>
            <w:r>
              <w:rPr>
                <w:rFonts w:ascii="Arial" w:cs="Arial" w:eastAsia="Arial" w:hAnsi="Arial"/>
                <w:sz w:val="17"/>
                <w:szCs w:val="17"/>
                <w:color w:val="0000FF"/>
                <w:w w:val="87"/>
              </w:rPr>
              <w:t>5,632,730</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0" w:type="dxa"/>
            <w:vAlign w:val="bottom"/>
            <w:gridSpan w:val="12"/>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 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 4 and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759,236</w:t>
            </w: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(1)</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06/24/2014</w:t>
            </w: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1040" w:type="dxa"/>
            <w:vAlign w:val="bottom"/>
            <w:vMerge w:val="restart"/>
          </w:tcPr>
          <w:p>
            <w:pPr>
              <w:jc w:val="center"/>
              <w:ind w:left="222"/>
              <w:spacing w:after="0"/>
              <w:rPr>
                <w:sz w:val="20"/>
                <w:szCs w:val="20"/>
                <w:color w:val="auto"/>
              </w:rPr>
            </w:pPr>
            <w:r>
              <w:rPr>
                <w:rFonts w:ascii="Arial" w:cs="Arial" w:eastAsia="Arial" w:hAnsi="Arial"/>
                <w:sz w:val="13"/>
                <w:szCs w:val="13"/>
                <w:color w:val="0000FF"/>
                <w:w w:val="89"/>
              </w:rPr>
              <w:t>4,768,001</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3"/>
            <w:vMerge w:val="restart"/>
          </w:tcPr>
          <w:p>
            <w:pPr>
              <w:ind w:left="60"/>
              <w:spacing w:after="0" w:line="155"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2,810,709</w:t>
            </w: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(2)</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780" w:type="dxa"/>
            <w:vAlign w:val="bottom"/>
            <w:vMerge w:val="continue"/>
          </w:tcPr>
          <w:p>
            <w:pPr>
              <w:spacing w:after="0"/>
              <w:rPr>
                <w:sz w:val="4"/>
                <w:szCs w:val="4"/>
                <w:color w:val="auto"/>
              </w:rPr>
            </w:pPr>
          </w:p>
        </w:tc>
        <w:tc>
          <w:tcPr>
            <w:tcW w:w="110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06/24/2014</w:t>
            </w: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1040" w:type="dxa"/>
            <w:vAlign w:val="bottom"/>
            <w:vMerge w:val="restart"/>
          </w:tcPr>
          <w:p>
            <w:pPr>
              <w:jc w:val="center"/>
              <w:ind w:left="202"/>
              <w:spacing w:after="0" w:line="100" w:lineRule="exact"/>
              <w:rPr>
                <w:sz w:val="20"/>
                <w:szCs w:val="20"/>
                <w:color w:val="auto"/>
              </w:rPr>
            </w:pPr>
            <w:r>
              <w:rPr>
                <w:rFonts w:ascii="Arial" w:cs="Arial" w:eastAsia="Arial" w:hAnsi="Arial"/>
                <w:sz w:val="11"/>
                <w:szCs w:val="11"/>
                <w:color w:val="0000FF"/>
              </w:rPr>
              <w:t>17,651,253</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380"/>
              <w:spacing w:after="0" w:line="100"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3"/>
          </w:tcPr>
          <w:p>
            <w:pPr>
              <w:ind w:left="6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1,315,859</w:t>
            </w: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(3)</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780" w:type="dxa"/>
            <w:vAlign w:val="bottom"/>
            <w:vMerge w:val="continue"/>
          </w:tcPr>
          <w:p>
            <w:pPr>
              <w:spacing w:after="0"/>
              <w:rPr>
                <w:sz w:val="4"/>
                <w:szCs w:val="4"/>
                <w:color w:val="auto"/>
              </w:rPr>
            </w:pPr>
          </w:p>
        </w:tc>
        <w:tc>
          <w:tcPr>
            <w:tcW w:w="110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06/24/2014</w:t>
            </w: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1040" w:type="dxa"/>
            <w:vAlign w:val="bottom"/>
            <w:vMerge w:val="restart"/>
          </w:tcPr>
          <w:p>
            <w:pPr>
              <w:jc w:val="center"/>
              <w:ind w:left="222"/>
              <w:spacing w:after="0" w:line="100" w:lineRule="exact"/>
              <w:rPr>
                <w:sz w:val="20"/>
                <w:szCs w:val="20"/>
                <w:color w:val="auto"/>
              </w:rPr>
            </w:pPr>
            <w:r>
              <w:rPr>
                <w:rFonts w:ascii="Arial" w:cs="Arial" w:eastAsia="Arial" w:hAnsi="Arial"/>
                <w:sz w:val="11"/>
                <w:szCs w:val="11"/>
                <w:color w:val="0000FF"/>
              </w:rPr>
              <w:t>8,263,595</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380"/>
              <w:spacing w:after="0" w:line="100"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3"/>
          </w:tcPr>
          <w:p>
            <w:pPr>
              <w:ind w:left="6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746,926</w:t>
            </w: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06/24/2014</w:t>
            </w: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1040" w:type="dxa"/>
            <w:vAlign w:val="bottom"/>
            <w:vMerge w:val="restart"/>
          </w:tcPr>
          <w:p>
            <w:pPr>
              <w:jc w:val="center"/>
              <w:ind w:left="222"/>
              <w:spacing w:after="0"/>
              <w:rPr>
                <w:sz w:val="20"/>
                <w:szCs w:val="20"/>
                <w:color w:val="auto"/>
              </w:rPr>
            </w:pPr>
            <w:r>
              <w:rPr>
                <w:rFonts w:ascii="Arial" w:cs="Arial" w:eastAsia="Arial" w:hAnsi="Arial"/>
                <w:sz w:val="13"/>
                <w:szCs w:val="13"/>
                <w:color w:val="0000FF"/>
                <w:w w:val="89"/>
              </w:rPr>
              <w:t>4,690,696</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3"/>
            <w:vMerge w:val="restart"/>
          </w:tcPr>
          <w:p>
            <w:pPr>
              <w:ind w:left="60"/>
              <w:spacing w:after="0" w:line="155"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A Preferred Stock automatically converted into Common Stock on a 6.28-for-1 basis at the closing of the Issuer's initial public offering for no consideration,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B Preferred Stock automatically converted into Common Stock on a 6.28-for-1 basis at the closing of the Issuer's initial public offering for no consideration,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C Preferred Stock automatically converted into Common Stock on a 6.28-for-1 basis at the closing of the Issuer's initial public offering for no consideration,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D Preferred Stock automatically converted into Common Stock on a 6.28-for-1 basis at the closing of the Issuer's initial public offering for no consideration, and had no expiration date.</w:t>
      </w:r>
    </w:p>
    <w:p>
      <w:pPr>
        <w:spacing w:after="0" w:line="44" w:lineRule="exact"/>
        <w:rPr>
          <w:rFonts w:ascii="Arial" w:cs="Arial" w:eastAsia="Arial" w:hAnsi="Arial"/>
          <w:sz w:val="13"/>
          <w:szCs w:val="13"/>
          <w:color w:val="008000"/>
        </w:rPr>
      </w:pPr>
    </w:p>
    <w:p>
      <w:pPr>
        <w:ind w:left="40" w:right="40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Atlas Venture Fund VII, L.P.("AV VII LP"). The general partner of AV VII LP is Atlas Venture Associates VII, L.P. ("AVA VII LP"). The general partner of AVA VII LP is Atlas Venture Associates VII, Inc. The Reporting Person disclaims beneficial ownership of all shares except to the extent of his pecuniary interest, if any, therein.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Peter Barrett</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06/26/2014</w:t>
            </w: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2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6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895"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2019-12-18T04:43:22Z</dcterms:created>
  <dcterms:modified xsi:type="dcterms:W3CDTF">2019-12-18T04:43:22Z</dcterms:modified>
</cp:coreProperties>
</file>